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1200" w:after="0"/>
        <w:jc w:val="center"/>
        <w:rPr>
          <w:rFonts w:eastAsiaTheme="minorEastAsia"/>
          <w:kern w:val="0"/>
          <w:sz w:val="24"/>
          <w:szCs w:val="24"/>
        </w:rPr>
      </w:pPr>
      <w:r>
        <w:rPr>
          <w:rFonts w:eastAsia="Times New Roman"/>
          <w:kern w:val="0"/>
          <w:sz w:val="24"/>
          <w:szCs w:val="24"/>
        </w:rPr>
        <w:drawing>
          <wp:inline distT="0" distB="0" distL="0" distR="0">
            <wp:extent cx="3543300" cy="2819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543300" cy="2819400"/>
                    </a:xfrm>
                    <a:prstGeom prst="rect">
                      <a:avLst/>
                    </a:prstGeom>
                    <a:noFill/>
                    <a:ln>
                      <a:noFill/>
                    </a:ln>
                  </pic:spPr>
                </pic:pic>
              </a:graphicData>
            </a:graphic>
          </wp:inline>
        </w:drawing>
      </w:r>
    </w:p>
    <w:p>
      <w:pPr>
        <w:spacing w:before="200" w:after="200"/>
        <w:jc w:val="center"/>
        <w:rPr>
          <w:rFonts w:eastAsia="Times New Roman"/>
          <w:b/>
          <w:sz w:val="52"/>
          <w:szCs w:val="24"/>
        </w:rPr>
      </w:pPr>
      <w:r>
        <w:rPr>
          <w:rFonts w:hint="eastAsia"/>
          <w:b/>
          <w:sz w:val="52"/>
          <w:szCs w:val="24"/>
        </w:rPr>
        <w:t>美康生物科技股份有限公司</w:t>
      </w:r>
    </w:p>
    <w:p>
      <w:pPr>
        <w:spacing w:before="400" w:after="0"/>
        <w:jc w:val="center"/>
        <w:rPr>
          <w:b/>
          <w:sz w:val="44"/>
          <w:szCs w:val="24"/>
        </w:rPr>
      </w:pPr>
      <w:r>
        <w:rPr>
          <w:b/>
          <w:sz w:val="44"/>
          <w:szCs w:val="24"/>
        </w:rPr>
        <w:t>2019</w:t>
      </w:r>
      <w:r>
        <w:rPr>
          <w:rFonts w:hint="eastAsia"/>
          <w:b/>
          <w:sz w:val="44"/>
          <w:szCs w:val="24"/>
        </w:rPr>
        <w:t>年年度报告</w:t>
      </w:r>
    </w:p>
    <w:p>
      <w:pPr>
        <w:spacing w:before="400" w:after="0"/>
        <w:jc w:val="center"/>
        <w:rPr>
          <w:b/>
          <w:bCs/>
          <w:sz w:val="32"/>
          <w:szCs w:val="32"/>
        </w:rPr>
      </w:pPr>
      <w:r>
        <w:rPr>
          <w:sz w:val="32"/>
          <w:szCs w:val="32"/>
        </w:rPr>
        <w:drawing>
          <wp:anchor distT="0" distB="0" distL="114300" distR="114300" simplePos="0" relativeHeight="251659264" behindDoc="0" locked="0" layoutInCell="1" allowOverlap="1">
            <wp:simplePos x="0" y="0"/>
            <wp:positionH relativeFrom="column">
              <wp:posOffset>153670</wp:posOffset>
            </wp:positionH>
            <wp:positionV relativeFrom="paragraph">
              <wp:posOffset>558800</wp:posOffset>
            </wp:positionV>
            <wp:extent cx="5888990" cy="2838450"/>
            <wp:effectExtent l="0" t="0" r="0" b="0"/>
            <wp:wrapSquare wrapText="bothSides"/>
            <wp:docPr id="3" name="图片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888990" cy="2838450"/>
                    </a:xfrm>
                    <a:prstGeom prst="rect">
                      <a:avLst/>
                    </a:prstGeom>
                    <a:noFill/>
                    <a:ln>
                      <a:noFill/>
                    </a:ln>
                  </pic:spPr>
                </pic:pic>
              </a:graphicData>
            </a:graphic>
          </wp:anchor>
        </w:drawing>
      </w:r>
      <w:r>
        <w:rPr>
          <w:rFonts w:hint="eastAsia"/>
          <w:b/>
          <w:sz w:val="32"/>
          <w:szCs w:val="32"/>
        </w:rPr>
        <w:t>2</w:t>
      </w:r>
      <w:r>
        <w:rPr>
          <w:b/>
          <w:sz w:val="32"/>
          <w:szCs w:val="32"/>
        </w:rPr>
        <w:t>020</w:t>
      </w:r>
      <w:r>
        <w:rPr>
          <w:rFonts w:hint="eastAsia"/>
          <w:b/>
          <w:sz w:val="32"/>
          <w:szCs w:val="32"/>
        </w:rPr>
        <w:t>-</w:t>
      </w:r>
      <w:r>
        <w:rPr>
          <w:b/>
          <w:sz w:val="32"/>
          <w:szCs w:val="32"/>
        </w:rPr>
        <w:t>032</w:t>
      </w:r>
    </w:p>
    <w:p>
      <w:pPr>
        <w:spacing w:before="400" w:after="0"/>
        <w:jc w:val="center"/>
        <w:rPr>
          <w:b/>
          <w:bCs/>
          <w:sz w:val="32"/>
          <w:szCs w:val="32"/>
        </w:rPr>
      </w:pPr>
      <w:r>
        <w:rPr>
          <w:b/>
          <w:sz w:val="44"/>
          <w:szCs w:val="24"/>
        </w:rPr>
        <w:t>2020</w:t>
      </w:r>
      <w:r>
        <w:rPr>
          <w:rFonts w:hint="eastAsia"/>
          <w:b/>
          <w:sz w:val="44"/>
          <w:szCs w:val="24"/>
        </w:rPr>
        <w:t>年</w:t>
      </w:r>
      <w:r>
        <w:rPr>
          <w:b/>
          <w:sz w:val="44"/>
          <w:szCs w:val="24"/>
        </w:rPr>
        <w:t>04</w:t>
      </w:r>
      <w:r>
        <w:rPr>
          <w:rFonts w:hint="eastAsia"/>
          <w:b/>
          <w:sz w:val="44"/>
          <w:szCs w:val="24"/>
        </w:rPr>
        <w:t>月</w:t>
      </w:r>
    </w:p>
    <w:p>
      <w:pPr>
        <w:spacing w:before="6000" w:after="0"/>
        <w:jc w:val="center"/>
        <w:rPr>
          <w:b/>
          <w:bCs/>
          <w:sz w:val="32"/>
          <w:szCs w:val="32"/>
        </w:rPr>
        <w:sectPr>
          <w:headerReference r:id="rId3" w:type="default"/>
          <w:footerReference r:id="rId4" w:type="default"/>
          <w:pgSz w:w="11906" w:h="16838"/>
          <w:pgMar w:top="1440" w:right="1134" w:bottom="1440" w:left="1134" w:header="720" w:footer="720" w:gutter="0"/>
          <w:cols w:space="720" w:num="1"/>
        </w:sectPr>
      </w:pPr>
    </w:p>
    <w:p>
      <w:pPr>
        <w:pStyle w:val="8"/>
        <w:outlineLvl w:val="0"/>
      </w:pPr>
      <w:bookmarkStart w:id="0" w:name="_Toc38911272"/>
      <w:bookmarkStart w:id="1" w:name="_Toc300000084"/>
      <w:r>
        <w:rPr>
          <w:rFonts w:hint="eastAsia"/>
        </w:rPr>
        <w:t>第一节重要提示、目录和释义</w:t>
      </w:r>
      <w:bookmarkEnd w:id="0"/>
      <w:bookmarkEnd w:id="1"/>
    </w:p>
    <w:p>
      <w:pPr>
        <w:spacing w:before="100" w:after="100"/>
        <w:ind w:firstLine="562" w:firstLineChars="200"/>
        <w:rPr>
          <w:b/>
          <w:bCs/>
          <w:sz w:val="28"/>
          <w:szCs w:val="28"/>
        </w:rPr>
      </w:pPr>
      <w:r>
        <w:rPr>
          <w:rFonts w:hint="eastAsia"/>
          <w:b/>
          <w:bCs/>
          <w:sz w:val="28"/>
          <w:szCs w:val="28"/>
        </w:rPr>
        <w:t>公司董事会、监事会及董事、监事、高级管理人员保证年度报告内容的真实、准确、完整，不存在虚假记载、误导性陈述或重大遗漏，并承担个别和连带的法律责任。</w:t>
      </w:r>
    </w:p>
    <w:p>
      <w:pPr>
        <w:spacing w:before="100" w:after="100"/>
        <w:ind w:firstLine="562" w:firstLineChars="200"/>
        <w:rPr>
          <w:b/>
          <w:bCs/>
          <w:sz w:val="28"/>
          <w:szCs w:val="28"/>
        </w:rPr>
      </w:pPr>
      <w:r>
        <w:rPr>
          <w:rFonts w:hint="eastAsia"/>
          <w:b/>
          <w:bCs/>
          <w:sz w:val="28"/>
          <w:szCs w:val="28"/>
        </w:rPr>
        <w:t>公司负责人邹炳德、主管会计工作负责人袁超</w:t>
      </w:r>
      <w:bookmarkStart w:id="19" w:name="_GoBack"/>
      <w:bookmarkEnd w:id="19"/>
      <w:r>
        <w:rPr>
          <w:rFonts w:hint="eastAsia"/>
          <w:b/>
          <w:bCs/>
          <w:sz w:val="28"/>
          <w:szCs w:val="28"/>
        </w:rPr>
        <w:t>及会计机构负责人</w:t>
      </w:r>
      <w:r>
        <w:rPr>
          <w:b/>
          <w:bCs/>
          <w:sz w:val="28"/>
          <w:szCs w:val="28"/>
        </w:rPr>
        <w:t>(</w:t>
      </w:r>
      <w:r>
        <w:rPr>
          <w:rFonts w:hint="eastAsia"/>
          <w:b/>
          <w:bCs/>
          <w:sz w:val="28"/>
          <w:szCs w:val="28"/>
        </w:rPr>
        <w:t>会计主管人员</w:t>
      </w:r>
      <w:r>
        <w:rPr>
          <w:b/>
          <w:bCs/>
          <w:sz w:val="28"/>
          <w:szCs w:val="28"/>
        </w:rPr>
        <w:t>)</w:t>
      </w:r>
      <w:r>
        <w:rPr>
          <w:rFonts w:hint="eastAsia"/>
          <w:b/>
          <w:bCs/>
          <w:sz w:val="28"/>
          <w:szCs w:val="28"/>
        </w:rPr>
        <w:t>胡浩声明：保证年度报告中财务报告的真实、准确、完整。</w:t>
      </w:r>
    </w:p>
    <w:p>
      <w:pPr>
        <w:spacing w:before="100" w:after="100"/>
        <w:ind w:firstLine="562" w:firstLineChars="200"/>
        <w:rPr>
          <w:b/>
          <w:bCs/>
          <w:sz w:val="28"/>
          <w:szCs w:val="28"/>
        </w:rPr>
      </w:pPr>
      <w:r>
        <w:rPr>
          <w:rFonts w:hint="eastAsia"/>
          <w:b/>
          <w:bCs/>
          <w:sz w:val="28"/>
          <w:szCs w:val="28"/>
        </w:rPr>
        <w:t>所有董事均已出席了审议本报告的董事会会议。</w:t>
      </w:r>
    </w:p>
    <w:p>
      <w:pPr>
        <w:spacing w:before="100" w:after="100"/>
        <w:ind w:firstLine="562" w:firstLineChars="200"/>
        <w:rPr>
          <w:b/>
          <w:bCs/>
          <w:sz w:val="28"/>
          <w:szCs w:val="28"/>
        </w:rPr>
      </w:pPr>
      <w:r>
        <w:rPr>
          <w:rFonts w:hint="eastAsia"/>
          <w:b/>
          <w:bCs/>
          <w:sz w:val="28"/>
          <w:szCs w:val="28"/>
        </w:rPr>
        <w:t>公司经本次董事会审议通过的利润分配预案为：不派发现金红利，不送红股，不以公积金转增股本。</w:t>
      </w:r>
    </w:p>
    <w:p>
      <w:pPr>
        <w:spacing w:before="100" w:after="100"/>
        <w:ind w:firstLine="562" w:firstLineChars="200"/>
        <w:rPr>
          <w:b/>
          <w:bCs/>
          <w:sz w:val="28"/>
          <w:szCs w:val="28"/>
        </w:rPr>
        <w:sectPr>
          <w:pgSz w:w="11906" w:h="16838"/>
          <w:pgMar w:top="1440" w:right="1134" w:bottom="1440" w:left="1134" w:header="851" w:footer="992" w:gutter="0"/>
          <w:cols w:space="425" w:num="1"/>
          <w:docGrid w:type="lines" w:linePitch="312" w:charSpace="0"/>
        </w:sectPr>
      </w:pPr>
    </w:p>
    <w:p>
      <w:pPr>
        <w:spacing w:before="1400" w:after="1400"/>
        <w:jc w:val="center"/>
        <w:rPr>
          <w:b/>
          <w:bCs/>
          <w:sz w:val="36"/>
          <w:szCs w:val="36"/>
        </w:rPr>
      </w:pPr>
      <w:r>
        <w:rPr>
          <w:rFonts w:hint="eastAsia"/>
          <w:b/>
          <w:bCs/>
          <w:sz w:val="36"/>
          <w:szCs w:val="36"/>
        </w:rPr>
        <w:t>目录</w:t>
      </w:r>
    </w:p>
    <w:p>
      <w:pPr>
        <w:pStyle w:val="6"/>
        <w:tabs>
          <w:tab w:val="right" w:leader="dot" w:pos="9628"/>
        </w:tabs>
        <w:spacing w:line="360" w:lineRule="auto"/>
        <w:rPr>
          <w:b/>
          <w:sz w:val="24"/>
          <w:szCs w:val="24"/>
        </w:rPr>
      </w:pPr>
      <w:r>
        <w:rPr>
          <w:rFonts w:eastAsia="Times New Roman"/>
          <w:b/>
          <w:bCs/>
          <w:sz w:val="24"/>
          <w:szCs w:val="24"/>
        </w:rPr>
        <w:fldChar w:fldCharType="begin"/>
      </w:r>
      <w:r>
        <w:rPr>
          <w:rFonts w:eastAsia="Times New Roman"/>
          <w:b/>
          <w:bCs/>
          <w:sz w:val="24"/>
          <w:szCs w:val="24"/>
        </w:rPr>
        <w:instrText xml:space="preserve"> TOC \h \z \t "</w:instrText>
      </w:r>
      <w:r>
        <w:rPr>
          <w:rFonts w:hint="eastAsia" w:ascii="宋体" w:hAnsi="宋体" w:cs="宋体"/>
          <w:b/>
          <w:bCs/>
          <w:sz w:val="24"/>
          <w:szCs w:val="24"/>
        </w:rPr>
        <w:instrText xml:space="preserve">标题</w:instrText>
      </w:r>
      <w:r>
        <w:rPr>
          <w:rFonts w:eastAsia="Times New Roman"/>
          <w:b/>
          <w:bCs/>
          <w:sz w:val="24"/>
          <w:szCs w:val="24"/>
        </w:rPr>
        <w:instrText xml:space="preserve">,1" </w:instrText>
      </w:r>
      <w:r>
        <w:rPr>
          <w:rFonts w:eastAsia="Times New Roman"/>
          <w:b/>
          <w:bCs/>
          <w:sz w:val="24"/>
          <w:szCs w:val="24"/>
        </w:rPr>
        <w:fldChar w:fldCharType="separate"/>
      </w:r>
      <w:r>
        <w:fldChar w:fldCharType="begin"/>
      </w:r>
      <w:r>
        <w:instrText xml:space="preserve"> HYPERLINK \l "_Toc38911272" </w:instrText>
      </w:r>
      <w:r>
        <w:fldChar w:fldCharType="separate"/>
      </w:r>
      <w:r>
        <w:rPr>
          <w:rStyle w:val="11"/>
          <w:rFonts w:hint="eastAsia"/>
          <w:b/>
          <w:sz w:val="24"/>
          <w:szCs w:val="24"/>
        </w:rPr>
        <w:t>第一节重要提示、目录和释义</w:t>
      </w:r>
      <w:r>
        <w:rPr>
          <w:b/>
          <w:sz w:val="24"/>
          <w:szCs w:val="24"/>
        </w:rPr>
        <w:tab/>
      </w:r>
      <w:r>
        <w:rPr>
          <w:b/>
          <w:sz w:val="24"/>
          <w:szCs w:val="24"/>
        </w:rPr>
        <w:fldChar w:fldCharType="begin"/>
      </w:r>
      <w:r>
        <w:rPr>
          <w:b/>
          <w:sz w:val="24"/>
          <w:szCs w:val="24"/>
        </w:rPr>
        <w:instrText xml:space="preserve"> PAGEREF _Toc38911272 \h </w:instrText>
      </w:r>
      <w:r>
        <w:rPr>
          <w:b/>
          <w:sz w:val="24"/>
          <w:szCs w:val="24"/>
        </w:rPr>
        <w:fldChar w:fldCharType="separate"/>
      </w:r>
      <w:r>
        <w:rPr>
          <w:b/>
          <w:sz w:val="24"/>
          <w:szCs w:val="24"/>
        </w:rPr>
        <w:t>2</w:t>
      </w:r>
      <w:r>
        <w:rPr>
          <w:b/>
          <w:sz w:val="24"/>
          <w:szCs w:val="24"/>
        </w:rPr>
        <w:fldChar w:fldCharType="end"/>
      </w:r>
      <w:r>
        <w:rPr>
          <w:b/>
          <w:sz w:val="24"/>
          <w:szCs w:val="24"/>
        </w:rPr>
        <w:fldChar w:fldCharType="end"/>
      </w:r>
    </w:p>
    <w:p>
      <w:pPr>
        <w:pStyle w:val="6"/>
        <w:tabs>
          <w:tab w:val="right" w:leader="dot" w:pos="9628"/>
        </w:tabs>
        <w:spacing w:line="360" w:lineRule="auto"/>
        <w:rPr>
          <w:b/>
          <w:sz w:val="24"/>
          <w:szCs w:val="24"/>
        </w:rPr>
      </w:pPr>
      <w:r>
        <w:fldChar w:fldCharType="begin"/>
      </w:r>
      <w:r>
        <w:instrText xml:space="preserve"> HYPERLINK \l "_Toc38911273" </w:instrText>
      </w:r>
      <w:r>
        <w:fldChar w:fldCharType="separate"/>
      </w:r>
      <w:r>
        <w:rPr>
          <w:rStyle w:val="11"/>
          <w:rFonts w:hint="eastAsia"/>
          <w:b/>
          <w:sz w:val="24"/>
          <w:szCs w:val="24"/>
        </w:rPr>
        <w:t>第二节公司简介和主要财务指标</w:t>
      </w:r>
      <w:r>
        <w:rPr>
          <w:b/>
          <w:sz w:val="24"/>
          <w:szCs w:val="24"/>
        </w:rPr>
        <w:tab/>
      </w:r>
      <w:r>
        <w:rPr>
          <w:b/>
          <w:sz w:val="24"/>
          <w:szCs w:val="24"/>
        </w:rPr>
        <w:fldChar w:fldCharType="begin"/>
      </w:r>
      <w:r>
        <w:rPr>
          <w:b/>
          <w:sz w:val="24"/>
          <w:szCs w:val="24"/>
        </w:rPr>
        <w:instrText xml:space="preserve"> PAGEREF _Toc38911273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pPr>
        <w:pStyle w:val="6"/>
        <w:tabs>
          <w:tab w:val="right" w:leader="dot" w:pos="9628"/>
        </w:tabs>
        <w:spacing w:line="360" w:lineRule="auto"/>
        <w:rPr>
          <w:b/>
          <w:sz w:val="24"/>
          <w:szCs w:val="24"/>
        </w:rPr>
      </w:pPr>
      <w:r>
        <w:fldChar w:fldCharType="begin"/>
      </w:r>
      <w:r>
        <w:instrText xml:space="preserve"> HYPERLINK \l "_Toc38911274" </w:instrText>
      </w:r>
      <w:r>
        <w:fldChar w:fldCharType="separate"/>
      </w:r>
      <w:r>
        <w:rPr>
          <w:rStyle w:val="11"/>
          <w:rFonts w:hint="eastAsia"/>
          <w:b/>
          <w:sz w:val="24"/>
          <w:szCs w:val="24"/>
        </w:rPr>
        <w:t>第三节公司业务概要</w:t>
      </w:r>
      <w:r>
        <w:rPr>
          <w:b/>
          <w:sz w:val="24"/>
          <w:szCs w:val="24"/>
        </w:rPr>
        <w:tab/>
      </w:r>
      <w:r>
        <w:rPr>
          <w:b/>
          <w:sz w:val="24"/>
          <w:szCs w:val="24"/>
        </w:rPr>
        <w:fldChar w:fldCharType="begin"/>
      </w:r>
      <w:r>
        <w:rPr>
          <w:b/>
          <w:sz w:val="24"/>
          <w:szCs w:val="24"/>
        </w:rPr>
        <w:instrText xml:space="preserve"> PAGEREF _Toc38911274 \h </w:instrText>
      </w:r>
      <w:r>
        <w:rPr>
          <w:b/>
          <w:sz w:val="24"/>
          <w:szCs w:val="24"/>
        </w:rPr>
        <w:fldChar w:fldCharType="separate"/>
      </w:r>
      <w:r>
        <w:rPr>
          <w:b/>
          <w:sz w:val="24"/>
          <w:szCs w:val="24"/>
        </w:rPr>
        <w:t>11</w:t>
      </w:r>
      <w:r>
        <w:rPr>
          <w:b/>
          <w:sz w:val="24"/>
          <w:szCs w:val="24"/>
        </w:rPr>
        <w:fldChar w:fldCharType="end"/>
      </w:r>
      <w:r>
        <w:rPr>
          <w:b/>
          <w:sz w:val="24"/>
          <w:szCs w:val="24"/>
        </w:rPr>
        <w:fldChar w:fldCharType="end"/>
      </w:r>
    </w:p>
    <w:p>
      <w:pPr>
        <w:pStyle w:val="6"/>
        <w:tabs>
          <w:tab w:val="right" w:leader="dot" w:pos="9628"/>
        </w:tabs>
        <w:spacing w:line="360" w:lineRule="auto"/>
        <w:rPr>
          <w:b/>
          <w:sz w:val="24"/>
          <w:szCs w:val="24"/>
        </w:rPr>
      </w:pPr>
      <w:r>
        <w:fldChar w:fldCharType="begin"/>
      </w:r>
      <w:r>
        <w:instrText xml:space="preserve"> HYPERLINK \l "_Toc38911275" </w:instrText>
      </w:r>
      <w:r>
        <w:fldChar w:fldCharType="separate"/>
      </w:r>
      <w:r>
        <w:rPr>
          <w:rStyle w:val="11"/>
          <w:rFonts w:hint="eastAsia"/>
          <w:b/>
          <w:sz w:val="24"/>
          <w:szCs w:val="24"/>
        </w:rPr>
        <w:t>第四节经营情况讨论与分析</w:t>
      </w:r>
      <w:r>
        <w:rPr>
          <w:b/>
          <w:sz w:val="24"/>
          <w:szCs w:val="24"/>
        </w:rPr>
        <w:tab/>
      </w:r>
      <w:r>
        <w:rPr>
          <w:b/>
          <w:sz w:val="24"/>
          <w:szCs w:val="24"/>
        </w:rPr>
        <w:fldChar w:fldCharType="begin"/>
      </w:r>
      <w:r>
        <w:rPr>
          <w:b/>
          <w:sz w:val="24"/>
          <w:szCs w:val="24"/>
        </w:rPr>
        <w:instrText xml:space="preserve"> PAGEREF _Toc38911275 \h </w:instrText>
      </w:r>
      <w:r>
        <w:rPr>
          <w:b/>
          <w:sz w:val="24"/>
          <w:szCs w:val="24"/>
        </w:rPr>
        <w:fldChar w:fldCharType="separate"/>
      </w:r>
      <w:r>
        <w:rPr>
          <w:b/>
          <w:sz w:val="24"/>
          <w:szCs w:val="24"/>
        </w:rPr>
        <w:t>16</w:t>
      </w:r>
      <w:r>
        <w:rPr>
          <w:b/>
          <w:sz w:val="24"/>
          <w:szCs w:val="24"/>
        </w:rPr>
        <w:fldChar w:fldCharType="end"/>
      </w:r>
      <w:r>
        <w:rPr>
          <w:b/>
          <w:sz w:val="24"/>
          <w:szCs w:val="24"/>
        </w:rPr>
        <w:fldChar w:fldCharType="end"/>
      </w:r>
    </w:p>
    <w:p>
      <w:pPr>
        <w:pStyle w:val="6"/>
        <w:tabs>
          <w:tab w:val="right" w:leader="dot" w:pos="9628"/>
        </w:tabs>
        <w:spacing w:line="360" w:lineRule="auto"/>
        <w:rPr>
          <w:b/>
          <w:sz w:val="24"/>
          <w:szCs w:val="24"/>
        </w:rPr>
      </w:pPr>
      <w:r>
        <w:fldChar w:fldCharType="begin"/>
      </w:r>
      <w:r>
        <w:instrText xml:space="preserve"> HYPERLINK \l "_Toc38911276" </w:instrText>
      </w:r>
      <w:r>
        <w:fldChar w:fldCharType="separate"/>
      </w:r>
      <w:r>
        <w:rPr>
          <w:rStyle w:val="11"/>
          <w:rFonts w:hint="eastAsia"/>
          <w:b/>
          <w:sz w:val="24"/>
          <w:szCs w:val="24"/>
        </w:rPr>
        <w:t>第五节重要事项</w:t>
      </w:r>
      <w:r>
        <w:rPr>
          <w:b/>
          <w:sz w:val="24"/>
          <w:szCs w:val="24"/>
        </w:rPr>
        <w:tab/>
      </w:r>
      <w:r>
        <w:rPr>
          <w:b/>
          <w:sz w:val="24"/>
          <w:szCs w:val="24"/>
        </w:rPr>
        <w:fldChar w:fldCharType="begin"/>
      </w:r>
      <w:r>
        <w:rPr>
          <w:b/>
          <w:sz w:val="24"/>
          <w:szCs w:val="24"/>
        </w:rPr>
        <w:instrText xml:space="preserve"> PAGEREF _Toc38911276 \h </w:instrText>
      </w:r>
      <w:r>
        <w:rPr>
          <w:b/>
          <w:sz w:val="24"/>
          <w:szCs w:val="24"/>
        </w:rPr>
        <w:fldChar w:fldCharType="separate"/>
      </w:r>
      <w:r>
        <w:rPr>
          <w:b/>
          <w:sz w:val="24"/>
          <w:szCs w:val="24"/>
        </w:rPr>
        <w:t>56</w:t>
      </w:r>
      <w:r>
        <w:rPr>
          <w:b/>
          <w:sz w:val="24"/>
          <w:szCs w:val="24"/>
        </w:rPr>
        <w:fldChar w:fldCharType="end"/>
      </w:r>
      <w:r>
        <w:rPr>
          <w:b/>
          <w:sz w:val="24"/>
          <w:szCs w:val="24"/>
        </w:rPr>
        <w:fldChar w:fldCharType="end"/>
      </w:r>
    </w:p>
    <w:p>
      <w:pPr>
        <w:pStyle w:val="6"/>
        <w:tabs>
          <w:tab w:val="right" w:leader="dot" w:pos="9628"/>
        </w:tabs>
        <w:spacing w:line="360" w:lineRule="auto"/>
        <w:rPr>
          <w:b/>
          <w:sz w:val="24"/>
          <w:szCs w:val="24"/>
        </w:rPr>
      </w:pPr>
      <w:r>
        <w:fldChar w:fldCharType="begin"/>
      </w:r>
      <w:r>
        <w:instrText xml:space="preserve"> HYPERLINK \l "_Toc38911277" </w:instrText>
      </w:r>
      <w:r>
        <w:fldChar w:fldCharType="separate"/>
      </w:r>
      <w:r>
        <w:rPr>
          <w:rStyle w:val="11"/>
          <w:rFonts w:hint="eastAsia"/>
          <w:b/>
          <w:sz w:val="24"/>
          <w:szCs w:val="24"/>
        </w:rPr>
        <w:t>第六节股份变动及股东情况</w:t>
      </w:r>
      <w:r>
        <w:rPr>
          <w:b/>
          <w:sz w:val="24"/>
          <w:szCs w:val="24"/>
        </w:rPr>
        <w:tab/>
      </w:r>
      <w:r>
        <w:rPr>
          <w:b/>
          <w:sz w:val="24"/>
          <w:szCs w:val="24"/>
        </w:rPr>
        <w:fldChar w:fldCharType="begin"/>
      </w:r>
      <w:r>
        <w:rPr>
          <w:b/>
          <w:sz w:val="24"/>
          <w:szCs w:val="24"/>
        </w:rPr>
        <w:instrText xml:space="preserve"> PAGEREF _Toc38911277 \h </w:instrText>
      </w:r>
      <w:r>
        <w:rPr>
          <w:b/>
          <w:sz w:val="24"/>
          <w:szCs w:val="24"/>
        </w:rPr>
        <w:fldChar w:fldCharType="separate"/>
      </w:r>
      <w:r>
        <w:rPr>
          <w:b/>
          <w:sz w:val="24"/>
          <w:szCs w:val="24"/>
        </w:rPr>
        <w:t>79</w:t>
      </w:r>
      <w:r>
        <w:rPr>
          <w:b/>
          <w:sz w:val="24"/>
          <w:szCs w:val="24"/>
        </w:rPr>
        <w:fldChar w:fldCharType="end"/>
      </w:r>
      <w:r>
        <w:rPr>
          <w:b/>
          <w:sz w:val="24"/>
          <w:szCs w:val="24"/>
        </w:rPr>
        <w:fldChar w:fldCharType="end"/>
      </w:r>
    </w:p>
    <w:p>
      <w:pPr>
        <w:pStyle w:val="6"/>
        <w:tabs>
          <w:tab w:val="right" w:leader="dot" w:pos="9628"/>
        </w:tabs>
        <w:spacing w:line="360" w:lineRule="auto"/>
        <w:rPr>
          <w:b/>
          <w:sz w:val="24"/>
          <w:szCs w:val="24"/>
        </w:rPr>
      </w:pPr>
      <w:r>
        <w:fldChar w:fldCharType="begin"/>
      </w:r>
      <w:r>
        <w:instrText xml:space="preserve"> HYPERLINK \l "_Toc38911278" </w:instrText>
      </w:r>
      <w:r>
        <w:fldChar w:fldCharType="separate"/>
      </w:r>
      <w:r>
        <w:rPr>
          <w:rStyle w:val="11"/>
          <w:rFonts w:hint="eastAsia"/>
          <w:b/>
          <w:sz w:val="24"/>
          <w:szCs w:val="24"/>
        </w:rPr>
        <w:t>第七节优先股相关情况</w:t>
      </w:r>
      <w:r>
        <w:rPr>
          <w:b/>
          <w:sz w:val="24"/>
          <w:szCs w:val="24"/>
        </w:rPr>
        <w:tab/>
      </w:r>
      <w:r>
        <w:rPr>
          <w:b/>
          <w:sz w:val="24"/>
          <w:szCs w:val="24"/>
        </w:rPr>
        <w:fldChar w:fldCharType="begin"/>
      </w:r>
      <w:r>
        <w:rPr>
          <w:b/>
          <w:sz w:val="24"/>
          <w:szCs w:val="24"/>
        </w:rPr>
        <w:instrText xml:space="preserve"> PAGEREF _Toc38911278 \h </w:instrText>
      </w:r>
      <w:r>
        <w:rPr>
          <w:b/>
          <w:sz w:val="24"/>
          <w:szCs w:val="24"/>
        </w:rPr>
        <w:fldChar w:fldCharType="separate"/>
      </w:r>
      <w:r>
        <w:rPr>
          <w:b/>
          <w:sz w:val="24"/>
          <w:szCs w:val="24"/>
        </w:rPr>
        <w:t>86</w:t>
      </w:r>
      <w:r>
        <w:rPr>
          <w:b/>
          <w:sz w:val="24"/>
          <w:szCs w:val="24"/>
        </w:rPr>
        <w:fldChar w:fldCharType="end"/>
      </w:r>
      <w:r>
        <w:rPr>
          <w:b/>
          <w:sz w:val="24"/>
          <w:szCs w:val="24"/>
        </w:rPr>
        <w:fldChar w:fldCharType="end"/>
      </w:r>
    </w:p>
    <w:p>
      <w:pPr>
        <w:pStyle w:val="6"/>
        <w:tabs>
          <w:tab w:val="right" w:leader="dot" w:pos="9628"/>
        </w:tabs>
        <w:spacing w:line="360" w:lineRule="auto"/>
        <w:rPr>
          <w:b/>
          <w:sz w:val="24"/>
          <w:szCs w:val="24"/>
        </w:rPr>
      </w:pPr>
      <w:r>
        <w:fldChar w:fldCharType="begin"/>
      </w:r>
      <w:r>
        <w:instrText xml:space="preserve"> HYPERLINK \l "_Toc38911279" </w:instrText>
      </w:r>
      <w:r>
        <w:fldChar w:fldCharType="separate"/>
      </w:r>
      <w:r>
        <w:rPr>
          <w:rStyle w:val="11"/>
          <w:rFonts w:hint="eastAsia"/>
          <w:b/>
          <w:sz w:val="24"/>
          <w:szCs w:val="24"/>
        </w:rPr>
        <w:t>第八节可转换公司债券相关情况</w:t>
      </w:r>
      <w:r>
        <w:rPr>
          <w:b/>
          <w:sz w:val="24"/>
          <w:szCs w:val="24"/>
        </w:rPr>
        <w:tab/>
      </w:r>
      <w:r>
        <w:rPr>
          <w:b/>
          <w:sz w:val="24"/>
          <w:szCs w:val="24"/>
        </w:rPr>
        <w:fldChar w:fldCharType="begin"/>
      </w:r>
      <w:r>
        <w:rPr>
          <w:b/>
          <w:sz w:val="24"/>
          <w:szCs w:val="24"/>
        </w:rPr>
        <w:instrText xml:space="preserve"> PAGEREF _Toc38911279 \h </w:instrText>
      </w:r>
      <w:r>
        <w:rPr>
          <w:b/>
          <w:sz w:val="24"/>
          <w:szCs w:val="24"/>
        </w:rPr>
        <w:fldChar w:fldCharType="separate"/>
      </w:r>
      <w:r>
        <w:rPr>
          <w:b/>
          <w:sz w:val="24"/>
          <w:szCs w:val="24"/>
        </w:rPr>
        <w:t>87</w:t>
      </w:r>
      <w:r>
        <w:rPr>
          <w:b/>
          <w:sz w:val="24"/>
          <w:szCs w:val="24"/>
        </w:rPr>
        <w:fldChar w:fldCharType="end"/>
      </w:r>
      <w:r>
        <w:rPr>
          <w:b/>
          <w:sz w:val="24"/>
          <w:szCs w:val="24"/>
        </w:rPr>
        <w:fldChar w:fldCharType="end"/>
      </w:r>
    </w:p>
    <w:p>
      <w:pPr>
        <w:pStyle w:val="6"/>
        <w:tabs>
          <w:tab w:val="right" w:leader="dot" w:pos="9628"/>
        </w:tabs>
        <w:spacing w:line="360" w:lineRule="auto"/>
        <w:rPr>
          <w:b/>
          <w:sz w:val="24"/>
          <w:szCs w:val="24"/>
        </w:rPr>
      </w:pPr>
      <w:r>
        <w:fldChar w:fldCharType="begin"/>
      </w:r>
      <w:r>
        <w:instrText xml:space="preserve"> HYPERLINK \l "_Toc38911280" </w:instrText>
      </w:r>
      <w:r>
        <w:fldChar w:fldCharType="separate"/>
      </w:r>
      <w:r>
        <w:rPr>
          <w:rStyle w:val="11"/>
          <w:rFonts w:hint="eastAsia"/>
          <w:b/>
          <w:sz w:val="24"/>
          <w:szCs w:val="24"/>
        </w:rPr>
        <w:t>第九节董事、监事、高级管理人员和员工情况</w:t>
      </w:r>
      <w:r>
        <w:rPr>
          <w:b/>
          <w:sz w:val="24"/>
          <w:szCs w:val="24"/>
        </w:rPr>
        <w:tab/>
      </w:r>
      <w:r>
        <w:rPr>
          <w:b/>
          <w:sz w:val="24"/>
          <w:szCs w:val="24"/>
        </w:rPr>
        <w:fldChar w:fldCharType="begin"/>
      </w:r>
      <w:r>
        <w:rPr>
          <w:b/>
          <w:sz w:val="24"/>
          <w:szCs w:val="24"/>
        </w:rPr>
        <w:instrText xml:space="preserve"> PAGEREF _Toc38911280 \h </w:instrText>
      </w:r>
      <w:r>
        <w:rPr>
          <w:b/>
          <w:sz w:val="24"/>
          <w:szCs w:val="24"/>
        </w:rPr>
        <w:fldChar w:fldCharType="separate"/>
      </w:r>
      <w:r>
        <w:rPr>
          <w:b/>
          <w:sz w:val="24"/>
          <w:szCs w:val="24"/>
        </w:rPr>
        <w:t>88</w:t>
      </w:r>
      <w:r>
        <w:rPr>
          <w:b/>
          <w:sz w:val="24"/>
          <w:szCs w:val="24"/>
        </w:rPr>
        <w:fldChar w:fldCharType="end"/>
      </w:r>
      <w:r>
        <w:rPr>
          <w:b/>
          <w:sz w:val="24"/>
          <w:szCs w:val="24"/>
        </w:rPr>
        <w:fldChar w:fldCharType="end"/>
      </w:r>
    </w:p>
    <w:p>
      <w:pPr>
        <w:pStyle w:val="6"/>
        <w:tabs>
          <w:tab w:val="right" w:leader="dot" w:pos="9628"/>
        </w:tabs>
        <w:spacing w:line="360" w:lineRule="auto"/>
        <w:rPr>
          <w:b/>
          <w:sz w:val="24"/>
          <w:szCs w:val="24"/>
        </w:rPr>
      </w:pPr>
      <w:r>
        <w:fldChar w:fldCharType="begin"/>
      </w:r>
      <w:r>
        <w:instrText xml:space="preserve"> HYPERLINK \l "_Toc38911281" </w:instrText>
      </w:r>
      <w:r>
        <w:fldChar w:fldCharType="separate"/>
      </w:r>
      <w:r>
        <w:rPr>
          <w:rStyle w:val="11"/>
          <w:rFonts w:hint="eastAsia"/>
          <w:b/>
          <w:sz w:val="24"/>
          <w:szCs w:val="24"/>
        </w:rPr>
        <w:t>第十节公司治理</w:t>
      </w:r>
      <w:r>
        <w:rPr>
          <w:b/>
          <w:sz w:val="24"/>
          <w:szCs w:val="24"/>
        </w:rPr>
        <w:tab/>
      </w:r>
      <w:r>
        <w:rPr>
          <w:b/>
          <w:sz w:val="24"/>
          <w:szCs w:val="24"/>
        </w:rPr>
        <w:fldChar w:fldCharType="begin"/>
      </w:r>
      <w:r>
        <w:rPr>
          <w:b/>
          <w:sz w:val="24"/>
          <w:szCs w:val="24"/>
        </w:rPr>
        <w:instrText xml:space="preserve"> PAGEREF _Toc38911281 \h </w:instrText>
      </w:r>
      <w:r>
        <w:rPr>
          <w:b/>
          <w:sz w:val="24"/>
          <w:szCs w:val="24"/>
        </w:rPr>
        <w:fldChar w:fldCharType="separate"/>
      </w:r>
      <w:r>
        <w:rPr>
          <w:b/>
          <w:sz w:val="24"/>
          <w:szCs w:val="24"/>
        </w:rPr>
        <w:t>95</w:t>
      </w:r>
      <w:r>
        <w:rPr>
          <w:b/>
          <w:sz w:val="24"/>
          <w:szCs w:val="24"/>
        </w:rPr>
        <w:fldChar w:fldCharType="end"/>
      </w:r>
      <w:r>
        <w:rPr>
          <w:b/>
          <w:sz w:val="24"/>
          <w:szCs w:val="24"/>
        </w:rPr>
        <w:fldChar w:fldCharType="end"/>
      </w:r>
    </w:p>
    <w:p>
      <w:pPr>
        <w:pStyle w:val="6"/>
        <w:tabs>
          <w:tab w:val="right" w:leader="dot" w:pos="9628"/>
        </w:tabs>
        <w:spacing w:line="360" w:lineRule="auto"/>
        <w:rPr>
          <w:b/>
          <w:sz w:val="24"/>
          <w:szCs w:val="24"/>
        </w:rPr>
      </w:pPr>
      <w:r>
        <w:fldChar w:fldCharType="begin"/>
      </w:r>
      <w:r>
        <w:instrText xml:space="preserve"> HYPERLINK \l "_Toc38911282" </w:instrText>
      </w:r>
      <w:r>
        <w:fldChar w:fldCharType="separate"/>
      </w:r>
      <w:r>
        <w:rPr>
          <w:rStyle w:val="11"/>
          <w:rFonts w:hint="eastAsia"/>
          <w:b/>
          <w:sz w:val="24"/>
          <w:szCs w:val="24"/>
        </w:rPr>
        <w:t>第十一节公司债券相关情况</w:t>
      </w:r>
      <w:r>
        <w:rPr>
          <w:b/>
          <w:sz w:val="24"/>
          <w:szCs w:val="24"/>
        </w:rPr>
        <w:tab/>
      </w:r>
      <w:r>
        <w:rPr>
          <w:b/>
          <w:sz w:val="24"/>
          <w:szCs w:val="24"/>
        </w:rPr>
        <w:fldChar w:fldCharType="begin"/>
      </w:r>
      <w:r>
        <w:rPr>
          <w:b/>
          <w:sz w:val="24"/>
          <w:szCs w:val="24"/>
        </w:rPr>
        <w:instrText xml:space="preserve"> PAGEREF _Toc38911282 \h </w:instrText>
      </w:r>
      <w:r>
        <w:rPr>
          <w:b/>
          <w:sz w:val="24"/>
          <w:szCs w:val="24"/>
        </w:rPr>
        <w:fldChar w:fldCharType="separate"/>
      </w:r>
      <w:r>
        <w:rPr>
          <w:b/>
          <w:sz w:val="24"/>
          <w:szCs w:val="24"/>
        </w:rPr>
        <w:t>99</w:t>
      </w:r>
      <w:r>
        <w:rPr>
          <w:b/>
          <w:sz w:val="24"/>
          <w:szCs w:val="24"/>
        </w:rPr>
        <w:fldChar w:fldCharType="end"/>
      </w:r>
      <w:r>
        <w:rPr>
          <w:b/>
          <w:sz w:val="24"/>
          <w:szCs w:val="24"/>
        </w:rPr>
        <w:fldChar w:fldCharType="end"/>
      </w:r>
    </w:p>
    <w:p>
      <w:pPr>
        <w:pStyle w:val="6"/>
        <w:tabs>
          <w:tab w:val="right" w:leader="dot" w:pos="9628"/>
        </w:tabs>
        <w:spacing w:line="360" w:lineRule="auto"/>
        <w:rPr>
          <w:b/>
          <w:sz w:val="24"/>
          <w:szCs w:val="24"/>
        </w:rPr>
      </w:pPr>
      <w:r>
        <w:fldChar w:fldCharType="begin"/>
      </w:r>
      <w:r>
        <w:instrText xml:space="preserve"> HYPERLINK \l "_Toc38911283" </w:instrText>
      </w:r>
      <w:r>
        <w:fldChar w:fldCharType="separate"/>
      </w:r>
      <w:r>
        <w:rPr>
          <w:rStyle w:val="11"/>
          <w:rFonts w:hint="eastAsia"/>
          <w:b/>
          <w:sz w:val="24"/>
          <w:szCs w:val="24"/>
        </w:rPr>
        <w:t>第十二节财务报告</w:t>
      </w:r>
      <w:r>
        <w:rPr>
          <w:b/>
          <w:sz w:val="24"/>
          <w:szCs w:val="24"/>
        </w:rPr>
        <w:tab/>
      </w:r>
      <w:r>
        <w:rPr>
          <w:b/>
          <w:sz w:val="24"/>
          <w:szCs w:val="24"/>
        </w:rPr>
        <w:fldChar w:fldCharType="begin"/>
      </w:r>
      <w:r>
        <w:rPr>
          <w:b/>
          <w:sz w:val="24"/>
          <w:szCs w:val="24"/>
        </w:rPr>
        <w:instrText xml:space="preserve"> PAGEREF _Toc38911283 \h </w:instrText>
      </w:r>
      <w:r>
        <w:rPr>
          <w:b/>
          <w:sz w:val="24"/>
          <w:szCs w:val="24"/>
        </w:rPr>
        <w:fldChar w:fldCharType="separate"/>
      </w:r>
      <w:r>
        <w:rPr>
          <w:b/>
          <w:sz w:val="24"/>
          <w:szCs w:val="24"/>
        </w:rPr>
        <w:t>100</w:t>
      </w:r>
      <w:r>
        <w:rPr>
          <w:b/>
          <w:sz w:val="24"/>
          <w:szCs w:val="24"/>
        </w:rPr>
        <w:fldChar w:fldCharType="end"/>
      </w:r>
      <w:r>
        <w:rPr>
          <w:b/>
          <w:sz w:val="24"/>
          <w:szCs w:val="24"/>
        </w:rPr>
        <w:fldChar w:fldCharType="end"/>
      </w:r>
    </w:p>
    <w:p>
      <w:pPr>
        <w:pStyle w:val="6"/>
        <w:tabs>
          <w:tab w:val="right" w:leader="dot" w:pos="9628"/>
        </w:tabs>
        <w:spacing w:line="360" w:lineRule="auto"/>
        <w:rPr>
          <w:b/>
          <w:sz w:val="24"/>
          <w:szCs w:val="24"/>
        </w:rPr>
      </w:pPr>
      <w:r>
        <w:fldChar w:fldCharType="begin"/>
      </w:r>
      <w:r>
        <w:instrText xml:space="preserve"> HYPERLINK \l "_Toc38911284" </w:instrText>
      </w:r>
      <w:r>
        <w:fldChar w:fldCharType="separate"/>
      </w:r>
      <w:r>
        <w:rPr>
          <w:rStyle w:val="11"/>
          <w:rFonts w:hint="eastAsia"/>
          <w:b/>
          <w:sz w:val="24"/>
          <w:szCs w:val="24"/>
        </w:rPr>
        <w:t>第十三节备查文件目录</w:t>
      </w:r>
      <w:r>
        <w:rPr>
          <w:b/>
          <w:sz w:val="24"/>
          <w:szCs w:val="24"/>
        </w:rPr>
        <w:tab/>
      </w:r>
      <w:r>
        <w:rPr>
          <w:b/>
          <w:sz w:val="24"/>
          <w:szCs w:val="24"/>
        </w:rPr>
        <w:fldChar w:fldCharType="begin"/>
      </w:r>
      <w:r>
        <w:rPr>
          <w:b/>
          <w:sz w:val="24"/>
          <w:szCs w:val="24"/>
        </w:rPr>
        <w:instrText xml:space="preserve"> PAGEREF _Toc38911284 \h </w:instrText>
      </w:r>
      <w:r>
        <w:rPr>
          <w:b/>
          <w:sz w:val="24"/>
          <w:szCs w:val="24"/>
        </w:rPr>
        <w:fldChar w:fldCharType="separate"/>
      </w:r>
      <w:r>
        <w:rPr>
          <w:b/>
          <w:sz w:val="24"/>
          <w:szCs w:val="24"/>
        </w:rPr>
        <w:t>257</w:t>
      </w:r>
      <w:r>
        <w:rPr>
          <w:b/>
          <w:sz w:val="24"/>
          <w:szCs w:val="24"/>
        </w:rPr>
        <w:fldChar w:fldCharType="end"/>
      </w:r>
      <w:r>
        <w:rPr>
          <w:b/>
          <w:sz w:val="24"/>
          <w:szCs w:val="24"/>
        </w:rPr>
        <w:fldChar w:fldCharType="end"/>
      </w:r>
    </w:p>
    <w:p>
      <w:pPr>
        <w:tabs>
          <w:tab w:val="right" w:leader="dot" w:pos="9628"/>
        </w:tabs>
        <w:spacing w:before="180" w:after="180"/>
        <w:rPr>
          <w:rFonts w:eastAsia="Times New Roman"/>
        </w:rPr>
        <w:sectPr>
          <w:pgSz w:w="11906" w:h="16838"/>
          <w:pgMar w:top="1440" w:right="1134" w:bottom="1440" w:left="1134" w:header="851" w:footer="992" w:gutter="0"/>
          <w:cols w:space="425" w:num="1"/>
          <w:docGrid w:type="lines" w:linePitch="312" w:charSpace="0"/>
        </w:sectPr>
      </w:pPr>
      <w:r>
        <w:rPr>
          <w:rFonts w:eastAsia="Times New Roman"/>
          <w:b/>
          <w:bCs/>
          <w:sz w:val="24"/>
          <w:szCs w:val="24"/>
        </w:rPr>
        <w:fldChar w:fldCharType="end"/>
      </w:r>
    </w:p>
    <w:p>
      <w:pPr>
        <w:spacing w:before="700" w:after="700"/>
        <w:jc w:val="center"/>
        <w:rPr>
          <w:b/>
          <w:bCs/>
          <w:sz w:val="32"/>
          <w:szCs w:val="32"/>
        </w:rPr>
      </w:pPr>
      <w:r>
        <w:rPr>
          <w:rFonts w:hint="eastAsia"/>
          <w:b/>
          <w:bCs/>
          <w:sz w:val="32"/>
          <w:szCs w:val="32"/>
        </w:rPr>
        <w:t>释义</w:t>
      </w:r>
    </w:p>
    <w:tbl>
      <w:tblPr>
        <w:tblStyle w:val="9"/>
        <w:tblW w:w="0" w:type="auto"/>
        <w:tblInd w:w="28" w:type="dxa"/>
        <w:tblLayout w:type="fixed"/>
        <w:tblCellMar>
          <w:top w:w="0" w:type="dxa"/>
          <w:left w:w="28" w:type="dxa"/>
          <w:bottom w:w="0" w:type="dxa"/>
          <w:right w:w="28" w:type="dxa"/>
        </w:tblCellMar>
      </w:tblPr>
      <w:tblGrid>
        <w:gridCol w:w="3524"/>
        <w:gridCol w:w="621"/>
        <w:gridCol w:w="5424"/>
      </w:tblGrid>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释义项</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释义内容</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公司、本公司、美康生物</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美康生物科技股份有限公司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美康有限</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宁波美康生物科技有限公司，系美康生物前身</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盛达生物</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宁波美康盛达生物科技有限公司，系公司子公司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盛德科技</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宁波美康盛德生物科技有限公司，系公司子公司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盛德医检所</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宁波美康盛德医学检验所有限公司，系公司子公司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美康保生</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宁波美康保生生物医学工程有限公司，系公司子公司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圣地亚哥美康</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SD MEDICAL SYSTEM,INC.</w:t>
            </w:r>
            <w:r>
              <w:rPr>
                <w:rFonts w:hint="eastAsia"/>
              </w:rPr>
              <w:t>，中文名称为圣地亚哥美康生物有限公司，系公司子公司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新疆伯晶</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新疆伯晶伟业商贸有限公司，系公司子公司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宁波生园</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宁波生园生物技术有限公司，系公司子公司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浙江涌捷</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浙江涌捷医疗器械有限公司，系公司子公司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美康基因</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宁波美康基因科技有限公司，系公司子公司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盛德租赁</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宁波美康盛德融资租赁有限公司，系公司全资子公司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内蒙古盛德</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内蒙古盛德医疗器械有限公司，系公司子公司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永城医检所</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永城美康盛德医学检验所有限公司，系公司子公司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郑州医检所</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郑州美康盛德医学检验所有限公司，系公司子公司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南昌医检所</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南昌美康盛德医学检验所有限公司，系公司子公司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上海京都</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上海京都生物工程有限公司，系公司子公司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苏州京都</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京都弘益生物科技（苏州）有限公司，系公司子公司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美康达</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浙江美康达冷链物流有限公司，系公司子公司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武汉美康</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武汉美康盛德科技有限公司，系公司子公司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上饶新安略</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上饶市新安略科技有限公司，系公司子公司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杭州医检所</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杭州美康盛德医学检验实验室有限公司，系公司子公司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抚州医检所</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抚州美康盛德医学检验所有限公司，系公司子公司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香港美康</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美康生物（香港）有限公司，系公司子公司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日本京都</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KYOTO LIFE SCIENCES CORPO</w:t>
            </w:r>
            <w:r>
              <w:rPr>
                <w:rFonts w:hint="eastAsia"/>
              </w:rPr>
              <w:t>，中文名称为京都生命科学株式会社，系公司子公司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康健基因</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宁波康健基因检测有限公司，系公司子公司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康健医检所</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宁波康健医学检验所有限公司，系公司子公司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伯明翰美康</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VAP DIAGNOSTICS LABORATORY INC</w:t>
            </w:r>
            <w:r>
              <w:rPr>
                <w:rFonts w:hint="eastAsia"/>
              </w:rPr>
              <w:t>，系公司子公司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内蒙古美康</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内蒙古美康生物医疗器械有限公司，系公司子公司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衡阳医检所</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衡阳美康盛德医学检验所有限公司，系公司子公司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深圳医检所</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深圳美康盛德医学检验实验室，系公司全资子公司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新余医检所</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新余美康盛德医学检验实验室有限公司，系公司子公司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浙江广盛源</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浙江广盛源医疗科技有限公司，系公司全资子公司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聊城盛达</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聊城美康盛达生物科技有限公司，系公司子公司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湖州医检所</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湖州美康盛德医学检验实验室有限公司，系公司全资子公司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诸暨医检所</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诸暨美康盛德医学检验实验室有限公司，系公司全资子公司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聊城医检所</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聊城美康盛德医学检验实验室有限公司，系公司子公司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美康盈实基金</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宁波美康盈实股权投资合伙企业（有限合伙），系公司子公司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杭州倚天</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杭州倚天生物技术有限公司，系公司全资子公司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上海曼贝</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上海曼贝生物技术有限公司，系公司全资子公司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江西美康</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江西美康盛德生物科技有限公司，系公司子公司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苏州盛德</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美康盛德医疗科技（苏州）有限公司，系公司全资子公司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广西盛德</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美康盛德</w:t>
            </w:r>
            <w:r>
              <w:t>(</w:t>
            </w:r>
            <w:r>
              <w:rPr>
                <w:rFonts w:hint="eastAsia"/>
              </w:rPr>
              <w:t>广西）投资有限公司，系公司子公司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民权医检所</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民权县美康盛德医学检验实验室有限公司，系公司子公司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盛德倚天</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宁波盛德倚天生物技术有限公司，系公司全资子公司</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IVD</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In-Vitro Diagnostics</w:t>
            </w:r>
            <w:r>
              <w:rPr>
                <w:rFonts w:hint="eastAsia"/>
              </w:rPr>
              <w:t>的缩写，中文译为体外诊断，是指运用专业科学的仪器、试剂或系统，对人体样本（血液、体液、组织等）进行检验而获取临床诊断信息，广泛应用于体检、慢性病管理、重疾监测、临床治疗等方面，已成为人类疾病预防、诊断、治疗日益重要的组成部分。</w:t>
            </w:r>
            <w:r>
              <w:t>IVD</w:t>
            </w:r>
            <w:r>
              <w:rPr>
                <w:rFonts w:hint="eastAsia"/>
              </w:rPr>
              <w:t>产业即指体外诊断产业。</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室间质评</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指多家实验室分析同一标本并由外部独立机构收集、反馈实验室上报结果并评价实验室检测能力的活动，又称室间质量评价或能力验证实验。</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独立医学实验室</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Independent Clinical Laboratory</w:t>
            </w:r>
            <w:r>
              <w:rPr>
                <w:rFonts w:hint="eastAsia"/>
              </w:rPr>
              <w:t>，在法律上是独立的经济实体，有资格进行独立经济核算并承担相应法律责任；在管理体制上独立于医疗机构，能立场公正地提供第三方医学诊断的医学检验中心。</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量值溯源</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通过一条具有规定不确定度的不间断的比较链，使测量结果或测量标准的值能够与规定的参考标准（通常是国家计量基准或国际计量基准）联系起来的特性。</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POCT</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Piont-Of-Care Testing</w:t>
            </w:r>
            <w:r>
              <w:rPr>
                <w:rFonts w:hint="eastAsia"/>
              </w:rPr>
              <w:t>的缩写，指在患者身边进行的临床检验，不需要固定的检验场所，试剂和仪器均是便携式的，并且可及时操作。</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质谱</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质谱（又叫质谱法）是一种与光谱并列的谱学方法，通常意义上是指广泛应用于各个学科领域中通过制备、分离、检测气相离子来鉴定化合物的一种专门技术。质谱仪器一般由样品导入系统、离子源、质量分析器、检测器、数据处理系统等部分组成。</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VAP&amp;VLP</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Vertical Auto Profile</w:t>
            </w:r>
            <w:r>
              <w:rPr>
                <w:rFonts w:hint="eastAsia"/>
              </w:rPr>
              <w:t>和</w:t>
            </w:r>
            <w:r>
              <w:t>Vertical Liporotein Partical</w:t>
            </w:r>
            <w:r>
              <w:rPr>
                <w:rFonts w:hint="eastAsia"/>
              </w:rPr>
              <w:t>的缩写，指用超速离心法按密度分离脂蛋白后，用来检测不同的脂蛋白胆固醇及其亚组分，对低密度脂蛋白进行分型，并检测脂蛋白的颗粒浓度。</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报告期</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2019</w:t>
            </w:r>
            <w:r>
              <w:rPr>
                <w:rFonts w:hint="eastAsia"/>
              </w:rPr>
              <w:t>年</w:t>
            </w:r>
            <w:r>
              <w:t>1</w:t>
            </w:r>
            <w:r>
              <w:rPr>
                <w:rFonts w:hint="eastAsia"/>
              </w:rPr>
              <w:t>月</w:t>
            </w:r>
            <w:r>
              <w:t>1</w:t>
            </w:r>
            <w:r>
              <w:rPr>
                <w:rFonts w:hint="eastAsia"/>
              </w:rPr>
              <w:t>日</w:t>
            </w:r>
            <w:r>
              <w:t>-2019</w:t>
            </w:r>
            <w:r>
              <w:rPr>
                <w:rFonts w:hint="eastAsia"/>
              </w:rPr>
              <w:t>年</w:t>
            </w:r>
            <w:r>
              <w:t>12</w:t>
            </w:r>
            <w:r>
              <w:rPr>
                <w:rFonts w:hint="eastAsia"/>
              </w:rPr>
              <w:t>月</w:t>
            </w:r>
            <w:r>
              <w:t>31</w:t>
            </w:r>
            <w:r>
              <w:rPr>
                <w:rFonts w:hint="eastAsia"/>
              </w:rPr>
              <w:t>日</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上年同期</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2018</w:t>
            </w:r>
            <w:r>
              <w:rPr>
                <w:rFonts w:hint="eastAsia"/>
              </w:rPr>
              <w:t>年</w:t>
            </w:r>
            <w:r>
              <w:t>1</w:t>
            </w:r>
            <w:r>
              <w:rPr>
                <w:rFonts w:hint="eastAsia"/>
              </w:rPr>
              <w:t>月</w:t>
            </w:r>
            <w:r>
              <w:t>1</w:t>
            </w:r>
            <w:r>
              <w:rPr>
                <w:rFonts w:hint="eastAsia"/>
              </w:rPr>
              <w:t>日</w:t>
            </w:r>
            <w:r>
              <w:t>-2018</w:t>
            </w:r>
            <w:r>
              <w:rPr>
                <w:rFonts w:hint="eastAsia"/>
              </w:rPr>
              <w:t>年</w:t>
            </w:r>
            <w:r>
              <w:t>12</w:t>
            </w:r>
            <w:r>
              <w:rPr>
                <w:rFonts w:hint="eastAsia"/>
              </w:rPr>
              <w:t>月</w:t>
            </w:r>
            <w:r>
              <w:t>31</w:t>
            </w:r>
            <w:r>
              <w:rPr>
                <w:rFonts w:hint="eastAsia"/>
              </w:rPr>
              <w:t>日</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深交所</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深圳证券交易所</w:t>
            </w:r>
          </w:p>
        </w:tc>
      </w:tr>
      <w:tr>
        <w:tblPrEx>
          <w:tblCellMar>
            <w:top w:w="0" w:type="dxa"/>
            <w:left w:w="28" w:type="dxa"/>
            <w:bottom w:w="0" w:type="dxa"/>
            <w:right w:w="28" w:type="dxa"/>
          </w:tblCellMar>
        </w:tblPrEx>
        <w:tc>
          <w:tcPr>
            <w:tcW w:w="35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创业板</w:t>
            </w:r>
          </w:p>
        </w:tc>
        <w:tc>
          <w:tcPr>
            <w:tcW w:w="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指</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深圳证券交易所创业板</w:t>
            </w:r>
          </w:p>
        </w:tc>
      </w:tr>
    </w:tbl>
    <w:p>
      <w:pPr>
        <w:sectPr>
          <w:pgSz w:w="11906" w:h="16838"/>
          <w:pgMar w:top="1440" w:right="1134" w:bottom="1440" w:left="1134" w:header="851" w:footer="992" w:gutter="0"/>
          <w:cols w:space="425" w:num="1"/>
          <w:docGrid w:type="lines" w:linePitch="312" w:charSpace="0"/>
        </w:sectPr>
      </w:pPr>
    </w:p>
    <w:p>
      <w:pPr>
        <w:pStyle w:val="8"/>
        <w:outlineLvl w:val="0"/>
      </w:pPr>
      <w:bookmarkStart w:id="2" w:name="_Toc38911273"/>
      <w:r>
        <w:rPr>
          <w:rFonts w:hint="eastAsia"/>
        </w:rPr>
        <w:t>第二节公司简介和主要财务指标</w:t>
      </w:r>
      <w:bookmarkEnd w:id="2"/>
    </w:p>
    <w:p>
      <w:pPr>
        <w:pStyle w:val="13"/>
        <w:outlineLvl w:val="1"/>
      </w:pPr>
      <w:r>
        <w:rPr>
          <w:rFonts w:hint="eastAsia"/>
        </w:rPr>
        <w:t>一、公司信息</w:t>
      </w:r>
    </w:p>
    <w:tbl>
      <w:tblPr>
        <w:tblStyle w:val="9"/>
        <w:tblW w:w="0" w:type="auto"/>
        <w:tblInd w:w="28" w:type="dxa"/>
        <w:tblLayout w:type="fixed"/>
        <w:tblCellMar>
          <w:top w:w="0" w:type="dxa"/>
          <w:left w:w="28" w:type="dxa"/>
          <w:bottom w:w="0" w:type="dxa"/>
          <w:right w:w="28" w:type="dxa"/>
        </w:tblCellMar>
      </w:tblPr>
      <w:tblGrid>
        <w:gridCol w:w="2284"/>
        <w:gridCol w:w="2953"/>
        <w:gridCol w:w="2156"/>
        <w:gridCol w:w="2176"/>
      </w:tblGrid>
      <w:tr>
        <w:tc>
          <w:tcPr>
            <w:tcW w:w="22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股票简称</w:t>
            </w:r>
          </w:p>
        </w:tc>
        <w:tc>
          <w:tcPr>
            <w:tcW w:w="29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美康生物</w:t>
            </w:r>
          </w:p>
        </w:tc>
        <w:tc>
          <w:tcPr>
            <w:tcW w:w="215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股票代码</w:t>
            </w:r>
          </w:p>
        </w:tc>
        <w:tc>
          <w:tcPr>
            <w:tcW w:w="217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300439</w:t>
            </w:r>
          </w:p>
        </w:tc>
      </w:tr>
      <w:tr>
        <w:tblPrEx>
          <w:tblCellMar>
            <w:top w:w="0" w:type="dxa"/>
            <w:left w:w="28" w:type="dxa"/>
            <w:bottom w:w="0" w:type="dxa"/>
            <w:right w:w="28" w:type="dxa"/>
          </w:tblCellMar>
        </w:tblPrEx>
        <w:tc>
          <w:tcPr>
            <w:tcW w:w="22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公司的中文名称</w:t>
            </w:r>
          </w:p>
        </w:tc>
        <w:tc>
          <w:tcPr>
            <w:tcW w:w="7285" w:type="dxa"/>
            <w:gridSpan w:val="3"/>
            <w:tcBorders>
              <w:top w:val="single" w:color="auto" w:sz="4" w:space="0"/>
              <w:left w:val="single" w:color="auto" w:sz="4" w:space="0"/>
              <w:bottom w:val="single" w:color="auto" w:sz="4" w:space="0"/>
              <w:right w:val="single" w:color="auto" w:sz="4" w:space="0"/>
            </w:tcBorders>
            <w:vAlign w:val="center"/>
          </w:tcPr>
          <w:p>
            <w:pPr>
              <w:jc w:val="left"/>
            </w:pPr>
            <w:r>
              <w:rPr>
                <w:rFonts w:hint="eastAsia"/>
              </w:rPr>
              <w:t>美康生物科技股份有限公司</w:t>
            </w:r>
          </w:p>
        </w:tc>
      </w:tr>
      <w:tr>
        <w:tblPrEx>
          <w:tblCellMar>
            <w:top w:w="0" w:type="dxa"/>
            <w:left w:w="28" w:type="dxa"/>
            <w:bottom w:w="0" w:type="dxa"/>
            <w:right w:w="28" w:type="dxa"/>
          </w:tblCellMar>
        </w:tblPrEx>
        <w:tc>
          <w:tcPr>
            <w:tcW w:w="22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公司的中文简称</w:t>
            </w:r>
          </w:p>
        </w:tc>
        <w:tc>
          <w:tcPr>
            <w:tcW w:w="728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美康生物</w:t>
            </w:r>
          </w:p>
        </w:tc>
      </w:tr>
      <w:tr>
        <w:tblPrEx>
          <w:tblCellMar>
            <w:top w:w="0" w:type="dxa"/>
            <w:left w:w="28" w:type="dxa"/>
            <w:bottom w:w="0" w:type="dxa"/>
            <w:right w:w="28" w:type="dxa"/>
          </w:tblCellMar>
        </w:tblPrEx>
        <w:tc>
          <w:tcPr>
            <w:tcW w:w="22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公司的外文名称（如有）</w:t>
            </w:r>
          </w:p>
        </w:tc>
        <w:tc>
          <w:tcPr>
            <w:tcW w:w="728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MEDICALSYSTEM BIOTECHNOLOGY CO.,LTD</w:t>
            </w:r>
          </w:p>
        </w:tc>
      </w:tr>
      <w:tr>
        <w:tblPrEx>
          <w:tblCellMar>
            <w:top w:w="0" w:type="dxa"/>
            <w:left w:w="28" w:type="dxa"/>
            <w:bottom w:w="0" w:type="dxa"/>
            <w:right w:w="28" w:type="dxa"/>
          </w:tblCellMar>
        </w:tblPrEx>
        <w:tc>
          <w:tcPr>
            <w:tcW w:w="22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公司的外文名称缩写（如有）</w:t>
            </w:r>
          </w:p>
        </w:tc>
        <w:tc>
          <w:tcPr>
            <w:tcW w:w="728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MEDICALSYSTEM</w:t>
            </w:r>
          </w:p>
        </w:tc>
      </w:tr>
      <w:tr>
        <w:tc>
          <w:tcPr>
            <w:tcW w:w="22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公司的法定代表人</w:t>
            </w:r>
          </w:p>
        </w:tc>
        <w:tc>
          <w:tcPr>
            <w:tcW w:w="7285" w:type="dxa"/>
            <w:gridSpan w:val="3"/>
            <w:tcBorders>
              <w:top w:val="single" w:color="auto" w:sz="4" w:space="0"/>
              <w:left w:val="single" w:color="auto" w:sz="4" w:space="0"/>
              <w:bottom w:val="single" w:color="auto" w:sz="4" w:space="0"/>
              <w:right w:val="single" w:color="auto" w:sz="4" w:space="0"/>
            </w:tcBorders>
            <w:vAlign w:val="center"/>
          </w:tcPr>
          <w:p>
            <w:pPr>
              <w:jc w:val="left"/>
            </w:pPr>
            <w:r>
              <w:rPr>
                <w:rFonts w:hint="eastAsia"/>
              </w:rPr>
              <w:t>邹炳德</w:t>
            </w:r>
          </w:p>
        </w:tc>
      </w:tr>
      <w:tr>
        <w:tc>
          <w:tcPr>
            <w:tcW w:w="22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注册地址</w:t>
            </w:r>
          </w:p>
        </w:tc>
        <w:tc>
          <w:tcPr>
            <w:tcW w:w="728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宁波市鄞州区启明南路</w:t>
            </w:r>
            <w:r>
              <w:t>299</w:t>
            </w:r>
            <w:r>
              <w:rPr>
                <w:rFonts w:hint="eastAsia"/>
              </w:rPr>
              <w:t>号</w:t>
            </w:r>
          </w:p>
        </w:tc>
      </w:tr>
      <w:tr>
        <w:tc>
          <w:tcPr>
            <w:tcW w:w="22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注册地址的邮政编码</w:t>
            </w:r>
          </w:p>
        </w:tc>
        <w:tc>
          <w:tcPr>
            <w:tcW w:w="728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315104</w:t>
            </w:r>
          </w:p>
        </w:tc>
      </w:tr>
      <w:tr>
        <w:tblPrEx>
          <w:tblCellMar>
            <w:top w:w="0" w:type="dxa"/>
            <w:left w:w="28" w:type="dxa"/>
            <w:bottom w:w="0" w:type="dxa"/>
            <w:right w:w="28" w:type="dxa"/>
          </w:tblCellMar>
        </w:tblPrEx>
        <w:tc>
          <w:tcPr>
            <w:tcW w:w="22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办公地址</w:t>
            </w:r>
          </w:p>
        </w:tc>
        <w:tc>
          <w:tcPr>
            <w:tcW w:w="728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宁波市鄞州区启明南路</w:t>
            </w:r>
            <w:r>
              <w:t>299</w:t>
            </w:r>
            <w:r>
              <w:rPr>
                <w:rFonts w:hint="eastAsia"/>
              </w:rPr>
              <w:t>号</w:t>
            </w:r>
          </w:p>
        </w:tc>
      </w:tr>
      <w:tr>
        <w:tblPrEx>
          <w:tblCellMar>
            <w:top w:w="0" w:type="dxa"/>
            <w:left w:w="28" w:type="dxa"/>
            <w:bottom w:w="0" w:type="dxa"/>
            <w:right w:w="28" w:type="dxa"/>
          </w:tblCellMar>
        </w:tblPrEx>
        <w:tc>
          <w:tcPr>
            <w:tcW w:w="22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办公地址的邮政编码</w:t>
            </w:r>
          </w:p>
        </w:tc>
        <w:tc>
          <w:tcPr>
            <w:tcW w:w="728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315104</w:t>
            </w:r>
          </w:p>
        </w:tc>
      </w:tr>
      <w:tr>
        <w:tblPrEx>
          <w:tblCellMar>
            <w:top w:w="0" w:type="dxa"/>
            <w:left w:w="28" w:type="dxa"/>
            <w:bottom w:w="0" w:type="dxa"/>
            <w:right w:w="28" w:type="dxa"/>
          </w:tblCellMar>
        </w:tblPrEx>
        <w:tc>
          <w:tcPr>
            <w:tcW w:w="22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公司国际互联网网址</w:t>
            </w:r>
          </w:p>
        </w:tc>
        <w:tc>
          <w:tcPr>
            <w:tcW w:w="728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www.nbmedicalsystem.com</w:t>
            </w:r>
          </w:p>
        </w:tc>
      </w:tr>
      <w:tr>
        <w:tblPrEx>
          <w:tblCellMar>
            <w:top w:w="0" w:type="dxa"/>
            <w:left w:w="28" w:type="dxa"/>
            <w:bottom w:w="0" w:type="dxa"/>
            <w:right w:w="28" w:type="dxa"/>
          </w:tblCellMar>
        </w:tblPrEx>
        <w:tc>
          <w:tcPr>
            <w:tcW w:w="22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电子信箱</w:t>
            </w:r>
          </w:p>
        </w:tc>
        <w:tc>
          <w:tcPr>
            <w:tcW w:w="728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mksw@nbmedicalsystem.com</w:t>
            </w:r>
          </w:p>
        </w:tc>
      </w:tr>
    </w:tbl>
    <w:p>
      <w:pPr>
        <w:pStyle w:val="13"/>
        <w:outlineLvl w:val="1"/>
      </w:pPr>
      <w:r>
        <w:rPr>
          <w:rFonts w:hint="eastAsia"/>
        </w:rPr>
        <w:t>二、联系人和联系方式</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董事会秘书</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证券事务代表</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姓名</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熊慧萍</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邬晓晗</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联系地址</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宁波市鄞州区启明南路</w:t>
            </w:r>
            <w:r>
              <w:t>299</w:t>
            </w:r>
            <w:r>
              <w:rPr>
                <w:rFonts w:hint="eastAsia"/>
              </w:rPr>
              <w:t>号</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宁波市鄞州区启明南路</w:t>
            </w:r>
            <w:r>
              <w:t>299</w:t>
            </w:r>
            <w:r>
              <w:rPr>
                <w:rFonts w:hint="eastAsia"/>
              </w:rPr>
              <w:t>号</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电话</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0574-28882206</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0574-28882206</w:t>
            </w:r>
          </w:p>
        </w:tc>
      </w:tr>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传真</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0574-28882205</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0574-28882205</w:t>
            </w:r>
          </w:p>
        </w:tc>
      </w:tr>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电子信箱</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mksw@nbmedicalsystem.com</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mksw@nbmedicalsystem.com</w:t>
            </w:r>
          </w:p>
        </w:tc>
      </w:tr>
    </w:tbl>
    <w:p>
      <w:pPr>
        <w:pStyle w:val="13"/>
        <w:outlineLvl w:val="1"/>
      </w:pPr>
      <w:r>
        <w:rPr>
          <w:rFonts w:hint="eastAsia"/>
        </w:rPr>
        <w:t>三、信息披露及备置地点</w:t>
      </w:r>
    </w:p>
    <w:tbl>
      <w:tblPr>
        <w:tblStyle w:val="9"/>
        <w:tblW w:w="0" w:type="auto"/>
        <w:tblInd w:w="28" w:type="dxa"/>
        <w:tblLayout w:type="fixed"/>
        <w:tblCellMar>
          <w:top w:w="0" w:type="dxa"/>
          <w:left w:w="28" w:type="dxa"/>
          <w:bottom w:w="0" w:type="dxa"/>
          <w:right w:w="28" w:type="dxa"/>
        </w:tblCellMar>
      </w:tblPr>
      <w:tblGrid>
        <w:gridCol w:w="3992"/>
        <w:gridCol w:w="5576"/>
      </w:tblGrid>
      <w:tr>
        <w:tc>
          <w:tcPr>
            <w:tcW w:w="39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公司选定的信息披露媒体的名称</w:t>
            </w:r>
          </w:p>
        </w:tc>
        <w:tc>
          <w:tcPr>
            <w:tcW w:w="5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《证券时报》</w:t>
            </w:r>
          </w:p>
        </w:tc>
      </w:tr>
      <w:tr>
        <w:tblPrEx>
          <w:tblCellMar>
            <w:top w:w="0" w:type="dxa"/>
            <w:left w:w="28" w:type="dxa"/>
            <w:bottom w:w="0" w:type="dxa"/>
            <w:right w:w="28" w:type="dxa"/>
          </w:tblCellMar>
        </w:tblPrEx>
        <w:tc>
          <w:tcPr>
            <w:tcW w:w="39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登载年度报告的中国证监会指定网站的网址</w:t>
            </w:r>
          </w:p>
        </w:tc>
        <w:tc>
          <w:tcPr>
            <w:tcW w:w="5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巨潮资讯网</w:t>
            </w:r>
            <w:r>
              <w:t xml:space="preserve"> http</w:t>
            </w:r>
            <w:r>
              <w:rPr>
                <w:rFonts w:hint="eastAsia"/>
              </w:rPr>
              <w:t>：</w:t>
            </w:r>
            <w:r>
              <w:t>//www.cninfo.com.cn</w:t>
            </w:r>
          </w:p>
        </w:tc>
      </w:tr>
      <w:tr>
        <w:tblPrEx>
          <w:tblCellMar>
            <w:top w:w="0" w:type="dxa"/>
            <w:left w:w="28" w:type="dxa"/>
            <w:bottom w:w="0" w:type="dxa"/>
            <w:right w:w="28" w:type="dxa"/>
          </w:tblCellMar>
        </w:tblPrEx>
        <w:tc>
          <w:tcPr>
            <w:tcW w:w="39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公司年度报告备置地点</w:t>
            </w:r>
          </w:p>
        </w:tc>
        <w:tc>
          <w:tcPr>
            <w:tcW w:w="5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公司证券事务部</w:t>
            </w:r>
          </w:p>
        </w:tc>
      </w:tr>
    </w:tbl>
    <w:p>
      <w:pPr>
        <w:pStyle w:val="13"/>
        <w:outlineLvl w:val="1"/>
      </w:pPr>
      <w:r>
        <w:rPr>
          <w:rFonts w:hint="eastAsia"/>
        </w:rPr>
        <w:t>四、其他有关资料</w:t>
      </w:r>
    </w:p>
    <w:p>
      <w:pPr>
        <w:jc w:val="left"/>
      </w:pPr>
      <w:r>
        <w:rPr>
          <w:rFonts w:hint="eastAsia"/>
        </w:rPr>
        <w:t>公司聘请的会计师事务所</w:t>
      </w:r>
    </w:p>
    <w:tbl>
      <w:tblPr>
        <w:tblStyle w:val="9"/>
        <w:tblW w:w="0" w:type="auto"/>
        <w:tblInd w:w="28" w:type="dxa"/>
        <w:tblLayout w:type="fixed"/>
        <w:tblCellMar>
          <w:top w:w="0" w:type="dxa"/>
          <w:left w:w="28" w:type="dxa"/>
          <w:bottom w:w="0" w:type="dxa"/>
          <w:right w:w="28" w:type="dxa"/>
        </w:tblCellMar>
      </w:tblPr>
      <w:tblGrid>
        <w:gridCol w:w="2662"/>
        <w:gridCol w:w="6906"/>
      </w:tblGrid>
      <w:tr>
        <w:tblPrEx>
          <w:tblCellMar>
            <w:top w:w="0" w:type="dxa"/>
            <w:left w:w="28" w:type="dxa"/>
            <w:bottom w:w="0" w:type="dxa"/>
            <w:right w:w="28" w:type="dxa"/>
          </w:tblCellMar>
        </w:tblPrEx>
        <w:tc>
          <w:tcPr>
            <w:tcW w:w="26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会计师事务所名称</w:t>
            </w:r>
          </w:p>
        </w:tc>
        <w:tc>
          <w:tcPr>
            <w:tcW w:w="690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立信会计师事务所（特殊普通合伙）</w:t>
            </w:r>
          </w:p>
        </w:tc>
      </w:tr>
      <w:tr>
        <w:tblPrEx>
          <w:tblCellMar>
            <w:top w:w="0" w:type="dxa"/>
            <w:left w:w="28" w:type="dxa"/>
            <w:bottom w:w="0" w:type="dxa"/>
            <w:right w:w="28" w:type="dxa"/>
          </w:tblCellMar>
        </w:tblPrEx>
        <w:tc>
          <w:tcPr>
            <w:tcW w:w="26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会计师事务所办公地址</w:t>
            </w:r>
          </w:p>
        </w:tc>
        <w:tc>
          <w:tcPr>
            <w:tcW w:w="690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杭州市江干区庆春东路百大绿城西子国际</w:t>
            </w:r>
            <w:r>
              <w:t>TA28-29</w:t>
            </w:r>
            <w:r>
              <w:rPr>
                <w:rFonts w:hint="eastAsia"/>
              </w:rPr>
              <w:t>楼</w:t>
            </w:r>
          </w:p>
        </w:tc>
      </w:tr>
      <w:tr>
        <w:tblPrEx>
          <w:tblCellMar>
            <w:top w:w="0" w:type="dxa"/>
            <w:left w:w="28" w:type="dxa"/>
            <w:bottom w:w="0" w:type="dxa"/>
            <w:right w:w="28" w:type="dxa"/>
          </w:tblCellMar>
        </w:tblPrEx>
        <w:tc>
          <w:tcPr>
            <w:tcW w:w="26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签字会计师姓名</w:t>
            </w:r>
          </w:p>
        </w:tc>
        <w:tc>
          <w:tcPr>
            <w:tcW w:w="690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李勇平、陈云艳、李静程</w:t>
            </w:r>
          </w:p>
        </w:tc>
      </w:tr>
    </w:tbl>
    <w:p>
      <w:pPr>
        <w:jc w:val="left"/>
      </w:pPr>
      <w:r>
        <w:rPr>
          <w:rFonts w:hint="eastAsia"/>
        </w:rPr>
        <w:t>公司聘请的报告期内履行持续督导职责的保荐机构</w:t>
      </w:r>
    </w:p>
    <w:p>
      <w:pPr>
        <w:jc w:val="left"/>
      </w:pPr>
      <w:r>
        <w:t xml:space="preserve">□ </w:t>
      </w:r>
      <w:r>
        <w:rPr>
          <w:rFonts w:hint="eastAsia"/>
        </w:rPr>
        <w:t>适用</w:t>
      </w:r>
      <w:r>
        <w:t xml:space="preserve"> √ </w:t>
      </w:r>
      <w:r>
        <w:rPr>
          <w:rFonts w:hint="eastAsia"/>
        </w:rPr>
        <w:t>不适用</w:t>
      </w:r>
      <w:r>
        <w:t xml:space="preserve"> </w:t>
      </w:r>
    </w:p>
    <w:p>
      <w:pPr>
        <w:jc w:val="left"/>
      </w:pPr>
      <w:r>
        <w:rPr>
          <w:rFonts w:hint="eastAsia"/>
        </w:rPr>
        <w:t>公司聘请的报告期内履行持续督导职责的财务顾问</w:t>
      </w:r>
    </w:p>
    <w:p>
      <w:pPr>
        <w:jc w:val="left"/>
      </w:pPr>
      <w:r>
        <w:t xml:space="preserve">□ </w:t>
      </w:r>
      <w:r>
        <w:rPr>
          <w:rFonts w:hint="eastAsia"/>
        </w:rPr>
        <w:t>适用</w:t>
      </w:r>
      <w:r>
        <w:t xml:space="preserve"> √ </w:t>
      </w:r>
      <w:r>
        <w:rPr>
          <w:rFonts w:hint="eastAsia"/>
        </w:rPr>
        <w:t>不适用</w:t>
      </w:r>
      <w:r>
        <w:t xml:space="preserve"> </w:t>
      </w:r>
    </w:p>
    <w:p>
      <w:pPr>
        <w:pStyle w:val="13"/>
        <w:outlineLvl w:val="1"/>
      </w:pPr>
      <w:r>
        <w:rPr>
          <w:rFonts w:hint="eastAsia"/>
        </w:rPr>
        <w:t>五、主要会计数据和财务指标</w:t>
      </w:r>
    </w:p>
    <w:p>
      <w:pPr>
        <w:jc w:val="left"/>
      </w:pPr>
      <w:r>
        <w:rPr>
          <w:rFonts w:hint="eastAsia"/>
        </w:rPr>
        <w:t>公司是否需追溯调整或重述以前年度会计数据</w:t>
      </w:r>
    </w:p>
    <w:p>
      <w:pPr>
        <w:jc w:val="left"/>
      </w:pPr>
      <w:r>
        <w:t xml:space="preserve">□ </w:t>
      </w:r>
      <w:r>
        <w:rPr>
          <w:rFonts w:hint="eastAsia"/>
        </w:rPr>
        <w:t>是</w:t>
      </w:r>
      <w:r>
        <w:t xml:space="preserve"> √ </w:t>
      </w:r>
      <w:r>
        <w:rPr>
          <w:rFonts w:hint="eastAsia"/>
        </w:rPr>
        <w:t>否</w:t>
      </w:r>
      <w:r>
        <w:t xml:space="preserve"> </w:t>
      </w:r>
    </w:p>
    <w:tbl>
      <w:tblPr>
        <w:tblStyle w:val="9"/>
        <w:tblW w:w="0" w:type="auto"/>
        <w:tblInd w:w="28" w:type="dxa"/>
        <w:tblLayout w:type="fixed"/>
        <w:tblCellMar>
          <w:top w:w="0" w:type="dxa"/>
          <w:left w:w="28" w:type="dxa"/>
          <w:bottom w:w="0" w:type="dxa"/>
          <w:right w:w="28" w:type="dxa"/>
        </w:tblCellMar>
      </w:tblPr>
      <w:tblGrid>
        <w:gridCol w:w="2621"/>
        <w:gridCol w:w="1738"/>
        <w:gridCol w:w="1737"/>
        <w:gridCol w:w="1737"/>
        <w:gridCol w:w="1736"/>
      </w:tblGrid>
      <w:tr>
        <w:tc>
          <w:tcPr>
            <w:tcW w:w="2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p>
        </w:tc>
        <w:tc>
          <w:tcPr>
            <w:tcW w:w="173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2019</w:t>
            </w:r>
            <w:r>
              <w:rPr>
                <w:rFonts w:hint="eastAsia"/>
              </w:rPr>
              <w:t>年</w:t>
            </w:r>
          </w:p>
        </w:tc>
        <w:tc>
          <w:tcPr>
            <w:tcW w:w="173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2018</w:t>
            </w:r>
            <w:r>
              <w:rPr>
                <w:rFonts w:hint="eastAsia"/>
              </w:rPr>
              <w:t>年</w:t>
            </w:r>
          </w:p>
        </w:tc>
        <w:tc>
          <w:tcPr>
            <w:tcW w:w="173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本年比上年增减</w:t>
            </w:r>
          </w:p>
        </w:tc>
        <w:tc>
          <w:tcPr>
            <w:tcW w:w="1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2017</w:t>
            </w:r>
            <w:r>
              <w:rPr>
                <w:rFonts w:hint="eastAsia"/>
              </w:rPr>
              <w:t>年</w:t>
            </w:r>
          </w:p>
        </w:tc>
      </w:tr>
      <w:tr>
        <w:tc>
          <w:tcPr>
            <w:tcW w:w="2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营业收入（元）</w:t>
            </w:r>
          </w:p>
        </w:tc>
        <w:tc>
          <w:tcPr>
            <w:tcW w:w="173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3,133,447,697.27</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3,135,122,919.82</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-0.05%</w:t>
            </w:r>
          </w:p>
        </w:tc>
        <w:tc>
          <w:tcPr>
            <w:tcW w:w="1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2,584,187,565.78</w:t>
            </w:r>
          </w:p>
        </w:tc>
      </w:tr>
      <w:tr>
        <w:tc>
          <w:tcPr>
            <w:tcW w:w="2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归属于上市公司股东的净利润（元）</w:t>
            </w:r>
          </w:p>
        </w:tc>
        <w:tc>
          <w:tcPr>
            <w:tcW w:w="173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-559,912,183.23</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241,172,082.63</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-332.16%</w:t>
            </w:r>
          </w:p>
        </w:tc>
        <w:tc>
          <w:tcPr>
            <w:tcW w:w="1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229,700,185.54</w:t>
            </w:r>
          </w:p>
        </w:tc>
      </w:tr>
      <w:tr>
        <w:tc>
          <w:tcPr>
            <w:tcW w:w="2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归属于上市公司股东的扣除非经常性损益的净利润（元）</w:t>
            </w:r>
          </w:p>
        </w:tc>
        <w:tc>
          <w:tcPr>
            <w:tcW w:w="173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-586,571,571.65</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207,314,603.14</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-382.94%</w:t>
            </w:r>
          </w:p>
        </w:tc>
        <w:tc>
          <w:tcPr>
            <w:tcW w:w="1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194,175,289.38</w:t>
            </w:r>
          </w:p>
        </w:tc>
      </w:tr>
      <w:tr>
        <w:tc>
          <w:tcPr>
            <w:tcW w:w="2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经营活动产生的现金流量净额（元）</w:t>
            </w:r>
          </w:p>
        </w:tc>
        <w:tc>
          <w:tcPr>
            <w:tcW w:w="173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601,170,720.83</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418,803,231.72</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color w:val="000000"/>
              </w:rPr>
            </w:pPr>
            <w:r>
              <w:rPr>
                <w:color w:val="000000"/>
              </w:rPr>
              <w:t>43.54%</w:t>
            </w:r>
          </w:p>
        </w:tc>
        <w:tc>
          <w:tcPr>
            <w:tcW w:w="1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-53,616,095.18</w:t>
            </w:r>
          </w:p>
        </w:tc>
      </w:tr>
      <w:tr>
        <w:tc>
          <w:tcPr>
            <w:tcW w:w="2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基本每股收益（元</w:t>
            </w:r>
            <w:r>
              <w:t>/</w:t>
            </w:r>
            <w:r>
              <w:rPr>
                <w:rFonts w:hint="eastAsia"/>
              </w:rPr>
              <w:t>股）</w:t>
            </w:r>
          </w:p>
        </w:tc>
        <w:tc>
          <w:tcPr>
            <w:tcW w:w="173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-1.63</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0.71</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-329.58%</w:t>
            </w:r>
          </w:p>
        </w:tc>
        <w:tc>
          <w:tcPr>
            <w:tcW w:w="1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0.66</w:t>
            </w:r>
          </w:p>
        </w:tc>
      </w:tr>
      <w:tr>
        <w:tc>
          <w:tcPr>
            <w:tcW w:w="2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稀释每股收益（元</w:t>
            </w:r>
            <w:r>
              <w:t>/</w:t>
            </w:r>
            <w:r>
              <w:rPr>
                <w:rFonts w:hint="eastAsia"/>
              </w:rPr>
              <w:t>股）</w:t>
            </w:r>
          </w:p>
        </w:tc>
        <w:tc>
          <w:tcPr>
            <w:tcW w:w="173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-1.63</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0.70</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-332.86%</w:t>
            </w:r>
          </w:p>
        </w:tc>
        <w:tc>
          <w:tcPr>
            <w:tcW w:w="1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0.66</w:t>
            </w:r>
          </w:p>
        </w:tc>
      </w:tr>
      <w:tr>
        <w:tc>
          <w:tcPr>
            <w:tcW w:w="2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加权平均净资产收益率</w:t>
            </w:r>
          </w:p>
        </w:tc>
        <w:tc>
          <w:tcPr>
            <w:tcW w:w="173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-34.75%</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12.91%</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-47.66%</w:t>
            </w:r>
          </w:p>
        </w:tc>
        <w:tc>
          <w:tcPr>
            <w:tcW w:w="1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13.11%</w:t>
            </w:r>
          </w:p>
        </w:tc>
      </w:tr>
      <w:tr>
        <w:tblPrEx>
          <w:tblCellMar>
            <w:top w:w="0" w:type="dxa"/>
            <w:left w:w="28" w:type="dxa"/>
            <w:bottom w:w="0" w:type="dxa"/>
            <w:right w:w="28" w:type="dxa"/>
          </w:tblCellMar>
        </w:tblPrEx>
        <w:tc>
          <w:tcPr>
            <w:tcW w:w="2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p>
        </w:tc>
        <w:tc>
          <w:tcPr>
            <w:tcW w:w="173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2019</w:t>
            </w:r>
            <w:r>
              <w:rPr>
                <w:rFonts w:hint="eastAsia"/>
              </w:rPr>
              <w:t>年末</w:t>
            </w:r>
          </w:p>
        </w:tc>
        <w:tc>
          <w:tcPr>
            <w:tcW w:w="173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2018</w:t>
            </w:r>
            <w:r>
              <w:rPr>
                <w:rFonts w:hint="eastAsia"/>
              </w:rPr>
              <w:t>年末</w:t>
            </w:r>
          </w:p>
        </w:tc>
        <w:tc>
          <w:tcPr>
            <w:tcW w:w="173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本年末比上年末增减</w:t>
            </w:r>
          </w:p>
        </w:tc>
        <w:tc>
          <w:tcPr>
            <w:tcW w:w="1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2017</w:t>
            </w:r>
            <w:r>
              <w:rPr>
                <w:rFonts w:hint="eastAsia"/>
              </w:rPr>
              <w:t>年末</w:t>
            </w:r>
          </w:p>
        </w:tc>
      </w:tr>
      <w:tr>
        <w:tblPrEx>
          <w:tblCellMar>
            <w:top w:w="0" w:type="dxa"/>
            <w:left w:w="28" w:type="dxa"/>
            <w:bottom w:w="0" w:type="dxa"/>
            <w:right w:w="28" w:type="dxa"/>
          </w:tblCellMar>
        </w:tblPrEx>
        <w:tc>
          <w:tcPr>
            <w:tcW w:w="2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资产总额（元）</w:t>
            </w:r>
          </w:p>
        </w:tc>
        <w:tc>
          <w:tcPr>
            <w:tcW w:w="173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3,740,860,001.25</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4,597,049,457.52</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-18.62%</w:t>
            </w:r>
          </w:p>
        </w:tc>
        <w:tc>
          <w:tcPr>
            <w:tcW w:w="1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4,278,572,571.91</w:t>
            </w:r>
          </w:p>
        </w:tc>
      </w:tr>
      <w:tr>
        <w:tblPrEx>
          <w:tblCellMar>
            <w:top w:w="0" w:type="dxa"/>
            <w:left w:w="28" w:type="dxa"/>
            <w:bottom w:w="0" w:type="dxa"/>
            <w:right w:w="28" w:type="dxa"/>
          </w:tblCellMar>
        </w:tblPrEx>
        <w:tc>
          <w:tcPr>
            <w:tcW w:w="2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归属于上市公司股东的净资产（元）</w:t>
            </w:r>
          </w:p>
        </w:tc>
        <w:tc>
          <w:tcPr>
            <w:tcW w:w="173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1,337,245,939.79</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1,870,358,710.74</w:t>
            </w:r>
          </w:p>
        </w:tc>
        <w:tc>
          <w:tcPr>
            <w:tcW w:w="1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-28.50%</w:t>
            </w:r>
          </w:p>
        </w:tc>
        <w:tc>
          <w:tcPr>
            <w:tcW w:w="1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1,892,666,468.65</w:t>
            </w:r>
          </w:p>
        </w:tc>
      </w:tr>
    </w:tbl>
    <w:p>
      <w:pPr>
        <w:jc w:val="left"/>
      </w:pPr>
      <w:r>
        <w:t>截止披露前一交易日的公司总股本：</w:t>
      </w:r>
    </w:p>
    <w:tbl>
      <w:tblPr>
        <w:tblStyle w:val="9"/>
        <w:tblW w:w="0" w:type="auto"/>
        <w:tblInd w:w="28" w:type="dxa"/>
        <w:tblLayout w:type="fixed"/>
        <w:tblCellMar>
          <w:top w:w="0" w:type="dxa"/>
          <w:left w:w="28" w:type="dxa"/>
          <w:bottom w:w="0" w:type="dxa"/>
          <w:right w:w="28" w:type="dxa"/>
        </w:tblCellMar>
      </w:tblPr>
      <w:tblGrid>
        <w:gridCol w:w="4523"/>
        <w:gridCol w:w="5045"/>
      </w:tblGrid>
      <w:tr>
        <w:tblPrEx>
          <w:tblCellMar>
            <w:top w:w="0" w:type="dxa"/>
            <w:left w:w="28" w:type="dxa"/>
            <w:bottom w:w="0" w:type="dxa"/>
            <w:right w:w="28" w:type="dxa"/>
          </w:tblCellMar>
        </w:tblPrEx>
        <w:tc>
          <w:tcPr>
            <w:tcW w:w="452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截止披露前一交易日的公司总股本（股）</w:t>
            </w:r>
          </w:p>
        </w:tc>
        <w:tc>
          <w:tcPr>
            <w:tcW w:w="504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345,302,620</w:t>
            </w:r>
          </w:p>
        </w:tc>
      </w:tr>
    </w:tbl>
    <w:p>
      <w:pPr>
        <w:jc w:val="left"/>
      </w:pPr>
      <w:r>
        <w:t>公司报告期末至年度报告披露日股本是否因发行新股、增发、配股、股权激励行权、回购等原因发生变化且影响所有者权益金额</w:t>
      </w:r>
    </w:p>
    <w:p>
      <w:pPr>
        <w:jc w:val="left"/>
      </w:pPr>
      <w:r>
        <w:t xml:space="preserve">□ 是 √ 否 </w:t>
      </w:r>
    </w:p>
    <w:tbl>
      <w:tblPr>
        <w:tblStyle w:val="9"/>
        <w:tblW w:w="0" w:type="auto"/>
        <w:tblInd w:w="28" w:type="dxa"/>
        <w:tblLayout w:type="fixed"/>
        <w:tblCellMar>
          <w:top w:w="0" w:type="dxa"/>
          <w:left w:w="28" w:type="dxa"/>
          <w:bottom w:w="0" w:type="dxa"/>
          <w:right w:w="28" w:type="dxa"/>
        </w:tblCellMar>
      </w:tblPr>
      <w:tblGrid>
        <w:gridCol w:w="4523"/>
        <w:gridCol w:w="5045"/>
      </w:tblGrid>
      <w:tr>
        <w:tblPrEx>
          <w:tblCellMar>
            <w:top w:w="0" w:type="dxa"/>
            <w:left w:w="28" w:type="dxa"/>
            <w:bottom w:w="0" w:type="dxa"/>
            <w:right w:w="28" w:type="dxa"/>
          </w:tblCellMar>
        </w:tblPrEx>
        <w:tc>
          <w:tcPr>
            <w:tcW w:w="452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支付的优先股股利</w:t>
            </w:r>
          </w:p>
        </w:tc>
        <w:tc>
          <w:tcPr>
            <w:tcW w:w="504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0.00</w:t>
            </w:r>
          </w:p>
        </w:tc>
      </w:tr>
      <w:tr>
        <w:tblPrEx>
          <w:tblCellMar>
            <w:top w:w="0" w:type="dxa"/>
            <w:left w:w="28" w:type="dxa"/>
            <w:bottom w:w="0" w:type="dxa"/>
            <w:right w:w="28" w:type="dxa"/>
          </w:tblCellMar>
        </w:tblPrEx>
        <w:tc>
          <w:tcPr>
            <w:tcW w:w="452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用最新股本计算的全面摊薄每股收益（元/股）</w:t>
            </w:r>
          </w:p>
        </w:tc>
        <w:tc>
          <w:tcPr>
            <w:tcW w:w="504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-1.6215</w:t>
            </w:r>
          </w:p>
        </w:tc>
      </w:tr>
    </w:tbl>
    <w:p>
      <w:pPr>
        <w:pStyle w:val="13"/>
        <w:outlineLvl w:val="1"/>
      </w:pPr>
      <w:r>
        <w:rPr>
          <w:rFonts w:hint="eastAsia"/>
        </w:rPr>
        <w:t>六、分季度主要财务指标</w:t>
      </w:r>
    </w:p>
    <w:p>
      <w:pPr>
        <w:jc w:val="right"/>
      </w:pPr>
      <w:r>
        <w:rPr>
          <w:rFonts w:hint="eastAsia"/>
        </w:rPr>
        <w:t>单位：元</w:t>
      </w:r>
    </w:p>
    <w:tbl>
      <w:tblPr>
        <w:tblStyle w:val="9"/>
        <w:tblW w:w="0" w:type="auto"/>
        <w:tblInd w:w="28" w:type="dxa"/>
        <w:tblLayout w:type="fixed"/>
        <w:tblCellMar>
          <w:top w:w="0" w:type="dxa"/>
          <w:left w:w="28" w:type="dxa"/>
          <w:bottom w:w="0" w:type="dxa"/>
          <w:right w:w="28" w:type="dxa"/>
        </w:tblCellMar>
      </w:tblPr>
      <w:tblGrid>
        <w:gridCol w:w="2621"/>
        <w:gridCol w:w="1740"/>
        <w:gridCol w:w="1739"/>
        <w:gridCol w:w="1739"/>
        <w:gridCol w:w="1730"/>
      </w:tblGrid>
      <w:tr>
        <w:tc>
          <w:tcPr>
            <w:tcW w:w="2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p>
        </w:tc>
        <w:tc>
          <w:tcPr>
            <w:tcW w:w="174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第一季度</w:t>
            </w:r>
          </w:p>
        </w:tc>
        <w:tc>
          <w:tcPr>
            <w:tcW w:w="173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第二季度</w:t>
            </w:r>
          </w:p>
        </w:tc>
        <w:tc>
          <w:tcPr>
            <w:tcW w:w="173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第三季度</w:t>
            </w:r>
          </w:p>
        </w:tc>
        <w:tc>
          <w:tcPr>
            <w:tcW w:w="173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第四季度</w:t>
            </w:r>
          </w:p>
        </w:tc>
      </w:tr>
      <w:tr>
        <w:tc>
          <w:tcPr>
            <w:tcW w:w="2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营业收入</w:t>
            </w:r>
          </w:p>
        </w:tc>
        <w:tc>
          <w:tcPr>
            <w:tcW w:w="174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691,877,643.76</w:t>
            </w:r>
          </w:p>
        </w:tc>
        <w:tc>
          <w:tcPr>
            <w:tcW w:w="173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834,136,051.47</w:t>
            </w:r>
          </w:p>
        </w:tc>
        <w:tc>
          <w:tcPr>
            <w:tcW w:w="173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828,375,102.13</w:t>
            </w:r>
          </w:p>
        </w:tc>
        <w:tc>
          <w:tcPr>
            <w:tcW w:w="17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779,058,899.91</w:t>
            </w:r>
          </w:p>
        </w:tc>
      </w:tr>
      <w:tr>
        <w:tc>
          <w:tcPr>
            <w:tcW w:w="2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归属于上市公司股东的净利润</w:t>
            </w:r>
          </w:p>
        </w:tc>
        <w:tc>
          <w:tcPr>
            <w:tcW w:w="174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71,711,372.41</w:t>
            </w:r>
          </w:p>
        </w:tc>
        <w:tc>
          <w:tcPr>
            <w:tcW w:w="173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57,791,182.87</w:t>
            </w:r>
          </w:p>
        </w:tc>
        <w:tc>
          <w:tcPr>
            <w:tcW w:w="173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75,910,178.42</w:t>
            </w:r>
          </w:p>
        </w:tc>
        <w:tc>
          <w:tcPr>
            <w:tcW w:w="17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-765,324,916.93</w:t>
            </w:r>
          </w:p>
        </w:tc>
      </w:tr>
      <w:tr>
        <w:tc>
          <w:tcPr>
            <w:tcW w:w="2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归属于上市公司股东的扣除非经常性损益的净利润</w:t>
            </w:r>
          </w:p>
        </w:tc>
        <w:tc>
          <w:tcPr>
            <w:tcW w:w="174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62,551,222.74</w:t>
            </w:r>
          </w:p>
        </w:tc>
        <w:tc>
          <w:tcPr>
            <w:tcW w:w="173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55,105,812.52</w:t>
            </w:r>
          </w:p>
        </w:tc>
        <w:tc>
          <w:tcPr>
            <w:tcW w:w="173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53,910,068.05</w:t>
            </w:r>
          </w:p>
        </w:tc>
        <w:tc>
          <w:tcPr>
            <w:tcW w:w="17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-758,138,674.96</w:t>
            </w:r>
          </w:p>
        </w:tc>
      </w:tr>
      <w:tr>
        <w:tc>
          <w:tcPr>
            <w:tcW w:w="262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经营活动产生的现金流量净额</w:t>
            </w:r>
          </w:p>
        </w:tc>
        <w:tc>
          <w:tcPr>
            <w:tcW w:w="174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-30,582,505.22</w:t>
            </w:r>
          </w:p>
        </w:tc>
        <w:tc>
          <w:tcPr>
            <w:tcW w:w="173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273,567,796.24</w:t>
            </w:r>
          </w:p>
        </w:tc>
        <w:tc>
          <w:tcPr>
            <w:tcW w:w="173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13,195,264.80</w:t>
            </w:r>
          </w:p>
        </w:tc>
        <w:tc>
          <w:tcPr>
            <w:tcW w:w="17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344,990,165.01</w:t>
            </w:r>
          </w:p>
        </w:tc>
      </w:tr>
    </w:tbl>
    <w:p>
      <w:pPr>
        <w:jc w:val="left"/>
      </w:pPr>
      <w:r>
        <w:rPr>
          <w:rFonts w:hint="eastAsia"/>
        </w:rPr>
        <w:t>上述财务指标或其加总数是否与公司已披露季度报告、半年度报告相关财务指标存在重大差异</w:t>
      </w:r>
    </w:p>
    <w:p>
      <w:pPr>
        <w:jc w:val="left"/>
      </w:pPr>
      <w:r>
        <w:t xml:space="preserve">□ </w:t>
      </w:r>
      <w:r>
        <w:rPr>
          <w:rFonts w:hint="eastAsia"/>
        </w:rPr>
        <w:t>是</w:t>
      </w:r>
      <w:r>
        <w:t xml:space="preserve"> √ </w:t>
      </w:r>
      <w:r>
        <w:rPr>
          <w:rFonts w:hint="eastAsia"/>
        </w:rPr>
        <w:t>否</w:t>
      </w:r>
      <w:r>
        <w:t xml:space="preserve"> </w:t>
      </w:r>
    </w:p>
    <w:p>
      <w:pPr>
        <w:pStyle w:val="13"/>
        <w:outlineLvl w:val="1"/>
      </w:pPr>
      <w:r>
        <w:rPr>
          <w:rFonts w:hint="eastAsia"/>
        </w:rPr>
        <w:t>七、境内外会计准则下会计数据差异</w:t>
      </w:r>
    </w:p>
    <w:p>
      <w:pPr>
        <w:pStyle w:val="14"/>
        <w:outlineLvl w:val="2"/>
      </w:pPr>
      <w:r>
        <w:t>1</w:t>
      </w:r>
      <w:r>
        <w:rPr>
          <w:rFonts w:hint="eastAsia"/>
        </w:rPr>
        <w:t>、同时按照国际会计准则与按照中国会计准则披露的财务报告中净利润和净资产差异情况</w:t>
      </w:r>
    </w:p>
    <w:p>
      <w:pPr>
        <w:jc w:val="left"/>
      </w:pPr>
      <w:r>
        <w:t xml:space="preserve">□ </w:t>
      </w:r>
      <w:r>
        <w:rPr>
          <w:rFonts w:hint="eastAsia"/>
        </w:rPr>
        <w:t>适用</w:t>
      </w:r>
      <w:r>
        <w:t xml:space="preserve"> √ </w:t>
      </w:r>
      <w:r>
        <w:rPr>
          <w:rFonts w:hint="eastAsia"/>
        </w:rPr>
        <w:t>不适用</w:t>
      </w:r>
      <w:r>
        <w:t xml:space="preserve"> </w:t>
      </w:r>
    </w:p>
    <w:p>
      <w:pPr>
        <w:jc w:val="left"/>
      </w:pPr>
      <w:r>
        <w:rPr>
          <w:rFonts w:hint="eastAsia"/>
        </w:rPr>
        <w:t>公司报告期不存在按照国际会计准则与按照中国会计准则披露的财务报告中净利润和净资产差异情况。</w:t>
      </w:r>
    </w:p>
    <w:p>
      <w:pPr>
        <w:pStyle w:val="14"/>
        <w:outlineLvl w:val="2"/>
      </w:pPr>
      <w:r>
        <w:t>2</w:t>
      </w:r>
      <w:r>
        <w:rPr>
          <w:rFonts w:hint="eastAsia"/>
        </w:rPr>
        <w:t>、同时按照境外会计准则与按照中国会计准则披露的财务报告中净利润和净资产差异情况</w:t>
      </w:r>
    </w:p>
    <w:p>
      <w:pPr>
        <w:jc w:val="left"/>
      </w:pPr>
      <w:r>
        <w:t xml:space="preserve">□ </w:t>
      </w:r>
      <w:r>
        <w:rPr>
          <w:rFonts w:hint="eastAsia"/>
        </w:rPr>
        <w:t>适用</w:t>
      </w:r>
      <w:r>
        <w:t xml:space="preserve"> √ </w:t>
      </w:r>
      <w:r>
        <w:rPr>
          <w:rFonts w:hint="eastAsia"/>
        </w:rPr>
        <w:t>不适用</w:t>
      </w:r>
      <w:r>
        <w:t xml:space="preserve"> </w:t>
      </w:r>
    </w:p>
    <w:p>
      <w:pPr>
        <w:jc w:val="left"/>
      </w:pPr>
      <w:r>
        <w:rPr>
          <w:rFonts w:hint="eastAsia"/>
        </w:rPr>
        <w:t>公司报告期不存在按照境外会计准则与按照中国会计准则披露的财务报告中净利润和净资产差异情况。</w:t>
      </w:r>
    </w:p>
    <w:p>
      <w:pPr>
        <w:pStyle w:val="13"/>
        <w:outlineLvl w:val="1"/>
      </w:pPr>
      <w:r>
        <w:rPr>
          <w:rFonts w:hint="eastAsia"/>
        </w:rPr>
        <w:t>八、非经常性损益项目及金额</w:t>
      </w:r>
    </w:p>
    <w:p>
      <w:pPr>
        <w:jc w:val="left"/>
      </w:pPr>
      <w:r>
        <w:t xml:space="preserve">√ </w:t>
      </w:r>
      <w:r>
        <w:rPr>
          <w:rFonts w:hint="eastAsia"/>
        </w:rPr>
        <w:t>适用</w:t>
      </w:r>
      <w:r>
        <w:t xml:space="preserve"> □ </w:t>
      </w:r>
      <w:r>
        <w:rPr>
          <w:rFonts w:hint="eastAsia"/>
        </w:rPr>
        <w:t>不适用</w:t>
      </w:r>
      <w:r>
        <w:t xml:space="preserve"> </w:t>
      </w:r>
    </w:p>
    <w:p>
      <w:pPr>
        <w:jc w:val="right"/>
      </w:pPr>
      <w:r>
        <w:rPr>
          <w:rFonts w:hint="eastAsia"/>
        </w:rPr>
        <w:t>单位：元</w:t>
      </w:r>
    </w:p>
    <w:tbl>
      <w:tblPr>
        <w:tblStyle w:val="9"/>
        <w:tblW w:w="0" w:type="auto"/>
        <w:tblInd w:w="28" w:type="dxa"/>
        <w:tblLayout w:type="fixed"/>
        <w:tblCellMar>
          <w:top w:w="0" w:type="dxa"/>
          <w:left w:w="28" w:type="dxa"/>
          <w:bottom w:w="0" w:type="dxa"/>
          <w:right w:w="28" w:type="dxa"/>
        </w:tblCellMar>
      </w:tblPr>
      <w:tblGrid>
        <w:gridCol w:w="3296"/>
        <w:gridCol w:w="1520"/>
        <w:gridCol w:w="1520"/>
        <w:gridCol w:w="1522"/>
        <w:gridCol w:w="1710"/>
      </w:tblGrid>
      <w:tr>
        <w:tblPrEx>
          <w:tblCellMar>
            <w:top w:w="0" w:type="dxa"/>
            <w:left w:w="28" w:type="dxa"/>
            <w:bottom w:w="0" w:type="dxa"/>
            <w:right w:w="28" w:type="dxa"/>
          </w:tblCellMar>
        </w:tblPrEx>
        <w:tc>
          <w:tcPr>
            <w:tcW w:w="32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项目</w:t>
            </w:r>
          </w:p>
        </w:tc>
        <w:tc>
          <w:tcPr>
            <w:tcW w:w="152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2019</w:t>
            </w:r>
            <w:r>
              <w:rPr>
                <w:rFonts w:hint="eastAsia"/>
              </w:rPr>
              <w:t>年金额</w:t>
            </w:r>
          </w:p>
        </w:tc>
        <w:tc>
          <w:tcPr>
            <w:tcW w:w="152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2018</w:t>
            </w:r>
            <w:r>
              <w:rPr>
                <w:rFonts w:hint="eastAsia"/>
              </w:rPr>
              <w:t>年金额</w:t>
            </w:r>
          </w:p>
        </w:tc>
        <w:tc>
          <w:tcPr>
            <w:tcW w:w="152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2017</w:t>
            </w:r>
            <w:r>
              <w:rPr>
                <w:rFonts w:hint="eastAsia"/>
              </w:rPr>
              <w:t>年金额</w:t>
            </w:r>
          </w:p>
        </w:tc>
        <w:tc>
          <w:tcPr>
            <w:tcW w:w="171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rPr>
                <w:rFonts w:hint="eastAsia"/>
              </w:rPr>
              <w:t>说明</w:t>
            </w:r>
          </w:p>
        </w:tc>
      </w:tr>
      <w:tr>
        <w:tblPrEx>
          <w:tblCellMar>
            <w:top w:w="0" w:type="dxa"/>
            <w:left w:w="28" w:type="dxa"/>
            <w:bottom w:w="0" w:type="dxa"/>
            <w:right w:w="28" w:type="dxa"/>
          </w:tblCellMar>
        </w:tblPrEx>
        <w:tc>
          <w:tcPr>
            <w:tcW w:w="329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非流动资产处置损益（包括已计提资产减值准备的冲销部分）</w:t>
            </w:r>
          </w:p>
        </w:tc>
        <w:tc>
          <w:tcPr>
            <w:tcW w:w="1520" w:type="dxa"/>
            <w:tcBorders>
              <w:top w:val="single" w:color="auto" w:sz="4" w:space="0"/>
              <w:left w:val="single" w:color="auto" w:sz="4" w:space="0"/>
              <w:bottom w:val="single" w:color="auto" w:sz="4" w:space="0"/>
              <w:right w:val="single" w:color="auto" w:sz="4" w:space="0"/>
            </w:tcBorders>
            <w:vAlign w:val="center"/>
          </w:tcPr>
          <w:p>
            <w:pPr>
              <w:jc w:val="right"/>
            </w:pPr>
            <w:r>
              <w:t>10,222,344.21</w:t>
            </w:r>
          </w:p>
        </w:tc>
        <w:tc>
          <w:tcPr>
            <w:tcW w:w="152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1,209,949.82</w:t>
            </w:r>
          </w:p>
        </w:tc>
        <w:tc>
          <w:tcPr>
            <w:tcW w:w="15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-17,647.96</w:t>
            </w:r>
          </w:p>
        </w:tc>
        <w:tc>
          <w:tcPr>
            <w:tcW w:w="1710" w:type="dxa"/>
            <w:tcBorders>
              <w:top w:val="single" w:color="auto" w:sz="4" w:space="0"/>
              <w:left w:val="single" w:color="auto" w:sz="4" w:space="0"/>
              <w:bottom w:val="single" w:color="auto" w:sz="4" w:space="0"/>
              <w:right w:val="single" w:color="auto" w:sz="4" w:space="0"/>
            </w:tcBorders>
            <w:vAlign w:val="center"/>
          </w:tcPr>
          <w:p>
            <w:pPr>
              <w:jc w:val="left"/>
            </w:pPr>
            <w:r>
              <w:rPr>
                <w:rFonts w:hint="eastAsia"/>
              </w:rPr>
              <w:t>主要系股权和固定资产处置损益</w:t>
            </w:r>
          </w:p>
        </w:tc>
      </w:tr>
      <w:tr>
        <w:tblPrEx>
          <w:tblCellMar>
            <w:top w:w="0" w:type="dxa"/>
            <w:left w:w="28" w:type="dxa"/>
            <w:bottom w:w="0" w:type="dxa"/>
            <w:right w:w="28" w:type="dxa"/>
          </w:tblCellMar>
        </w:tblPrEx>
        <w:tc>
          <w:tcPr>
            <w:tcW w:w="329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计入当期损益的政府补助（与企业业务密切相关，按照国家统一标准定额或定量享受的政府补助除外）</w:t>
            </w:r>
          </w:p>
        </w:tc>
        <w:tc>
          <w:tcPr>
            <w:tcW w:w="1520" w:type="dxa"/>
            <w:tcBorders>
              <w:top w:val="single" w:color="auto" w:sz="4" w:space="0"/>
              <w:left w:val="single" w:color="auto" w:sz="4" w:space="0"/>
              <w:bottom w:val="single" w:color="auto" w:sz="4" w:space="0"/>
              <w:right w:val="single" w:color="auto" w:sz="4" w:space="0"/>
            </w:tcBorders>
            <w:vAlign w:val="center"/>
          </w:tcPr>
          <w:p>
            <w:pPr>
              <w:jc w:val="right"/>
            </w:pPr>
            <w:r>
              <w:t>22,511,029.80</w:t>
            </w:r>
          </w:p>
        </w:tc>
        <w:tc>
          <w:tcPr>
            <w:tcW w:w="152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22,838,186.06</w:t>
            </w:r>
          </w:p>
        </w:tc>
        <w:tc>
          <w:tcPr>
            <w:tcW w:w="15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15,096,279.73</w:t>
            </w:r>
          </w:p>
        </w:tc>
        <w:tc>
          <w:tcPr>
            <w:tcW w:w="1710" w:type="dxa"/>
            <w:tcBorders>
              <w:top w:val="single" w:color="auto" w:sz="4" w:space="0"/>
              <w:left w:val="single" w:color="auto" w:sz="4" w:space="0"/>
              <w:bottom w:val="single" w:color="auto" w:sz="4" w:space="0"/>
              <w:right w:val="single" w:color="auto" w:sz="4" w:space="0"/>
            </w:tcBorders>
            <w:vAlign w:val="center"/>
          </w:tcPr>
          <w:p>
            <w:pPr>
              <w:jc w:val="left"/>
            </w:pPr>
            <w:r>
              <w:rPr>
                <w:rFonts w:hint="eastAsia"/>
              </w:rPr>
              <w:t>主要系政府补助收入</w:t>
            </w:r>
          </w:p>
        </w:tc>
      </w:tr>
      <w:tr>
        <w:tblPrEx>
          <w:tblCellMar>
            <w:top w:w="0" w:type="dxa"/>
            <w:left w:w="28" w:type="dxa"/>
            <w:bottom w:w="0" w:type="dxa"/>
            <w:right w:w="28" w:type="dxa"/>
          </w:tblCellMar>
        </w:tblPrEx>
        <w:tc>
          <w:tcPr>
            <w:tcW w:w="329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委托他人投资或管理资产的损益</w:t>
            </w:r>
          </w:p>
        </w:tc>
        <w:tc>
          <w:tcPr>
            <w:tcW w:w="1520" w:type="dxa"/>
            <w:tcBorders>
              <w:top w:val="single" w:color="auto" w:sz="4" w:space="0"/>
              <w:left w:val="single" w:color="auto" w:sz="4" w:space="0"/>
              <w:bottom w:val="single" w:color="auto" w:sz="4" w:space="0"/>
              <w:right w:val="single" w:color="auto" w:sz="4" w:space="0"/>
            </w:tcBorders>
            <w:vAlign w:val="center"/>
          </w:tcPr>
          <w:p>
            <w:pPr>
              <w:jc w:val="right"/>
            </w:pPr>
            <w:r>
              <w:t>3,073,276.68</w:t>
            </w:r>
          </w:p>
        </w:tc>
        <w:tc>
          <w:tcPr>
            <w:tcW w:w="152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5,032,547.94</w:t>
            </w:r>
          </w:p>
        </w:tc>
        <w:tc>
          <w:tcPr>
            <w:tcW w:w="15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9,487,918.74</w:t>
            </w:r>
          </w:p>
        </w:tc>
        <w:tc>
          <w:tcPr>
            <w:tcW w:w="1710" w:type="dxa"/>
            <w:tcBorders>
              <w:top w:val="single" w:color="auto" w:sz="4" w:space="0"/>
              <w:left w:val="single" w:color="auto" w:sz="4" w:space="0"/>
              <w:bottom w:val="single" w:color="auto" w:sz="4" w:space="0"/>
              <w:right w:val="single" w:color="auto" w:sz="4" w:space="0"/>
            </w:tcBorders>
            <w:vAlign w:val="center"/>
          </w:tcPr>
          <w:p>
            <w:pPr>
              <w:jc w:val="left"/>
            </w:pPr>
            <w:r>
              <w:rPr>
                <w:rFonts w:hint="eastAsia"/>
              </w:rPr>
              <w:t>主要系理财产品收入</w:t>
            </w:r>
          </w:p>
        </w:tc>
      </w:tr>
      <w:tr>
        <w:tblPrEx>
          <w:tblCellMar>
            <w:top w:w="0" w:type="dxa"/>
            <w:left w:w="28" w:type="dxa"/>
            <w:bottom w:w="0" w:type="dxa"/>
            <w:right w:w="28" w:type="dxa"/>
          </w:tblCellMar>
        </w:tblPrEx>
        <w:tc>
          <w:tcPr>
            <w:tcW w:w="329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债务重组损益</w:t>
            </w:r>
          </w:p>
        </w:tc>
        <w:tc>
          <w:tcPr>
            <w:tcW w:w="1520" w:type="dxa"/>
            <w:tcBorders>
              <w:top w:val="single" w:color="auto" w:sz="4" w:space="0"/>
              <w:left w:val="single" w:color="auto" w:sz="4" w:space="0"/>
              <w:bottom w:val="single" w:color="auto" w:sz="4" w:space="0"/>
              <w:right w:val="single" w:color="auto" w:sz="4" w:space="0"/>
            </w:tcBorders>
            <w:vAlign w:val="center"/>
          </w:tcPr>
          <w:p>
            <w:pPr>
              <w:jc w:val="right"/>
            </w:pPr>
            <w:r>
              <w:t>-1,136,657.97</w:t>
            </w:r>
          </w:p>
        </w:tc>
        <w:tc>
          <w:tcPr>
            <w:tcW w:w="152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710" w:type="dxa"/>
            <w:tcBorders>
              <w:top w:val="single" w:color="auto" w:sz="4" w:space="0"/>
              <w:left w:val="single" w:color="auto" w:sz="4" w:space="0"/>
              <w:bottom w:val="single" w:color="auto" w:sz="4" w:space="0"/>
              <w:right w:val="single" w:color="auto" w:sz="4" w:space="0"/>
            </w:tcBorders>
            <w:vAlign w:val="center"/>
          </w:tcPr>
          <w:p>
            <w:pPr>
              <w:jc w:val="left"/>
            </w:pPr>
            <w:r>
              <w:rPr>
                <w:rFonts w:hint="eastAsia"/>
              </w:rPr>
              <w:t>主要系债务重组损失</w:t>
            </w:r>
          </w:p>
        </w:tc>
      </w:tr>
      <w:tr>
        <w:tblPrEx>
          <w:tblCellMar>
            <w:top w:w="0" w:type="dxa"/>
            <w:left w:w="28" w:type="dxa"/>
            <w:bottom w:w="0" w:type="dxa"/>
            <w:right w:w="28" w:type="dxa"/>
          </w:tblCellMar>
        </w:tblPrEx>
        <w:tc>
          <w:tcPr>
            <w:tcW w:w="329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交易价格显失公允的交易产生的超过公允价值部分的损益</w:t>
            </w:r>
          </w:p>
        </w:tc>
        <w:tc>
          <w:tcPr>
            <w:tcW w:w="1520" w:type="dxa"/>
            <w:tcBorders>
              <w:top w:val="single" w:color="auto" w:sz="4" w:space="0"/>
              <w:left w:val="single" w:color="auto" w:sz="4" w:space="0"/>
              <w:bottom w:val="single" w:color="auto" w:sz="4" w:space="0"/>
              <w:right w:val="single" w:color="auto" w:sz="4" w:space="0"/>
            </w:tcBorders>
            <w:vAlign w:val="center"/>
          </w:tcPr>
          <w:p>
            <w:pPr>
              <w:jc w:val="right"/>
            </w:pPr>
            <w:r>
              <w:t>526,234.36</w:t>
            </w:r>
          </w:p>
        </w:tc>
        <w:tc>
          <w:tcPr>
            <w:tcW w:w="152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1,051,246.89</w:t>
            </w:r>
          </w:p>
        </w:tc>
        <w:tc>
          <w:tcPr>
            <w:tcW w:w="15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1,074,032.88</w:t>
            </w:r>
          </w:p>
        </w:tc>
        <w:tc>
          <w:tcPr>
            <w:tcW w:w="1710" w:type="dxa"/>
            <w:tcBorders>
              <w:top w:val="single" w:color="auto" w:sz="4" w:space="0"/>
              <w:left w:val="single" w:color="auto" w:sz="4" w:space="0"/>
              <w:bottom w:val="single" w:color="auto" w:sz="4" w:space="0"/>
              <w:right w:val="single" w:color="auto" w:sz="4" w:space="0"/>
            </w:tcBorders>
            <w:vAlign w:val="center"/>
          </w:tcPr>
          <w:p>
            <w:pPr>
              <w:jc w:val="left"/>
            </w:pPr>
          </w:p>
        </w:tc>
      </w:tr>
      <w:tr>
        <w:tblPrEx>
          <w:tblCellMar>
            <w:top w:w="0" w:type="dxa"/>
            <w:left w:w="28" w:type="dxa"/>
            <w:bottom w:w="0" w:type="dxa"/>
            <w:right w:w="28" w:type="dxa"/>
          </w:tblCellMar>
        </w:tblPrEx>
        <w:tc>
          <w:tcPr>
            <w:tcW w:w="329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同一控制下企业合并产生的子公司期初至合并日的当期净损益</w:t>
            </w:r>
          </w:p>
        </w:tc>
        <w:tc>
          <w:tcPr>
            <w:tcW w:w="1520" w:type="dxa"/>
            <w:tcBorders>
              <w:top w:val="single" w:color="auto" w:sz="4" w:space="0"/>
              <w:left w:val="single" w:color="auto" w:sz="4" w:space="0"/>
              <w:bottom w:val="single" w:color="auto" w:sz="4" w:space="0"/>
              <w:right w:val="single" w:color="auto" w:sz="4" w:space="0"/>
            </w:tcBorders>
            <w:vAlign w:val="center"/>
          </w:tcPr>
          <w:p>
            <w:pPr>
              <w:jc w:val="right"/>
            </w:pPr>
          </w:p>
        </w:tc>
        <w:tc>
          <w:tcPr>
            <w:tcW w:w="152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40,938,151.24</w:t>
            </w:r>
          </w:p>
        </w:tc>
        <w:tc>
          <w:tcPr>
            <w:tcW w:w="15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52,957,685.40</w:t>
            </w:r>
          </w:p>
        </w:tc>
        <w:tc>
          <w:tcPr>
            <w:tcW w:w="1710" w:type="dxa"/>
            <w:tcBorders>
              <w:top w:val="single" w:color="auto" w:sz="4" w:space="0"/>
              <w:left w:val="single" w:color="auto" w:sz="4" w:space="0"/>
              <w:bottom w:val="single" w:color="auto" w:sz="4" w:space="0"/>
              <w:right w:val="single" w:color="auto" w:sz="4" w:space="0"/>
            </w:tcBorders>
            <w:vAlign w:val="center"/>
          </w:tcPr>
          <w:p>
            <w:pPr>
              <w:jc w:val="left"/>
            </w:pPr>
          </w:p>
        </w:tc>
      </w:tr>
      <w:tr>
        <w:tblPrEx>
          <w:tblCellMar>
            <w:top w:w="0" w:type="dxa"/>
            <w:left w:w="28" w:type="dxa"/>
            <w:bottom w:w="0" w:type="dxa"/>
            <w:right w:w="28" w:type="dxa"/>
          </w:tblCellMar>
        </w:tblPrEx>
        <w:tc>
          <w:tcPr>
            <w:tcW w:w="329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除上述各项之外的其他营业外收入和支出</w:t>
            </w:r>
          </w:p>
        </w:tc>
        <w:tc>
          <w:tcPr>
            <w:tcW w:w="1520" w:type="dxa"/>
            <w:tcBorders>
              <w:top w:val="single" w:color="auto" w:sz="4" w:space="0"/>
              <w:left w:val="single" w:color="auto" w:sz="4" w:space="0"/>
              <w:bottom w:val="single" w:color="auto" w:sz="4" w:space="0"/>
              <w:right w:val="single" w:color="auto" w:sz="4" w:space="0"/>
            </w:tcBorders>
            <w:vAlign w:val="center"/>
          </w:tcPr>
          <w:p>
            <w:pPr>
              <w:jc w:val="right"/>
            </w:pPr>
            <w:r>
              <w:t>436,268.27</w:t>
            </w:r>
          </w:p>
        </w:tc>
        <w:tc>
          <w:tcPr>
            <w:tcW w:w="152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-1,267,676.60</w:t>
            </w:r>
          </w:p>
        </w:tc>
        <w:tc>
          <w:tcPr>
            <w:tcW w:w="15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-358,782.23</w:t>
            </w:r>
          </w:p>
        </w:tc>
        <w:tc>
          <w:tcPr>
            <w:tcW w:w="1710" w:type="dxa"/>
            <w:tcBorders>
              <w:top w:val="single" w:color="auto" w:sz="4" w:space="0"/>
              <w:left w:val="single" w:color="auto" w:sz="4" w:space="0"/>
              <w:bottom w:val="single" w:color="auto" w:sz="4" w:space="0"/>
              <w:right w:val="single" w:color="auto" w:sz="4" w:space="0"/>
            </w:tcBorders>
            <w:vAlign w:val="center"/>
          </w:tcPr>
          <w:p>
            <w:pPr>
              <w:jc w:val="left"/>
            </w:pPr>
          </w:p>
        </w:tc>
      </w:tr>
      <w:tr>
        <w:tblPrEx>
          <w:tblCellMar>
            <w:top w:w="0" w:type="dxa"/>
            <w:left w:w="28" w:type="dxa"/>
            <w:bottom w:w="0" w:type="dxa"/>
            <w:right w:w="28" w:type="dxa"/>
          </w:tblCellMar>
        </w:tblPrEx>
        <w:tc>
          <w:tcPr>
            <w:tcW w:w="329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减：所得税影响额</w:t>
            </w:r>
          </w:p>
        </w:tc>
        <w:tc>
          <w:tcPr>
            <w:tcW w:w="1520" w:type="dxa"/>
            <w:tcBorders>
              <w:top w:val="single" w:color="auto" w:sz="4" w:space="0"/>
              <w:left w:val="single" w:color="auto" w:sz="4" w:space="0"/>
              <w:bottom w:val="single" w:color="auto" w:sz="4" w:space="0"/>
              <w:right w:val="single" w:color="auto" w:sz="4" w:space="0"/>
            </w:tcBorders>
            <w:vAlign w:val="center"/>
          </w:tcPr>
          <w:p>
            <w:pPr>
              <w:jc w:val="right"/>
            </w:pPr>
            <w:r>
              <w:t>4,930,597.07</w:t>
            </w:r>
          </w:p>
        </w:tc>
        <w:tc>
          <w:tcPr>
            <w:tcW w:w="152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4,231,124.00</w:t>
            </w:r>
          </w:p>
        </w:tc>
        <w:tc>
          <w:tcPr>
            <w:tcW w:w="15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3,801,342.01</w:t>
            </w:r>
          </w:p>
        </w:tc>
        <w:tc>
          <w:tcPr>
            <w:tcW w:w="1710" w:type="dxa"/>
            <w:tcBorders>
              <w:top w:val="single" w:color="auto" w:sz="4" w:space="0"/>
              <w:left w:val="single" w:color="auto" w:sz="4" w:space="0"/>
              <w:bottom w:val="single" w:color="auto" w:sz="4" w:space="0"/>
              <w:right w:val="single" w:color="auto" w:sz="4" w:space="0"/>
            </w:tcBorders>
            <w:vAlign w:val="center"/>
          </w:tcPr>
          <w:p>
            <w:pPr>
              <w:jc w:val="left"/>
            </w:pPr>
          </w:p>
        </w:tc>
      </w:tr>
      <w:tr>
        <w:tblPrEx>
          <w:tblCellMar>
            <w:top w:w="0" w:type="dxa"/>
            <w:left w:w="28" w:type="dxa"/>
            <w:bottom w:w="0" w:type="dxa"/>
            <w:right w:w="28" w:type="dxa"/>
          </w:tblCellMar>
        </w:tblPrEx>
        <w:tc>
          <w:tcPr>
            <w:tcW w:w="329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　　少数股东权益影响额（税后）</w:t>
            </w:r>
          </w:p>
        </w:tc>
        <w:tc>
          <w:tcPr>
            <w:tcW w:w="1520" w:type="dxa"/>
            <w:tcBorders>
              <w:top w:val="single" w:color="auto" w:sz="4" w:space="0"/>
              <w:left w:val="single" w:color="auto" w:sz="4" w:space="0"/>
              <w:bottom w:val="single" w:color="auto" w:sz="4" w:space="0"/>
              <w:right w:val="single" w:color="auto" w:sz="4" w:space="0"/>
            </w:tcBorders>
            <w:vAlign w:val="center"/>
          </w:tcPr>
          <w:p>
            <w:pPr>
              <w:jc w:val="right"/>
            </w:pPr>
            <w:r>
              <w:t>4,042,509.86</w:t>
            </w:r>
          </w:p>
        </w:tc>
        <w:tc>
          <w:tcPr>
            <w:tcW w:w="152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31,713,801.86</w:t>
            </w:r>
          </w:p>
        </w:tc>
        <w:tc>
          <w:tcPr>
            <w:tcW w:w="15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38,913,248.39</w:t>
            </w:r>
          </w:p>
        </w:tc>
        <w:tc>
          <w:tcPr>
            <w:tcW w:w="1710" w:type="dxa"/>
            <w:tcBorders>
              <w:top w:val="single" w:color="auto" w:sz="4" w:space="0"/>
              <w:left w:val="single" w:color="auto" w:sz="4" w:space="0"/>
              <w:bottom w:val="single" w:color="auto" w:sz="4" w:space="0"/>
              <w:right w:val="single" w:color="auto" w:sz="4" w:space="0"/>
            </w:tcBorders>
            <w:vAlign w:val="center"/>
          </w:tcPr>
          <w:p>
            <w:pPr>
              <w:jc w:val="left"/>
            </w:pPr>
          </w:p>
        </w:tc>
      </w:tr>
      <w:tr>
        <w:tblPrEx>
          <w:tblCellMar>
            <w:top w:w="0" w:type="dxa"/>
            <w:left w:w="28" w:type="dxa"/>
            <w:bottom w:w="0" w:type="dxa"/>
            <w:right w:w="28" w:type="dxa"/>
          </w:tblCellMar>
        </w:tblPrEx>
        <w:tc>
          <w:tcPr>
            <w:tcW w:w="329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rPr>
                <w:rFonts w:hint="eastAsia"/>
              </w:rPr>
              <w:t>合计</w:t>
            </w:r>
          </w:p>
        </w:tc>
        <w:tc>
          <w:tcPr>
            <w:tcW w:w="1520" w:type="dxa"/>
            <w:tcBorders>
              <w:top w:val="single" w:color="auto" w:sz="4" w:space="0"/>
              <w:left w:val="single" w:color="auto" w:sz="4" w:space="0"/>
              <w:bottom w:val="single" w:color="auto" w:sz="4" w:space="0"/>
              <w:right w:val="single" w:color="auto" w:sz="4" w:space="0"/>
            </w:tcBorders>
            <w:vAlign w:val="center"/>
          </w:tcPr>
          <w:p>
            <w:pPr>
              <w:jc w:val="right"/>
            </w:pPr>
            <w:r>
              <w:t>26,659,388.42</w:t>
            </w:r>
          </w:p>
        </w:tc>
        <w:tc>
          <w:tcPr>
            <w:tcW w:w="152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33,857,479.49</w:t>
            </w:r>
          </w:p>
        </w:tc>
        <w:tc>
          <w:tcPr>
            <w:tcW w:w="15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35,524,896.16</w:t>
            </w:r>
          </w:p>
        </w:tc>
        <w:tc>
          <w:tcPr>
            <w:tcW w:w="171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w:t>
            </w:r>
          </w:p>
        </w:tc>
      </w:tr>
    </w:tbl>
    <w:p>
      <w:pPr>
        <w:jc w:val="left"/>
      </w:pPr>
      <w:r>
        <w:rPr>
          <w:rFonts w:hint="eastAsia"/>
        </w:rPr>
        <w:t>对公司根据《公开发行证券的公司信息披露解释性公告第</w:t>
      </w:r>
      <w:r>
        <w:t>1</w:t>
      </w:r>
      <w:r>
        <w:rPr>
          <w:rFonts w:hint="eastAsia"/>
        </w:rPr>
        <w:t>号</w:t>
      </w:r>
      <w:r>
        <w:t>——</w:t>
      </w:r>
      <w:r>
        <w:rPr>
          <w:rFonts w:hint="eastAsia"/>
        </w:rPr>
        <w:t>非经常性损益》定义界定的非经常性损益项目，以及把《公开发行证券的公司信息披露解释性公告第</w:t>
      </w:r>
      <w:r>
        <w:t>1</w:t>
      </w:r>
      <w:r>
        <w:rPr>
          <w:rFonts w:hint="eastAsia"/>
        </w:rPr>
        <w:t>号</w:t>
      </w:r>
      <w:r>
        <w:t>——</w:t>
      </w:r>
      <w:r>
        <w:rPr>
          <w:rFonts w:hint="eastAsia"/>
        </w:rPr>
        <w:t>非经常性损益》中列举的非经常性损益项目界定为经常性损益的项目，应说明原因</w:t>
      </w:r>
    </w:p>
    <w:p>
      <w:pPr>
        <w:jc w:val="left"/>
      </w:pPr>
      <w:r>
        <w:t xml:space="preserve">□ </w:t>
      </w:r>
      <w:r>
        <w:rPr>
          <w:rFonts w:hint="eastAsia"/>
        </w:rPr>
        <w:t>适用</w:t>
      </w:r>
      <w:r>
        <w:t xml:space="preserve"> √ </w:t>
      </w:r>
      <w:r>
        <w:rPr>
          <w:rFonts w:hint="eastAsia"/>
        </w:rPr>
        <w:t>不适用</w:t>
      </w:r>
      <w:r>
        <w:t xml:space="preserve"> </w:t>
      </w:r>
    </w:p>
    <w:p>
      <w:pPr>
        <w:jc w:val="left"/>
      </w:pPr>
      <w:r>
        <w:rPr>
          <w:rFonts w:hint="eastAsia"/>
        </w:rPr>
        <w:t>公司报告期不存在将根据《公开发行证券的公司信息披露解释性公告第</w:t>
      </w:r>
      <w:r>
        <w:t>1</w:t>
      </w:r>
      <w:r>
        <w:rPr>
          <w:rFonts w:hint="eastAsia"/>
        </w:rPr>
        <w:t>号</w:t>
      </w:r>
      <w:r>
        <w:t>——</w:t>
      </w:r>
      <w:r>
        <w:rPr>
          <w:rFonts w:hint="eastAsia"/>
        </w:rPr>
        <w:t>非经常性损益》定义、列举的非经常性损益项目界定为经常性损益的项目的情形。</w:t>
      </w:r>
    </w:p>
    <w:p>
      <w:pPr>
        <w:jc w:val="left"/>
        <w:sectPr>
          <w:pgSz w:w="11906" w:h="16838"/>
          <w:pgMar w:top="1440" w:right="1134" w:bottom="1440" w:left="1134" w:header="851" w:footer="992" w:gutter="0"/>
          <w:cols w:space="425" w:num="1"/>
          <w:docGrid w:type="lines" w:linePitch="312" w:charSpace="0"/>
        </w:sectPr>
      </w:pPr>
    </w:p>
    <w:p>
      <w:pPr>
        <w:pStyle w:val="8"/>
        <w:outlineLvl w:val="0"/>
      </w:pPr>
      <w:bookmarkStart w:id="3" w:name="_Toc38911274"/>
      <w:r>
        <w:rPr>
          <w:rFonts w:hint="eastAsia"/>
        </w:rPr>
        <w:t>第三节公司业务概要</w:t>
      </w:r>
      <w:bookmarkEnd w:id="3"/>
    </w:p>
    <w:p>
      <w:pPr>
        <w:pStyle w:val="13"/>
        <w:outlineLvl w:val="1"/>
      </w:pPr>
      <w:r>
        <w:rPr>
          <w:rFonts w:hint="eastAsia"/>
        </w:rPr>
        <w:t>一、报告期内公司从事的主要业务</w:t>
      </w:r>
    </w:p>
    <w:p>
      <w:pPr>
        <w:jc w:val="left"/>
      </w:pPr>
      <w:r>
        <w:rPr>
          <w:rFonts w:hint="eastAsia"/>
        </w:rPr>
        <w:t>公司需遵守《深圳证券交易所创业板行业信息披露指引第</w:t>
      </w:r>
      <w:r>
        <w:t>10</w:t>
      </w:r>
      <w:r>
        <w:rPr>
          <w:rFonts w:hint="eastAsia"/>
        </w:rPr>
        <w:t>号</w:t>
      </w:r>
      <w:r>
        <w:t>——</w:t>
      </w:r>
      <w:r>
        <w:rPr>
          <w:rFonts w:hint="eastAsia"/>
        </w:rPr>
        <w:t>上市公司从事医疗器械业务》的披露要求</w:t>
      </w:r>
    </w:p>
    <w:p>
      <w:pPr>
        <w:autoSpaceDE w:val="0"/>
        <w:autoSpaceDN w:val="0"/>
        <w:adjustRightInd w:val="0"/>
        <w:jc w:val="left"/>
        <w:rPr>
          <w:rFonts w:eastAsia="Times New Roman"/>
          <w:b/>
          <w:bCs/>
          <w:kern w:val="0"/>
          <w:lang w:val="zh-CN"/>
        </w:rPr>
      </w:pPr>
      <w:r>
        <w:rPr>
          <w:rFonts w:hint="eastAsia" w:ascii="宋体" w:hAnsi="宋体" w:cs="宋体"/>
          <w:b/>
          <w:bCs/>
          <w:kern w:val="0"/>
          <w:lang w:val="zh-CN"/>
        </w:rPr>
        <w:t>（一）主要业务</w:t>
      </w:r>
    </w:p>
    <w:p>
      <w:pPr>
        <w:autoSpaceDE w:val="0"/>
        <w:autoSpaceDN w:val="0"/>
        <w:adjustRightInd w:val="0"/>
        <w:ind w:firstLine="360"/>
        <w:rPr>
          <w:rFonts w:eastAsia="Times New Roman"/>
          <w:kern w:val="0"/>
          <w:lang w:val="zh-CN"/>
        </w:rPr>
      </w:pPr>
      <w:r>
        <w:rPr>
          <w:rFonts w:hint="eastAsia" w:ascii="宋体" w:hAnsi="宋体" w:cs="宋体"/>
          <w:kern w:val="0"/>
          <w:lang w:val="zh-CN"/>
        </w:rPr>
        <w:t>报告期内，公司主要从事体外诊断产品的研发、生产、销售和医学诊断服务服务。公司坚持</w:t>
      </w:r>
      <w:r>
        <w:rPr>
          <w:rFonts w:eastAsia="Times New Roman"/>
          <w:kern w:val="0"/>
          <w:lang w:val="zh-CN"/>
        </w:rPr>
        <w:t>“</w:t>
      </w:r>
      <w:r>
        <w:rPr>
          <w:rFonts w:hint="eastAsia" w:ascii="宋体" w:hAnsi="宋体" w:cs="宋体"/>
          <w:kern w:val="0"/>
          <w:lang w:val="zh-CN"/>
        </w:rPr>
        <w:t>以体外诊断仪器为引擎，体外诊断产品为核心，体外诊断产品</w:t>
      </w:r>
      <w:r>
        <w:rPr>
          <w:rFonts w:eastAsia="Times New Roman"/>
          <w:kern w:val="0"/>
          <w:lang w:val="zh-CN"/>
        </w:rPr>
        <w:t>+</w:t>
      </w:r>
      <w:r>
        <w:rPr>
          <w:rFonts w:hint="eastAsia" w:ascii="宋体" w:hAnsi="宋体" w:cs="宋体"/>
          <w:kern w:val="0"/>
          <w:lang w:val="zh-CN"/>
        </w:rPr>
        <w:t>诊断服务共同发展</w:t>
      </w:r>
      <w:r>
        <w:rPr>
          <w:rFonts w:eastAsia="Times New Roman"/>
          <w:kern w:val="0"/>
          <w:lang w:val="zh-CN"/>
        </w:rPr>
        <w:t>”</w:t>
      </w:r>
      <w:r>
        <w:rPr>
          <w:rFonts w:hint="eastAsia" w:ascii="宋体" w:hAnsi="宋体" w:cs="宋体"/>
          <w:kern w:val="0"/>
          <w:lang w:val="zh-CN"/>
        </w:rPr>
        <w:t>的战略，始终以自主研发为核心竞争力，以临床需求为导向，不断提升试剂、仪器、原料三大专业技术的创新能力及医学诊断服务水平，积极推进主要产品线布局，以提升公司的综合竞争力。</w:t>
      </w:r>
    </w:p>
    <w:p>
      <w:pPr>
        <w:autoSpaceDE w:val="0"/>
        <w:autoSpaceDN w:val="0"/>
        <w:adjustRightInd w:val="0"/>
        <w:rPr>
          <w:rFonts w:eastAsia="Times New Roman"/>
          <w:kern w:val="0"/>
          <w:lang w:val="zh-CN"/>
        </w:rPr>
      </w:pPr>
      <w:r>
        <w:rPr>
          <w:rFonts w:eastAsia="Times New Roman"/>
          <w:kern w:val="0"/>
          <w:lang w:val="zh-CN"/>
        </w:rPr>
        <w:t>1.</w:t>
      </w:r>
      <w:r>
        <w:rPr>
          <w:rFonts w:hint="eastAsia" w:ascii="宋体" w:hAnsi="宋体" w:cs="宋体"/>
          <w:kern w:val="0"/>
          <w:lang w:val="zh-CN"/>
        </w:rPr>
        <w:t>体外诊断试剂和仪器</w:t>
      </w:r>
    </w:p>
    <w:p>
      <w:pPr>
        <w:autoSpaceDE w:val="0"/>
        <w:autoSpaceDN w:val="0"/>
        <w:adjustRightInd w:val="0"/>
        <w:ind w:firstLine="360"/>
        <w:rPr>
          <w:rFonts w:eastAsia="Times New Roman"/>
          <w:kern w:val="0"/>
          <w:lang w:val="zh-CN"/>
        </w:rPr>
      </w:pPr>
      <w:r>
        <w:rPr>
          <w:rFonts w:hint="eastAsia" w:ascii="宋体" w:hAnsi="宋体" w:cs="宋体"/>
          <w:kern w:val="0"/>
          <w:lang w:val="zh-CN"/>
        </w:rPr>
        <w:t>经过多年的技术积累和渠道建设，公司已具备研发制造体外诊断仪器、试剂、校准品和质控品的系统化专业能力，已完成从生物原材料、体外诊断产品到专业化服务的全产业链发展布局。目前，公司自主产品涵盖生化、化学发光、血细胞、</w:t>
      </w:r>
      <w:r>
        <w:rPr>
          <w:rFonts w:eastAsia="Times New Roman"/>
          <w:kern w:val="0"/>
          <w:lang w:val="zh-CN"/>
        </w:rPr>
        <w:t>POCT</w:t>
      </w:r>
      <w:r>
        <w:rPr>
          <w:rFonts w:hint="eastAsia" w:ascii="宋体" w:hAnsi="宋体" w:cs="宋体"/>
          <w:kern w:val="0"/>
          <w:lang w:val="zh-CN"/>
        </w:rPr>
        <w:t>、分子诊断、尿液、质谱、</w:t>
      </w:r>
      <w:r>
        <w:rPr>
          <w:rFonts w:eastAsia="Times New Roman"/>
          <w:kern w:val="0"/>
          <w:lang w:val="zh-CN"/>
        </w:rPr>
        <w:t>VAP</w:t>
      </w:r>
      <w:r>
        <w:rPr>
          <w:rFonts w:asciiTheme="minorEastAsia" w:hAnsiTheme="minorEastAsia" w:eastAsiaTheme="minorEastAsia"/>
          <w:kern w:val="0"/>
          <w:lang w:val="zh-CN"/>
        </w:rPr>
        <w:t>血脂分型</w:t>
      </w:r>
      <w:r>
        <w:rPr>
          <w:rFonts w:hint="eastAsia" w:ascii="宋体" w:hAnsi="宋体" w:cs="宋体"/>
          <w:kern w:val="0"/>
          <w:lang w:val="zh-CN"/>
        </w:rPr>
        <w:t>等领域，已成为国内体外诊断生产企业中产品最为丰富的企业之一，同时与国际知名品牌形成战略合作，更好的满足各级医疗机构、体检中心及独立医学实验室等客户的需求。</w:t>
      </w:r>
    </w:p>
    <w:p>
      <w:pPr>
        <w:autoSpaceDE w:val="0"/>
        <w:autoSpaceDN w:val="0"/>
        <w:adjustRightInd w:val="0"/>
        <w:rPr>
          <w:rFonts w:eastAsia="Times New Roman"/>
          <w:kern w:val="0"/>
          <w:lang w:val="zh-CN"/>
        </w:rPr>
      </w:pPr>
      <w:r>
        <w:rPr>
          <w:rFonts w:eastAsia="Times New Roman"/>
          <w:kern w:val="0"/>
          <w:lang w:val="zh-CN"/>
        </w:rPr>
        <w:t>2.</w:t>
      </w:r>
      <w:r>
        <w:rPr>
          <w:rFonts w:hint="eastAsia" w:ascii="宋体" w:hAnsi="宋体" w:cs="宋体"/>
          <w:kern w:val="0"/>
          <w:lang w:val="zh-CN"/>
        </w:rPr>
        <w:t>独立第三方医学诊断服务（区域医学检验共享中心）</w:t>
      </w:r>
    </w:p>
    <w:p>
      <w:pPr>
        <w:autoSpaceDE w:val="0"/>
        <w:autoSpaceDN w:val="0"/>
        <w:adjustRightInd w:val="0"/>
        <w:ind w:firstLine="360"/>
        <w:rPr>
          <w:rFonts w:eastAsia="Times New Roman"/>
          <w:kern w:val="0"/>
          <w:lang w:val="zh-CN"/>
        </w:rPr>
      </w:pPr>
      <w:r>
        <w:rPr>
          <w:rFonts w:hint="eastAsia" w:ascii="宋体" w:hAnsi="宋体" w:cs="宋体"/>
          <w:kern w:val="0"/>
          <w:lang w:val="zh-CN"/>
        </w:rPr>
        <w:t>报告期内，公司积极稳步推进医学诊断服务业务，进一步提升医学诊断服务业务的技术和盈利能力，实现</w:t>
      </w:r>
      <w:r>
        <w:rPr>
          <w:rFonts w:eastAsia="Times New Roman"/>
          <w:kern w:val="0"/>
          <w:lang w:val="zh-CN"/>
        </w:rPr>
        <w:t>“</w:t>
      </w:r>
      <w:r>
        <w:rPr>
          <w:rFonts w:hint="eastAsia" w:ascii="宋体" w:hAnsi="宋体" w:cs="宋体"/>
          <w:kern w:val="0"/>
          <w:lang w:val="zh-CN"/>
        </w:rPr>
        <w:t>诊断产品</w:t>
      </w:r>
      <w:r>
        <w:rPr>
          <w:rFonts w:eastAsia="Times New Roman"/>
          <w:kern w:val="0"/>
          <w:lang w:val="zh-CN"/>
        </w:rPr>
        <w:t>+</w:t>
      </w:r>
      <w:r>
        <w:rPr>
          <w:rFonts w:hint="eastAsia" w:ascii="宋体" w:hAnsi="宋体" w:cs="宋体"/>
          <w:kern w:val="0"/>
          <w:lang w:val="zh-CN"/>
        </w:rPr>
        <w:t>诊断服务</w:t>
      </w:r>
      <w:r>
        <w:rPr>
          <w:rFonts w:eastAsia="Times New Roman"/>
          <w:kern w:val="0"/>
          <w:lang w:val="zh-CN"/>
        </w:rPr>
        <w:t>”</w:t>
      </w:r>
      <w:r>
        <w:rPr>
          <w:rFonts w:hint="eastAsia" w:ascii="宋体" w:hAnsi="宋体" w:cs="宋体"/>
          <w:kern w:val="0"/>
          <w:lang w:val="zh-CN"/>
        </w:rPr>
        <w:t>协调发展。</w:t>
      </w:r>
    </w:p>
    <w:p>
      <w:pPr>
        <w:autoSpaceDE w:val="0"/>
        <w:autoSpaceDN w:val="0"/>
        <w:adjustRightInd w:val="0"/>
        <w:rPr>
          <w:rFonts w:eastAsia="Times New Roman"/>
          <w:kern w:val="0"/>
          <w:lang w:val="zh-CN"/>
        </w:rPr>
      </w:pPr>
      <w:r>
        <w:rPr>
          <w:rFonts w:eastAsia="Times New Roman"/>
          <w:kern w:val="0"/>
          <w:lang w:val="zh-CN"/>
        </w:rPr>
        <w:t>3.</w:t>
      </w:r>
      <w:r>
        <w:rPr>
          <w:rFonts w:hint="eastAsia" w:ascii="宋体" w:hAnsi="宋体" w:cs="宋体"/>
          <w:kern w:val="0"/>
          <w:lang w:val="zh-CN"/>
        </w:rPr>
        <w:t>试剂原料</w:t>
      </w:r>
    </w:p>
    <w:p>
      <w:pPr>
        <w:autoSpaceDE w:val="0"/>
        <w:autoSpaceDN w:val="0"/>
        <w:adjustRightInd w:val="0"/>
        <w:ind w:firstLine="360"/>
        <w:rPr>
          <w:rFonts w:eastAsia="Times New Roman"/>
          <w:kern w:val="0"/>
          <w:lang w:val="zh-CN"/>
        </w:rPr>
      </w:pPr>
      <w:r>
        <w:rPr>
          <w:rFonts w:hint="eastAsia" w:ascii="宋体" w:hAnsi="宋体" w:cs="宋体"/>
          <w:kern w:val="0"/>
          <w:lang w:val="zh-CN"/>
        </w:rPr>
        <w:t>公司在提供体外诊断产品和医学诊断服务的同时，还生产销售试剂原料。试剂原料是指多种化学原料的混合物或混合溶液，主要用于生产体外诊断试剂。</w:t>
      </w:r>
    </w:p>
    <w:p>
      <w:pPr>
        <w:autoSpaceDE w:val="0"/>
        <w:autoSpaceDN w:val="0"/>
        <w:adjustRightInd w:val="0"/>
        <w:rPr>
          <w:rFonts w:eastAsia="Times New Roman"/>
          <w:b/>
          <w:kern w:val="0"/>
          <w:lang w:val="zh-CN"/>
        </w:rPr>
      </w:pPr>
      <w:r>
        <w:rPr>
          <w:rFonts w:hint="eastAsia" w:ascii="宋体" w:hAnsi="宋体" w:cs="宋体"/>
          <w:b/>
          <w:kern w:val="0"/>
          <w:lang w:val="zh-CN"/>
        </w:rPr>
        <w:t>（二）经营模式</w:t>
      </w:r>
    </w:p>
    <w:p>
      <w:pPr>
        <w:autoSpaceDE w:val="0"/>
        <w:autoSpaceDN w:val="0"/>
        <w:adjustRightInd w:val="0"/>
        <w:rPr>
          <w:rFonts w:eastAsia="Times New Roman"/>
          <w:kern w:val="0"/>
          <w:lang w:val="zh-CN"/>
        </w:rPr>
      </w:pPr>
      <w:r>
        <w:rPr>
          <w:rFonts w:eastAsia="Times New Roman"/>
          <w:kern w:val="0"/>
          <w:lang w:val="zh-CN"/>
        </w:rPr>
        <w:t>1.</w:t>
      </w:r>
      <w:r>
        <w:rPr>
          <w:rFonts w:hint="eastAsia" w:ascii="宋体" w:hAnsi="宋体" w:cs="宋体"/>
          <w:kern w:val="0"/>
          <w:lang w:val="zh-CN"/>
        </w:rPr>
        <w:t>采购模式</w:t>
      </w:r>
    </w:p>
    <w:p>
      <w:pPr>
        <w:autoSpaceDE w:val="0"/>
        <w:autoSpaceDN w:val="0"/>
        <w:adjustRightInd w:val="0"/>
        <w:ind w:firstLine="360"/>
        <w:rPr>
          <w:rFonts w:eastAsia="Times New Roman"/>
          <w:kern w:val="0"/>
          <w:lang w:val="zh-CN"/>
        </w:rPr>
      </w:pPr>
      <w:r>
        <w:rPr>
          <w:rFonts w:hint="eastAsia" w:ascii="宋体" w:hAnsi="宋体" w:cs="宋体"/>
          <w:kern w:val="0"/>
          <w:lang w:val="zh-CN"/>
        </w:rPr>
        <w:t>公司通过科学管理制度的构建和先进技术的运用确保采购质量与效率。在制度上，完善供应商筛选以及跟踪制度，采购部门主要负责搜寻潜在供应商，由质量部组织相关技术、工艺、采购人员等成立供应商开发评估小组，并按照新供方开发程序对供应商进行现场考察，质量认证评估等，并定期对供应商在质量、交期、价格、服务等多个方面进行全面考核；同时，强化对子公司物料招标采购的管理，构建集团采购平台，最大程度降低采购成本。</w:t>
      </w:r>
    </w:p>
    <w:p>
      <w:pPr>
        <w:autoSpaceDE w:val="0"/>
        <w:autoSpaceDN w:val="0"/>
        <w:adjustRightInd w:val="0"/>
        <w:rPr>
          <w:rFonts w:eastAsia="Times New Roman"/>
          <w:kern w:val="0"/>
          <w:lang w:val="zh-CN"/>
        </w:rPr>
      </w:pPr>
      <w:r>
        <w:rPr>
          <w:rFonts w:eastAsia="Times New Roman"/>
          <w:kern w:val="0"/>
          <w:lang w:val="zh-CN"/>
        </w:rPr>
        <w:t>2.</w:t>
      </w:r>
      <w:r>
        <w:rPr>
          <w:rFonts w:hint="eastAsia" w:ascii="宋体" w:hAnsi="宋体" w:cs="宋体"/>
          <w:kern w:val="0"/>
          <w:lang w:val="zh-CN"/>
        </w:rPr>
        <w:t>生产模式</w:t>
      </w:r>
    </w:p>
    <w:p>
      <w:pPr>
        <w:autoSpaceDE w:val="0"/>
        <w:autoSpaceDN w:val="0"/>
        <w:adjustRightInd w:val="0"/>
        <w:ind w:firstLine="360"/>
        <w:rPr>
          <w:rFonts w:eastAsia="Times New Roman"/>
          <w:kern w:val="0"/>
          <w:lang w:val="zh-CN"/>
        </w:rPr>
      </w:pPr>
      <w:r>
        <w:rPr>
          <w:rFonts w:hint="eastAsia" w:ascii="宋体" w:hAnsi="宋体" w:cs="宋体"/>
          <w:kern w:val="0"/>
          <w:lang w:val="zh-CN"/>
        </w:rPr>
        <w:t>公司采用以销定产的模式制定生产计划，实施全员监控，确保产品质量的稳定性。生产管理上，以计划管理模式由生产部策划、协同指挥全生产过程，并实行责任链考核，充分调动整个生产系统的主动性和积极性。为了适应动态的生产过程和外部市场环境的变化，按照生产管理规定不断地进行协调平衡，适时下达或调整生产计划。</w:t>
      </w:r>
    </w:p>
    <w:p>
      <w:pPr>
        <w:autoSpaceDE w:val="0"/>
        <w:autoSpaceDN w:val="0"/>
        <w:adjustRightInd w:val="0"/>
        <w:ind w:firstLine="420"/>
        <w:rPr>
          <w:rFonts w:eastAsia="Times New Roman"/>
          <w:kern w:val="0"/>
          <w:lang w:val="zh-CN"/>
        </w:rPr>
      </w:pPr>
      <w:r>
        <w:rPr>
          <w:rFonts w:hint="eastAsia" w:ascii="宋体" w:hAnsi="宋体" w:cs="宋体"/>
          <w:kern w:val="0"/>
          <w:lang w:val="zh-CN"/>
        </w:rPr>
        <w:t>标准化作业：全面推行标准化作业，并编写了多项</w:t>
      </w:r>
      <w:r>
        <w:rPr>
          <w:rFonts w:eastAsia="Times New Roman"/>
          <w:kern w:val="0"/>
          <w:lang w:val="zh-CN"/>
        </w:rPr>
        <w:t>SOP</w:t>
      </w:r>
      <w:r>
        <w:rPr>
          <w:rFonts w:hint="eastAsia" w:ascii="宋体" w:hAnsi="宋体" w:cs="宋体"/>
          <w:kern w:val="0"/>
          <w:lang w:val="zh-CN"/>
        </w:rPr>
        <w:t>标准操作规程，通过确立标准化的工艺技术进行工艺优化，为生产的规范作业提供了依据，确保了产品质量的稳定性。</w:t>
      </w:r>
    </w:p>
    <w:p>
      <w:pPr>
        <w:autoSpaceDE w:val="0"/>
        <w:autoSpaceDN w:val="0"/>
        <w:adjustRightInd w:val="0"/>
        <w:ind w:firstLine="360"/>
        <w:rPr>
          <w:rFonts w:eastAsia="Times New Roman"/>
          <w:kern w:val="0"/>
          <w:lang w:val="zh-CN"/>
        </w:rPr>
      </w:pPr>
      <w:r>
        <w:rPr>
          <w:rFonts w:hint="eastAsia" w:ascii="宋体" w:hAnsi="宋体" w:cs="宋体"/>
          <w:kern w:val="0"/>
          <w:lang w:val="zh-CN"/>
        </w:rPr>
        <w:t>现场质量管理：推行</w:t>
      </w:r>
      <w:r>
        <w:rPr>
          <w:rFonts w:eastAsia="Times New Roman"/>
          <w:kern w:val="0"/>
          <w:lang w:val="zh-CN"/>
        </w:rPr>
        <w:t>ISO9001</w:t>
      </w:r>
      <w:r>
        <w:rPr>
          <w:rFonts w:hint="eastAsia" w:ascii="宋体" w:hAnsi="宋体" w:cs="宋体"/>
          <w:kern w:val="0"/>
          <w:lang w:val="zh-CN"/>
        </w:rPr>
        <w:t>：</w:t>
      </w:r>
      <w:r>
        <w:rPr>
          <w:rFonts w:eastAsia="Times New Roman"/>
          <w:kern w:val="0"/>
          <w:lang w:val="zh-CN"/>
        </w:rPr>
        <w:t>2008</w:t>
      </w:r>
      <w:r>
        <w:rPr>
          <w:rFonts w:hint="eastAsia" w:ascii="宋体" w:hAnsi="宋体" w:cs="宋体"/>
          <w:kern w:val="0"/>
          <w:lang w:val="zh-CN"/>
        </w:rPr>
        <w:t>及</w:t>
      </w:r>
      <w:r>
        <w:rPr>
          <w:rFonts w:eastAsia="Times New Roman"/>
          <w:kern w:val="0"/>
          <w:lang w:val="zh-CN"/>
        </w:rPr>
        <w:t>ISO13485:2003</w:t>
      </w:r>
      <w:r>
        <w:rPr>
          <w:rFonts w:hint="eastAsia" w:ascii="宋体" w:hAnsi="宋体" w:cs="宋体"/>
          <w:kern w:val="0"/>
          <w:lang w:val="zh-CN"/>
        </w:rPr>
        <w:t>国际质量管理体系、</w:t>
      </w:r>
      <w:r>
        <w:rPr>
          <w:rFonts w:eastAsia="Times New Roman"/>
          <w:kern w:val="0"/>
          <w:lang w:val="zh-CN"/>
        </w:rPr>
        <w:t>ISO14001:2004</w:t>
      </w:r>
      <w:r>
        <w:rPr>
          <w:rFonts w:hint="eastAsia" w:ascii="宋体" w:hAnsi="宋体" w:cs="宋体"/>
          <w:kern w:val="0"/>
          <w:lang w:val="zh-CN"/>
        </w:rPr>
        <w:t>环境管理体系，通过体系的内外审，不断对发现的问题运用</w:t>
      </w:r>
      <w:r>
        <w:rPr>
          <w:rFonts w:eastAsia="Times New Roman"/>
          <w:kern w:val="0"/>
          <w:lang w:val="zh-CN"/>
        </w:rPr>
        <w:t>“PDCA”</w:t>
      </w:r>
      <w:r>
        <w:rPr>
          <w:rFonts w:hint="eastAsia" w:ascii="宋体" w:hAnsi="宋体" w:cs="宋体"/>
          <w:kern w:val="0"/>
          <w:lang w:val="zh-CN"/>
        </w:rPr>
        <w:t>循环实施改进，固化有效的措施，通过连续循环，使质量控制不断的跃上新的台阶。</w:t>
      </w:r>
    </w:p>
    <w:p>
      <w:pPr>
        <w:autoSpaceDE w:val="0"/>
        <w:autoSpaceDN w:val="0"/>
        <w:adjustRightInd w:val="0"/>
        <w:rPr>
          <w:rFonts w:eastAsia="Times New Roman"/>
          <w:kern w:val="0"/>
          <w:lang w:val="zh-CN"/>
        </w:rPr>
      </w:pPr>
      <w:r>
        <w:rPr>
          <w:rFonts w:eastAsia="Times New Roman"/>
          <w:kern w:val="0"/>
          <w:lang w:val="zh-CN"/>
        </w:rPr>
        <w:t>3.</w:t>
      </w:r>
      <w:r>
        <w:rPr>
          <w:rFonts w:hint="eastAsia" w:ascii="宋体" w:hAnsi="宋体" w:cs="宋体"/>
          <w:kern w:val="0"/>
          <w:lang w:val="zh-CN"/>
        </w:rPr>
        <w:t>营销模式</w:t>
      </w:r>
    </w:p>
    <w:p>
      <w:pPr>
        <w:autoSpaceDE w:val="0"/>
        <w:autoSpaceDN w:val="0"/>
        <w:adjustRightInd w:val="0"/>
        <w:ind w:firstLine="270"/>
        <w:rPr>
          <w:rFonts w:eastAsia="Times New Roman"/>
          <w:kern w:val="0"/>
          <w:lang w:val="zh-CN"/>
        </w:rPr>
      </w:pPr>
      <w:r>
        <w:rPr>
          <w:rFonts w:hint="eastAsia" w:ascii="宋体" w:hAnsi="宋体" w:cs="宋体"/>
          <w:kern w:val="0"/>
          <w:lang w:val="zh-CN"/>
        </w:rPr>
        <w:t>在产品端，公司营销采用了行业主流的</w:t>
      </w:r>
      <w:r>
        <w:rPr>
          <w:rFonts w:eastAsia="Times New Roman"/>
          <w:kern w:val="0"/>
          <w:lang w:val="zh-CN"/>
        </w:rPr>
        <w:t>“</w:t>
      </w:r>
      <w:r>
        <w:rPr>
          <w:rFonts w:hint="eastAsia" w:ascii="宋体" w:hAnsi="宋体" w:cs="宋体"/>
          <w:kern w:val="0"/>
          <w:lang w:val="zh-CN"/>
        </w:rPr>
        <w:t>经销和直销相结合</w:t>
      </w:r>
      <w:r>
        <w:rPr>
          <w:rFonts w:eastAsia="Times New Roman"/>
          <w:kern w:val="0"/>
          <w:lang w:val="zh-CN"/>
        </w:rPr>
        <w:t>”</w:t>
      </w:r>
      <w:r>
        <w:rPr>
          <w:rFonts w:hint="eastAsia" w:ascii="宋体" w:hAnsi="宋体" w:cs="宋体"/>
          <w:kern w:val="0"/>
          <w:lang w:val="zh-CN"/>
        </w:rPr>
        <w:t>的模式，公司以提高终端客户的覆盖率为目标，在经销的具体模式上不同于传统的以省级经销商为主的方式，而是以地市级经销商为主，在全国设立</w:t>
      </w:r>
      <w:r>
        <w:rPr>
          <w:rFonts w:eastAsia="Times New Roman"/>
          <w:kern w:val="0"/>
          <w:lang w:val="zh-CN"/>
        </w:rPr>
        <w:t>31</w:t>
      </w:r>
      <w:r>
        <w:rPr>
          <w:rFonts w:hint="eastAsia" w:ascii="宋体" w:hAnsi="宋体" w:cs="宋体"/>
          <w:kern w:val="0"/>
          <w:lang w:val="zh-CN"/>
        </w:rPr>
        <w:t>个省级办事处；同时，公司代理业务采用直销为主的营销模式，面向终端客户销售。</w:t>
      </w:r>
    </w:p>
    <w:p>
      <w:pPr>
        <w:autoSpaceDE w:val="0"/>
        <w:autoSpaceDN w:val="0"/>
        <w:adjustRightInd w:val="0"/>
        <w:ind w:firstLine="360"/>
        <w:rPr>
          <w:rFonts w:eastAsia="Times New Roman"/>
          <w:kern w:val="0"/>
          <w:lang w:val="zh-CN"/>
        </w:rPr>
      </w:pPr>
      <w:r>
        <w:rPr>
          <w:rFonts w:hint="eastAsia" w:ascii="宋体" w:hAnsi="宋体" w:cs="宋体"/>
          <w:kern w:val="0"/>
          <w:lang w:val="zh-CN"/>
        </w:rPr>
        <w:t>在服务端，公司积极响应国家分级诊疗及慢病管理的相关政策，充分利用政府平台、医院及经销商资源，稳步推进区域医学检验共享中心，建立包括诊断产品、诊断服务、管理咨询、集中采购、远程病理、网络信息建设、体系认证协助</w:t>
      </w:r>
      <w:r>
        <w:rPr>
          <w:rFonts w:eastAsia="Times New Roman"/>
          <w:kern w:val="0"/>
          <w:lang w:val="zh-CN"/>
        </w:rPr>
        <w:t>(CAP</w:t>
      </w:r>
      <w:r>
        <w:rPr>
          <w:rFonts w:hint="eastAsia" w:ascii="宋体" w:hAnsi="宋体" w:cs="宋体"/>
          <w:kern w:val="0"/>
          <w:lang w:val="zh-CN"/>
        </w:rPr>
        <w:t>认证、</w:t>
      </w:r>
      <w:r>
        <w:rPr>
          <w:rFonts w:eastAsia="Times New Roman"/>
          <w:kern w:val="0"/>
          <w:lang w:val="zh-CN"/>
        </w:rPr>
        <w:t>ISO15189</w:t>
      </w:r>
      <w:r>
        <w:rPr>
          <w:rFonts w:hint="eastAsia" w:ascii="宋体" w:hAnsi="宋体" w:cs="宋体"/>
          <w:kern w:val="0"/>
          <w:lang w:val="zh-CN"/>
        </w:rPr>
        <w:t>认证</w:t>
      </w:r>
      <w:r>
        <w:rPr>
          <w:rFonts w:eastAsia="Times New Roman"/>
          <w:kern w:val="0"/>
          <w:lang w:val="zh-CN"/>
        </w:rPr>
        <w:t>)</w:t>
      </w:r>
      <w:r>
        <w:rPr>
          <w:rFonts w:hint="eastAsia" w:ascii="宋体" w:hAnsi="宋体" w:cs="宋体"/>
          <w:kern w:val="0"/>
          <w:lang w:val="zh-CN"/>
        </w:rPr>
        <w:t>、质量管控（</w:t>
      </w:r>
      <w:r>
        <w:rPr>
          <w:rFonts w:eastAsia="Times New Roman"/>
          <w:kern w:val="0"/>
          <w:lang w:val="zh-CN"/>
        </w:rPr>
        <w:t>IQC</w:t>
      </w:r>
      <w:r>
        <w:rPr>
          <w:rFonts w:hint="eastAsia" w:ascii="宋体" w:hAnsi="宋体" w:cs="宋体"/>
          <w:kern w:val="0"/>
          <w:lang w:val="zh-CN"/>
        </w:rPr>
        <w:t>、</w:t>
      </w:r>
      <w:r>
        <w:rPr>
          <w:rFonts w:eastAsia="Times New Roman"/>
          <w:kern w:val="0"/>
          <w:lang w:val="zh-CN"/>
        </w:rPr>
        <w:t>EQA</w:t>
      </w:r>
      <w:r>
        <w:rPr>
          <w:rFonts w:hint="eastAsia" w:ascii="宋体" w:hAnsi="宋体" w:cs="宋体"/>
          <w:kern w:val="0"/>
          <w:lang w:val="zh-CN"/>
        </w:rPr>
        <w:t>）等在内的一站式解决方案服务体系，以满足区域内客户的需求。</w:t>
      </w:r>
    </w:p>
    <w:p>
      <w:pPr>
        <w:autoSpaceDE w:val="0"/>
        <w:autoSpaceDN w:val="0"/>
        <w:adjustRightInd w:val="0"/>
        <w:ind w:firstLine="360"/>
        <w:rPr>
          <w:rFonts w:eastAsia="Times New Roman"/>
          <w:kern w:val="0"/>
          <w:lang w:val="zh-CN"/>
        </w:rPr>
      </w:pPr>
      <w:r>
        <w:rPr>
          <w:rFonts w:hint="eastAsia" w:ascii="宋体" w:hAnsi="宋体" w:cs="宋体"/>
          <w:kern w:val="0"/>
          <w:lang w:val="zh-CN"/>
        </w:rPr>
        <w:t>公司坚持</w:t>
      </w:r>
      <w:r>
        <w:rPr>
          <w:rFonts w:eastAsia="Times New Roman"/>
          <w:kern w:val="0"/>
          <w:lang w:val="zh-CN"/>
        </w:rPr>
        <w:t>“</w:t>
      </w:r>
      <w:r>
        <w:rPr>
          <w:rFonts w:hint="eastAsia" w:ascii="宋体" w:hAnsi="宋体" w:cs="宋体"/>
          <w:kern w:val="0"/>
          <w:lang w:val="zh-CN"/>
        </w:rPr>
        <w:t>诊断产品</w:t>
      </w:r>
      <w:r>
        <w:rPr>
          <w:rFonts w:eastAsia="Times New Roman"/>
          <w:kern w:val="0"/>
          <w:lang w:val="zh-CN"/>
        </w:rPr>
        <w:t>+</w:t>
      </w:r>
      <w:r>
        <w:rPr>
          <w:rFonts w:hint="eastAsia" w:ascii="宋体" w:hAnsi="宋体" w:cs="宋体"/>
          <w:kern w:val="0"/>
          <w:lang w:val="zh-CN"/>
        </w:rPr>
        <w:t>诊断服务</w:t>
      </w:r>
      <w:r>
        <w:rPr>
          <w:rFonts w:eastAsia="Times New Roman"/>
          <w:kern w:val="0"/>
          <w:lang w:val="zh-CN"/>
        </w:rPr>
        <w:t>”</w:t>
      </w:r>
      <w:r>
        <w:rPr>
          <w:rFonts w:hint="eastAsia" w:ascii="宋体" w:hAnsi="宋体" w:cs="宋体"/>
          <w:kern w:val="0"/>
          <w:lang w:val="zh-CN"/>
        </w:rPr>
        <w:t>协调发展，进一步提升客户满意度，增加客户粘性，巩固和提升市场占有率。</w:t>
      </w:r>
    </w:p>
    <w:p>
      <w:pPr>
        <w:autoSpaceDE w:val="0"/>
        <w:autoSpaceDN w:val="0"/>
        <w:adjustRightInd w:val="0"/>
        <w:rPr>
          <w:rFonts w:eastAsia="Times New Roman"/>
          <w:b/>
          <w:kern w:val="0"/>
          <w:lang w:val="zh-CN"/>
        </w:rPr>
      </w:pPr>
      <w:r>
        <w:rPr>
          <w:rFonts w:hint="eastAsia" w:ascii="宋体" w:hAnsi="宋体" w:cs="宋体"/>
          <w:b/>
          <w:kern w:val="0"/>
          <w:lang w:val="zh-CN"/>
        </w:rPr>
        <w:t>（三）公司所处行业的发展趋势</w:t>
      </w:r>
    </w:p>
    <w:p>
      <w:pPr>
        <w:autoSpaceDE w:val="0"/>
        <w:autoSpaceDN w:val="0"/>
        <w:adjustRightInd w:val="0"/>
        <w:ind w:firstLine="360"/>
        <w:rPr>
          <w:rFonts w:eastAsia="Times New Roman"/>
          <w:kern w:val="0"/>
          <w:lang w:val="zh-CN"/>
        </w:rPr>
      </w:pPr>
      <w:r>
        <w:rPr>
          <w:rFonts w:hint="eastAsia" w:ascii="宋体" w:hAnsi="宋体" w:cs="宋体"/>
          <w:kern w:val="0"/>
          <w:lang w:val="zh-CN"/>
        </w:rPr>
        <w:t>公司所处行业为体外诊断产品制造行业，属于医疗器械产业细分领域。体外诊断（</w:t>
      </w:r>
      <w:r>
        <w:rPr>
          <w:rFonts w:eastAsia="Times New Roman"/>
          <w:kern w:val="0"/>
          <w:lang w:val="zh-CN"/>
        </w:rPr>
        <w:t>In-Vitro Diagnostics</w:t>
      </w:r>
      <w:r>
        <w:rPr>
          <w:rFonts w:hint="eastAsia" w:ascii="宋体" w:hAnsi="宋体" w:cs="宋体"/>
          <w:kern w:val="0"/>
          <w:lang w:val="zh-CN"/>
        </w:rPr>
        <w:t>，</w:t>
      </w:r>
      <w:r>
        <w:rPr>
          <w:rFonts w:eastAsia="Times New Roman"/>
          <w:kern w:val="0"/>
          <w:lang w:val="zh-CN"/>
        </w:rPr>
        <w:t>IVD</w:t>
      </w:r>
      <w:r>
        <w:rPr>
          <w:rFonts w:hint="eastAsia" w:ascii="宋体" w:hAnsi="宋体" w:cs="宋体"/>
          <w:kern w:val="0"/>
          <w:lang w:val="zh-CN"/>
        </w:rPr>
        <w:t>）是指在体外通过对人体体液、细胞和组织等样本进行检测而获取临床诊断信息，进而判断疾病或机体功能的诊断方法。目前，全球医疗决策中有三分之二是依据诊断做出，而</w:t>
      </w:r>
      <w:r>
        <w:rPr>
          <w:rFonts w:eastAsia="Times New Roman"/>
          <w:kern w:val="0"/>
          <w:lang w:val="zh-CN"/>
        </w:rPr>
        <w:t>80%</w:t>
      </w:r>
      <w:r>
        <w:rPr>
          <w:rFonts w:hint="eastAsia" w:ascii="宋体" w:hAnsi="宋体" w:cs="宋体"/>
          <w:kern w:val="0"/>
          <w:lang w:val="zh-CN"/>
        </w:rPr>
        <w:t>以上的诊断属于体外诊断范畴。</w:t>
      </w:r>
    </w:p>
    <w:p>
      <w:pPr>
        <w:numPr>
          <w:ilvl w:val="0"/>
          <w:numId w:val="2"/>
        </w:numPr>
        <w:autoSpaceDE w:val="0"/>
        <w:autoSpaceDN w:val="0"/>
        <w:adjustRightInd w:val="0"/>
        <w:ind w:left="360" w:hanging="360"/>
        <w:rPr>
          <w:rFonts w:eastAsia="Times New Roman"/>
          <w:kern w:val="0"/>
          <w:lang w:val="zh-CN"/>
        </w:rPr>
      </w:pPr>
      <w:r>
        <w:rPr>
          <w:rFonts w:hint="eastAsia" w:ascii="宋体" w:hAnsi="宋体" w:cs="宋体"/>
          <w:kern w:val="0"/>
          <w:lang w:val="zh-CN"/>
        </w:rPr>
        <w:t>行业发展状况</w:t>
      </w:r>
    </w:p>
    <w:p>
      <w:pPr>
        <w:autoSpaceDE w:val="0"/>
        <w:autoSpaceDN w:val="0"/>
        <w:adjustRightInd w:val="0"/>
        <w:ind w:firstLine="360"/>
        <w:rPr>
          <w:rFonts w:eastAsia="Times New Roman"/>
          <w:kern w:val="0"/>
          <w:lang w:val="zh-CN"/>
        </w:rPr>
      </w:pPr>
      <w:r>
        <w:rPr>
          <w:rFonts w:hint="eastAsia" w:ascii="宋体" w:hAnsi="宋体" w:cs="宋体"/>
          <w:kern w:val="0"/>
          <w:lang w:val="zh-CN"/>
        </w:rPr>
        <w:t>根据美国</w:t>
      </w:r>
      <w:r>
        <w:rPr>
          <w:rFonts w:eastAsia="Times New Roman"/>
          <w:kern w:val="0"/>
          <w:lang w:val="zh-CN"/>
        </w:rPr>
        <w:t>IQVIA</w:t>
      </w:r>
      <w:r>
        <w:rPr>
          <w:rFonts w:hint="eastAsia" w:ascii="宋体" w:hAnsi="宋体" w:cs="宋体"/>
          <w:kern w:val="0"/>
          <w:lang w:val="zh-CN"/>
        </w:rPr>
        <w:t>披露数据，</w:t>
      </w:r>
      <w:r>
        <w:rPr>
          <w:rFonts w:eastAsia="Times New Roman"/>
          <w:kern w:val="0"/>
          <w:lang w:val="zh-CN"/>
        </w:rPr>
        <w:t>2018</w:t>
      </w:r>
      <w:r>
        <w:rPr>
          <w:rFonts w:hint="eastAsia" w:ascii="宋体" w:hAnsi="宋体" w:cs="宋体"/>
          <w:kern w:val="0"/>
          <w:lang w:val="zh-CN"/>
        </w:rPr>
        <w:t>年全球体外诊断市场为</w:t>
      </w:r>
      <w:r>
        <w:rPr>
          <w:rFonts w:eastAsia="Times New Roman"/>
          <w:kern w:val="0"/>
          <w:lang w:val="zh-CN"/>
        </w:rPr>
        <w:t>630</w:t>
      </w:r>
      <w:r>
        <w:rPr>
          <w:rFonts w:hint="eastAsia" w:ascii="宋体" w:hAnsi="宋体" w:cs="宋体"/>
          <w:kern w:val="0"/>
          <w:lang w:val="zh-CN"/>
        </w:rPr>
        <w:t>亿美元，较</w:t>
      </w:r>
      <w:r>
        <w:rPr>
          <w:rFonts w:eastAsia="Times New Roman"/>
          <w:kern w:val="0"/>
          <w:lang w:val="zh-CN"/>
        </w:rPr>
        <w:t>2017</w:t>
      </w:r>
      <w:r>
        <w:rPr>
          <w:rFonts w:hint="eastAsia" w:ascii="宋体" w:hAnsi="宋体" w:cs="宋体"/>
          <w:kern w:val="0"/>
          <w:lang w:val="zh-CN"/>
        </w:rPr>
        <w:t>年同比增长</w:t>
      </w:r>
      <w:r>
        <w:rPr>
          <w:rFonts w:eastAsia="Times New Roman"/>
          <w:kern w:val="0"/>
          <w:lang w:val="zh-CN"/>
        </w:rPr>
        <w:t>6%</w:t>
      </w:r>
      <w:r>
        <w:rPr>
          <w:rFonts w:hint="eastAsia" w:ascii="宋体" w:hAnsi="宋体" w:cs="宋体"/>
          <w:kern w:val="0"/>
          <w:lang w:val="zh-CN"/>
        </w:rPr>
        <w:t>。从分市场来看，北美市场占比最高，为</w:t>
      </w:r>
      <w:r>
        <w:rPr>
          <w:rFonts w:eastAsia="Times New Roman"/>
          <w:kern w:val="0"/>
          <w:lang w:val="zh-CN"/>
        </w:rPr>
        <w:t>204</w:t>
      </w:r>
      <w:r>
        <w:rPr>
          <w:rFonts w:hint="eastAsia" w:ascii="宋体" w:hAnsi="宋体" w:cs="宋体"/>
          <w:kern w:val="0"/>
          <w:lang w:val="zh-CN"/>
        </w:rPr>
        <w:t>亿美元，约占全球</w:t>
      </w:r>
      <w:r>
        <w:rPr>
          <w:rFonts w:eastAsia="Times New Roman"/>
          <w:kern w:val="0"/>
          <w:lang w:val="zh-CN"/>
        </w:rPr>
        <w:t>IVD</w:t>
      </w:r>
      <w:r>
        <w:rPr>
          <w:rFonts w:hint="eastAsia" w:ascii="宋体" w:hAnsi="宋体" w:cs="宋体"/>
          <w:kern w:val="0"/>
          <w:lang w:val="zh-CN"/>
        </w:rPr>
        <w:t>市场的三分之一；亚太市场增速最快，同比增长</w:t>
      </w:r>
      <w:r>
        <w:rPr>
          <w:rFonts w:eastAsia="Times New Roman"/>
          <w:kern w:val="0"/>
          <w:lang w:val="zh-CN"/>
        </w:rPr>
        <w:t>12%</w:t>
      </w:r>
      <w:r>
        <w:rPr>
          <w:rFonts w:hint="eastAsia" w:ascii="宋体" w:hAnsi="宋体" w:cs="宋体"/>
          <w:kern w:val="0"/>
          <w:lang w:val="zh-CN"/>
        </w:rPr>
        <w:t>，总市场为</w:t>
      </w:r>
      <w:r>
        <w:rPr>
          <w:rFonts w:eastAsia="Times New Roman"/>
          <w:kern w:val="0"/>
          <w:lang w:val="zh-CN"/>
        </w:rPr>
        <w:t>158</w:t>
      </w:r>
      <w:r>
        <w:rPr>
          <w:rFonts w:hint="eastAsia" w:ascii="宋体" w:hAnsi="宋体" w:cs="宋体"/>
          <w:kern w:val="0"/>
          <w:lang w:val="zh-CN"/>
        </w:rPr>
        <w:t>亿美元。汇总国内外有关中国体外诊断市场信息，</w:t>
      </w:r>
      <w:r>
        <w:rPr>
          <w:rFonts w:eastAsia="Times New Roman"/>
          <w:kern w:val="0"/>
          <w:lang w:val="zh-CN"/>
        </w:rPr>
        <w:t>2018</w:t>
      </w:r>
      <w:r>
        <w:rPr>
          <w:rFonts w:hint="eastAsia" w:ascii="宋体" w:hAnsi="宋体" w:cs="宋体"/>
          <w:kern w:val="0"/>
          <w:lang w:val="zh-CN"/>
        </w:rPr>
        <w:t>年中国体外诊断市场规模超过</w:t>
      </w:r>
      <w:r>
        <w:rPr>
          <w:rFonts w:eastAsia="Times New Roman"/>
          <w:kern w:val="0"/>
          <w:lang w:val="zh-CN"/>
        </w:rPr>
        <w:t>800</w:t>
      </w:r>
      <w:r>
        <w:rPr>
          <w:rFonts w:hint="eastAsia" w:ascii="宋体" w:hAnsi="宋体" w:cs="宋体"/>
          <w:kern w:val="0"/>
          <w:lang w:val="zh-CN"/>
        </w:rPr>
        <w:t>亿元人民币，同比增长</w:t>
      </w:r>
      <w:r>
        <w:rPr>
          <w:rFonts w:eastAsia="Times New Roman"/>
          <w:kern w:val="0"/>
          <w:lang w:val="zh-CN"/>
        </w:rPr>
        <w:t>15%</w:t>
      </w:r>
      <w:r>
        <w:rPr>
          <w:rFonts w:hint="eastAsia" w:ascii="宋体" w:hAnsi="宋体" w:cs="宋体"/>
          <w:kern w:val="0"/>
          <w:lang w:val="zh-CN"/>
        </w:rPr>
        <w:t>左右。其中进口产品占比</w:t>
      </w:r>
      <w:r>
        <w:rPr>
          <w:rFonts w:eastAsia="Times New Roman"/>
          <w:kern w:val="0"/>
          <w:lang w:val="zh-CN"/>
        </w:rPr>
        <w:t>55%</w:t>
      </w:r>
      <w:r>
        <w:rPr>
          <w:rFonts w:hint="eastAsia" w:ascii="宋体" w:hAnsi="宋体" w:cs="宋体"/>
          <w:kern w:val="0"/>
          <w:lang w:val="zh-CN"/>
        </w:rPr>
        <w:t>左右。</w:t>
      </w:r>
    </w:p>
    <w:p>
      <w:pPr>
        <w:autoSpaceDE w:val="0"/>
        <w:autoSpaceDN w:val="0"/>
        <w:adjustRightInd w:val="0"/>
        <w:ind w:firstLine="360"/>
        <w:rPr>
          <w:rFonts w:eastAsia="Times New Roman"/>
          <w:kern w:val="0"/>
          <w:lang w:val="zh-CN"/>
        </w:rPr>
      </w:pPr>
      <w:r>
        <w:rPr>
          <w:rFonts w:eastAsia="Times New Roman"/>
          <w:kern w:val="0"/>
          <w:lang w:val="zh-CN"/>
        </w:rPr>
        <w:t>IQVIA</w:t>
      </w:r>
      <w:r>
        <w:rPr>
          <w:rFonts w:hint="eastAsia" w:ascii="宋体" w:hAnsi="宋体" w:cs="宋体"/>
          <w:kern w:val="0"/>
          <w:lang w:val="zh-CN"/>
        </w:rPr>
        <w:t>报告预测，全球</w:t>
      </w:r>
      <w:r>
        <w:rPr>
          <w:rFonts w:eastAsia="Times New Roman"/>
          <w:kern w:val="0"/>
          <w:lang w:val="zh-CN"/>
        </w:rPr>
        <w:t>IVD</w:t>
      </w:r>
      <w:r>
        <w:rPr>
          <w:rFonts w:hint="eastAsia" w:ascii="宋体" w:hAnsi="宋体" w:cs="宋体"/>
          <w:kern w:val="0"/>
          <w:lang w:val="zh-CN"/>
        </w:rPr>
        <w:t>市场未来五年复合年增长率超过</w:t>
      </w:r>
      <w:r>
        <w:rPr>
          <w:rFonts w:eastAsia="Times New Roman"/>
          <w:kern w:val="0"/>
          <w:lang w:val="zh-CN"/>
        </w:rPr>
        <w:t>5%</w:t>
      </w:r>
      <w:r>
        <w:rPr>
          <w:rFonts w:hint="eastAsia" w:ascii="宋体" w:hAnsi="宋体" w:cs="宋体"/>
          <w:kern w:val="0"/>
          <w:lang w:val="zh-CN"/>
        </w:rPr>
        <w:t>。其中发达地区未来五年的复合年增长率在</w:t>
      </w:r>
      <w:r>
        <w:rPr>
          <w:rFonts w:eastAsia="Times New Roman"/>
          <w:kern w:val="0"/>
          <w:lang w:val="zh-CN"/>
        </w:rPr>
        <w:t>2%</w:t>
      </w:r>
      <w:r>
        <w:rPr>
          <w:rFonts w:hint="eastAsia" w:ascii="宋体" w:hAnsi="宋体" w:cs="宋体"/>
          <w:kern w:val="0"/>
          <w:lang w:val="zh-CN"/>
        </w:rPr>
        <w:t>左右，发展中国家未来五年的复合年增长率在</w:t>
      </w:r>
      <w:r>
        <w:rPr>
          <w:rFonts w:eastAsia="Times New Roman"/>
          <w:kern w:val="0"/>
          <w:lang w:val="zh-CN"/>
        </w:rPr>
        <w:t>9%</w:t>
      </w:r>
      <w:r>
        <w:rPr>
          <w:rFonts w:hint="eastAsia" w:ascii="宋体" w:hAnsi="宋体" w:cs="宋体"/>
          <w:kern w:val="0"/>
          <w:lang w:val="zh-CN"/>
        </w:rPr>
        <w:t>左右，中国未来五年的年复合增长率预计将超过</w:t>
      </w:r>
      <w:r>
        <w:rPr>
          <w:rFonts w:eastAsia="Times New Roman"/>
          <w:kern w:val="0"/>
          <w:lang w:val="zh-CN"/>
        </w:rPr>
        <w:t>10%</w:t>
      </w:r>
      <w:r>
        <w:rPr>
          <w:rFonts w:hint="eastAsia" w:ascii="宋体" w:hAnsi="宋体" w:cs="宋体"/>
          <w:kern w:val="0"/>
          <w:lang w:val="zh-CN"/>
        </w:rPr>
        <w:t>。</w:t>
      </w:r>
    </w:p>
    <w:p>
      <w:pPr>
        <w:autoSpaceDE w:val="0"/>
        <w:autoSpaceDN w:val="0"/>
        <w:adjustRightInd w:val="0"/>
        <w:ind w:firstLine="360"/>
        <w:rPr>
          <w:rFonts w:eastAsia="Times New Roman"/>
          <w:kern w:val="0"/>
          <w:lang w:val="zh-CN"/>
        </w:rPr>
      </w:pPr>
      <w:r>
        <w:rPr>
          <w:rFonts w:hint="eastAsia" w:ascii="宋体" w:hAnsi="宋体" w:cs="宋体"/>
          <w:kern w:val="0"/>
          <w:lang w:val="zh-CN"/>
        </w:rPr>
        <w:t>我国</w:t>
      </w:r>
      <w:r>
        <w:rPr>
          <w:rFonts w:eastAsia="Times New Roman"/>
          <w:kern w:val="0"/>
          <w:lang w:val="zh-CN"/>
        </w:rPr>
        <w:t>IVD</w:t>
      </w:r>
      <w:r>
        <w:rPr>
          <w:rFonts w:hint="eastAsia" w:ascii="宋体" w:hAnsi="宋体" w:cs="宋体"/>
          <w:kern w:val="0"/>
          <w:lang w:val="zh-CN"/>
        </w:rPr>
        <w:t>产业到</w:t>
      </w:r>
      <w:r>
        <w:rPr>
          <w:rFonts w:eastAsia="Times New Roman"/>
          <w:kern w:val="0"/>
          <w:lang w:val="zh-CN"/>
        </w:rPr>
        <w:t>20</w:t>
      </w:r>
      <w:r>
        <w:rPr>
          <w:rFonts w:hint="eastAsia" w:ascii="宋体" w:hAnsi="宋体" w:cs="宋体"/>
          <w:kern w:val="0"/>
          <w:lang w:val="zh-CN"/>
        </w:rPr>
        <w:t>世纪</w:t>
      </w:r>
      <w:r>
        <w:rPr>
          <w:rFonts w:eastAsia="Times New Roman"/>
          <w:kern w:val="0"/>
          <w:lang w:val="zh-CN"/>
        </w:rPr>
        <w:t>80</w:t>
      </w:r>
      <w:r>
        <w:rPr>
          <w:rFonts w:hint="eastAsia" w:ascii="宋体" w:hAnsi="宋体" w:cs="宋体"/>
          <w:kern w:val="0"/>
          <w:lang w:val="zh-CN"/>
        </w:rPr>
        <w:t>年代才逐渐兴起，晚于欧美发达国家，在我国属于新兴产业。经历过</w:t>
      </w:r>
      <w:r>
        <w:rPr>
          <w:rFonts w:eastAsia="Times New Roman"/>
          <w:kern w:val="0"/>
          <w:lang w:val="zh-CN"/>
        </w:rPr>
        <w:t>90</w:t>
      </w:r>
      <w:r>
        <w:rPr>
          <w:rFonts w:hint="eastAsia" w:ascii="宋体" w:hAnsi="宋体" w:cs="宋体"/>
          <w:kern w:val="0"/>
          <w:lang w:val="zh-CN"/>
        </w:rPr>
        <w:t>年代的无序竞争的整顿后，行业发展步入快速规范发展的轨道。目前国内已涌现出一批具有竞争力的企业，但国内企业技术水平仍与国际巨头有较为明显的差距。但同时，我国</w:t>
      </w:r>
      <w:r>
        <w:rPr>
          <w:rFonts w:eastAsia="Times New Roman"/>
          <w:kern w:val="0"/>
          <w:lang w:val="zh-CN"/>
        </w:rPr>
        <w:t>IVD</w:t>
      </w:r>
      <w:r>
        <w:rPr>
          <w:rFonts w:hint="eastAsia" w:ascii="宋体" w:hAnsi="宋体" w:cs="宋体"/>
          <w:kern w:val="0"/>
          <w:lang w:val="zh-CN"/>
        </w:rPr>
        <w:t>行业未来发展动力充足，随着社会老龄化程度加深，城镇化进一步发展，医保支付能力增强，分级诊疗、健康中国等政策的推进，叠加居民生活水平提高、保健意识增强等需求端因素，以及技术进步、项目临床不断开展、原辅料自给能力提升，我国</w:t>
      </w:r>
      <w:r>
        <w:rPr>
          <w:rFonts w:eastAsia="Times New Roman"/>
          <w:kern w:val="0"/>
          <w:lang w:val="zh-CN"/>
        </w:rPr>
        <w:t>IVD</w:t>
      </w:r>
      <w:r>
        <w:rPr>
          <w:rFonts w:hint="eastAsia" w:ascii="宋体" w:hAnsi="宋体" w:cs="宋体"/>
          <w:kern w:val="0"/>
          <w:lang w:val="zh-CN"/>
        </w:rPr>
        <w:t>行业未来</w:t>
      </w:r>
      <w:r>
        <w:rPr>
          <w:rFonts w:eastAsia="Times New Roman"/>
          <w:kern w:val="0"/>
          <w:lang w:val="zh-CN"/>
        </w:rPr>
        <w:t>5-10</w:t>
      </w:r>
      <w:r>
        <w:rPr>
          <w:rFonts w:hint="eastAsia" w:ascii="宋体" w:hAnsi="宋体" w:cs="宋体"/>
          <w:kern w:val="0"/>
          <w:lang w:val="zh-CN"/>
        </w:rPr>
        <w:t>年仍能保持</w:t>
      </w:r>
      <w:r>
        <w:rPr>
          <w:rFonts w:eastAsia="Times New Roman"/>
          <w:kern w:val="0"/>
          <w:lang w:val="zh-CN"/>
        </w:rPr>
        <w:t>15%</w:t>
      </w:r>
      <w:r>
        <w:rPr>
          <w:rFonts w:hint="eastAsia" w:ascii="宋体" w:hAnsi="宋体" w:cs="宋体"/>
          <w:kern w:val="0"/>
          <w:lang w:val="zh-CN"/>
        </w:rPr>
        <w:t>以上的年复合增速。</w:t>
      </w:r>
    </w:p>
    <w:p>
      <w:pPr>
        <w:autoSpaceDE w:val="0"/>
        <w:autoSpaceDN w:val="0"/>
        <w:adjustRightInd w:val="0"/>
        <w:rPr>
          <w:rFonts w:eastAsia="Times New Roman"/>
          <w:kern w:val="0"/>
          <w:lang w:val="zh-CN"/>
        </w:rPr>
      </w:pPr>
      <w:r>
        <w:rPr>
          <w:rFonts w:eastAsia="Times New Roman"/>
          <w:kern w:val="0"/>
          <w:lang w:val="zh-CN"/>
        </w:rPr>
        <w:t>2.</w:t>
      </w:r>
      <w:r>
        <w:rPr>
          <w:rFonts w:hint="eastAsia" w:ascii="宋体" w:hAnsi="宋体" w:cs="宋体"/>
          <w:kern w:val="0"/>
          <w:lang w:val="zh-CN"/>
        </w:rPr>
        <w:t>行业竞争格局</w:t>
      </w:r>
    </w:p>
    <w:p>
      <w:pPr>
        <w:autoSpaceDE w:val="0"/>
        <w:autoSpaceDN w:val="0"/>
        <w:adjustRightInd w:val="0"/>
        <w:ind w:firstLine="360"/>
        <w:rPr>
          <w:rFonts w:eastAsia="Times New Roman"/>
          <w:kern w:val="0"/>
          <w:lang w:val="zh-CN"/>
        </w:rPr>
      </w:pPr>
      <w:r>
        <w:rPr>
          <w:rFonts w:hint="eastAsia" w:ascii="宋体" w:hAnsi="宋体" w:cs="宋体"/>
          <w:kern w:val="0"/>
          <w:lang w:val="zh-CN"/>
        </w:rPr>
        <w:t>我国</w:t>
      </w:r>
      <w:r>
        <w:rPr>
          <w:rFonts w:eastAsia="Times New Roman"/>
          <w:kern w:val="0"/>
          <w:lang w:val="zh-CN"/>
        </w:rPr>
        <w:t>IVD</w:t>
      </w:r>
      <w:r>
        <w:rPr>
          <w:rFonts w:hint="eastAsia" w:ascii="宋体" w:hAnsi="宋体" w:cs="宋体"/>
          <w:kern w:val="0"/>
          <w:lang w:val="zh-CN"/>
        </w:rPr>
        <w:t>上市公司多数由体外诊断试剂的集成创新和国外诊断产品代理起家，业务布局逐渐向原料生产、试剂和仪器研发、检测服务上下游延伸。部分企业业务生态已发展成为生产、研发和检测服务全产业链综合型方案解决商。</w:t>
      </w:r>
      <w:r>
        <w:rPr>
          <w:rFonts w:eastAsia="Times New Roman"/>
          <w:kern w:val="0"/>
          <w:lang w:val="zh-CN"/>
        </w:rPr>
        <w:t>IVD</w:t>
      </w:r>
      <w:r>
        <w:rPr>
          <w:rFonts w:hint="eastAsia" w:ascii="宋体" w:hAnsi="宋体" w:cs="宋体"/>
          <w:kern w:val="0"/>
          <w:lang w:val="zh-CN"/>
        </w:rPr>
        <w:t>细分领域龙头企业通过投资并购纷纷向产业链上下游延伸，下游延伸</w:t>
      </w:r>
      <w:r>
        <w:rPr>
          <w:rFonts w:eastAsia="Times New Roman"/>
          <w:kern w:val="0"/>
          <w:lang w:val="zh-CN"/>
        </w:rPr>
        <w:t>“</w:t>
      </w:r>
      <w:r>
        <w:rPr>
          <w:rFonts w:hint="eastAsia" w:ascii="宋体" w:hAnsi="宋体" w:cs="宋体"/>
          <w:kern w:val="0"/>
          <w:lang w:val="zh-CN"/>
        </w:rPr>
        <w:t>制造</w:t>
      </w:r>
      <w:r>
        <w:rPr>
          <w:rFonts w:eastAsia="Times New Roman"/>
          <w:kern w:val="0"/>
          <w:lang w:val="zh-CN"/>
        </w:rPr>
        <w:t>+</w:t>
      </w:r>
      <w:r>
        <w:rPr>
          <w:rFonts w:hint="eastAsia" w:ascii="宋体" w:hAnsi="宋体" w:cs="宋体"/>
          <w:kern w:val="0"/>
          <w:lang w:val="zh-CN"/>
        </w:rPr>
        <w:t>服务</w:t>
      </w:r>
      <w:r>
        <w:rPr>
          <w:rFonts w:eastAsia="Times New Roman"/>
          <w:kern w:val="0"/>
          <w:lang w:val="zh-CN"/>
        </w:rPr>
        <w:t>”</w:t>
      </w:r>
      <w:r>
        <w:rPr>
          <w:rFonts w:hint="eastAsia" w:ascii="宋体" w:hAnsi="宋体" w:cs="宋体"/>
          <w:kern w:val="0"/>
          <w:lang w:val="zh-CN"/>
        </w:rPr>
        <w:t>成为未来</w:t>
      </w:r>
      <w:r>
        <w:rPr>
          <w:rFonts w:eastAsia="Times New Roman"/>
          <w:kern w:val="0"/>
          <w:lang w:val="zh-CN"/>
        </w:rPr>
        <w:t>IVD</w:t>
      </w:r>
      <w:r>
        <w:rPr>
          <w:rFonts w:hint="eastAsia" w:ascii="宋体" w:hAnsi="宋体" w:cs="宋体"/>
          <w:kern w:val="0"/>
          <w:lang w:val="zh-CN"/>
        </w:rPr>
        <w:t>企业发展壮大的方向。</w:t>
      </w:r>
    </w:p>
    <w:p>
      <w:pPr>
        <w:autoSpaceDE w:val="0"/>
        <w:autoSpaceDN w:val="0"/>
        <w:adjustRightInd w:val="0"/>
        <w:ind w:firstLine="360"/>
        <w:rPr>
          <w:rFonts w:eastAsia="Times New Roman"/>
          <w:kern w:val="0"/>
          <w:lang w:val="zh-CN"/>
        </w:rPr>
      </w:pPr>
      <w:r>
        <w:rPr>
          <w:rFonts w:hint="eastAsia" w:ascii="宋体" w:hAnsi="宋体" w:cs="宋体"/>
          <w:kern w:val="0"/>
          <w:lang w:val="zh-CN"/>
        </w:rPr>
        <w:t>体外诊断细分领域较多，单一技术领域的市场空间有限，因此多数企业利用自身原有的优势将单一产品做到具备一定的市场影响力，在某一细分领域形成优势之后进行横向扩张，开展产品多元化布局，借助原有产品领域渠道优势深根细作补充产品线，打造综合性平台来壮大发展规模。单个企业的检测品类必须要齐全，才能满足客户打包采购的实际需求，因此发展多线业务，完善品类成为重要扩张战略。早期上市的体外诊断企业多数都由生化诊断起步，逐渐向免疫诊断和分子诊断进行技术升级。</w:t>
      </w:r>
    </w:p>
    <w:p>
      <w:pPr>
        <w:autoSpaceDE w:val="0"/>
        <w:autoSpaceDN w:val="0"/>
        <w:adjustRightInd w:val="0"/>
        <w:ind w:firstLine="420"/>
        <w:rPr>
          <w:rFonts w:eastAsia="Times New Roman"/>
          <w:kern w:val="0"/>
          <w:lang w:val="zh-CN"/>
        </w:rPr>
      </w:pPr>
      <w:r>
        <w:rPr>
          <w:rFonts w:hint="eastAsia" w:ascii="宋体" w:hAnsi="宋体" w:cs="宋体"/>
          <w:kern w:val="0"/>
          <w:lang w:val="zh-CN"/>
        </w:rPr>
        <w:t>国内的第三方医学检验行业在过去几年内保持了高速增长，年复合增速在</w:t>
      </w:r>
      <w:r>
        <w:rPr>
          <w:rFonts w:eastAsia="Times New Roman"/>
          <w:kern w:val="0"/>
          <w:lang w:val="zh-CN"/>
        </w:rPr>
        <w:t>30%</w:t>
      </w:r>
      <w:r>
        <w:rPr>
          <w:rFonts w:hint="eastAsia" w:ascii="宋体" w:hAnsi="宋体" w:cs="宋体"/>
          <w:kern w:val="0"/>
          <w:lang w:val="zh-CN"/>
        </w:rPr>
        <w:t>以上，但渗透率相对于美国等发达市场仍较低，预计到</w:t>
      </w:r>
      <w:r>
        <w:rPr>
          <w:rFonts w:eastAsia="Times New Roman"/>
          <w:kern w:val="0"/>
          <w:lang w:val="zh-CN"/>
        </w:rPr>
        <w:t>2020</w:t>
      </w:r>
      <w:r>
        <w:rPr>
          <w:rFonts w:hint="eastAsia" w:ascii="宋体" w:hAnsi="宋体" w:cs="宋体"/>
          <w:kern w:val="0"/>
          <w:lang w:val="zh-CN"/>
        </w:rPr>
        <w:t>年市场规模将达到</w:t>
      </w:r>
      <w:r>
        <w:rPr>
          <w:rFonts w:eastAsia="Times New Roman"/>
          <w:kern w:val="0"/>
          <w:lang w:val="zh-CN"/>
        </w:rPr>
        <w:t>250</w:t>
      </w:r>
      <w:r>
        <w:rPr>
          <w:rFonts w:hint="eastAsia" w:ascii="宋体" w:hAnsi="宋体" w:cs="宋体"/>
          <w:kern w:val="0"/>
          <w:lang w:val="zh-CN"/>
        </w:rPr>
        <w:t>亿元人民币。从中长期来看，受益于医疗改革、分级诊疗等政策的持续性支持，叠加社会健康需求的推动，第三方医学检验行业市场空间将进一步释放，行业将持续快速发展。此外，随着经济发展水平、居民健康意识提高，高收入群体已不满足于常规医学检查，高端检验如基因组学类检测需求持续增加，未来高端检验项目占比将会显著提升。</w:t>
      </w:r>
    </w:p>
    <w:p>
      <w:pPr>
        <w:autoSpaceDE w:val="0"/>
        <w:autoSpaceDN w:val="0"/>
        <w:adjustRightInd w:val="0"/>
        <w:ind w:firstLine="420"/>
        <w:rPr>
          <w:rFonts w:eastAsia="Times New Roman"/>
          <w:kern w:val="0"/>
          <w:lang w:val="zh-CN"/>
        </w:rPr>
      </w:pPr>
      <w:r>
        <w:rPr>
          <w:rFonts w:hint="eastAsia" w:ascii="宋体" w:hAnsi="宋体" w:cs="宋体"/>
          <w:kern w:val="0"/>
          <w:lang w:val="zh-CN"/>
        </w:rPr>
        <w:t>公司是一家专业从事体外诊断产品研发、生产、销售及服务的国家高新技术企业。公司自主产品涵盖生化、化学发光、血细胞、</w:t>
      </w:r>
      <w:r>
        <w:rPr>
          <w:rFonts w:eastAsia="Times New Roman"/>
          <w:kern w:val="0"/>
          <w:lang w:val="zh-CN"/>
        </w:rPr>
        <w:t>POCT</w:t>
      </w:r>
      <w:r>
        <w:rPr>
          <w:rFonts w:hint="eastAsia" w:ascii="宋体" w:hAnsi="宋体" w:cs="宋体"/>
          <w:kern w:val="0"/>
          <w:lang w:val="zh-CN"/>
        </w:rPr>
        <w:t>、分子诊断、质谱、尿液、</w:t>
      </w:r>
      <w:r>
        <w:rPr>
          <w:rFonts w:eastAsia="Times New Roman"/>
          <w:kern w:val="0"/>
          <w:lang w:val="zh-CN"/>
        </w:rPr>
        <w:t>VAP</w:t>
      </w:r>
      <w:r>
        <w:rPr>
          <w:rFonts w:asciiTheme="minorEastAsia" w:hAnsiTheme="minorEastAsia" w:eastAsiaTheme="minorEastAsia"/>
          <w:kern w:val="0"/>
          <w:lang w:val="zh-CN"/>
        </w:rPr>
        <w:t>血脂分型</w:t>
      </w:r>
      <w:r>
        <w:rPr>
          <w:rFonts w:hint="eastAsia" w:ascii="宋体" w:hAnsi="宋体" w:cs="宋体"/>
          <w:kern w:val="0"/>
          <w:lang w:val="zh-CN"/>
        </w:rPr>
        <w:t>、原材料等多个技术平台，是国内体外诊断生产企业中产品平台搭建最完整、产品品种最为丰富的企业之一。公司秉承</w:t>
      </w:r>
      <w:r>
        <w:rPr>
          <w:color w:val="000000"/>
          <w:kern w:val="0"/>
          <w:highlight w:val="white"/>
          <w:lang w:val="zh-CN"/>
        </w:rPr>
        <w:t>“</w:t>
      </w:r>
      <w:r>
        <w:rPr>
          <w:rFonts w:hint="eastAsia" w:ascii="宋体"/>
          <w:color w:val="000000"/>
          <w:kern w:val="0"/>
          <w:highlight w:val="white"/>
          <w:lang w:val="zh-CN"/>
        </w:rPr>
        <w:t>以体外诊断仪器为引擎，体外诊断产品为核心，体外诊断产品</w:t>
      </w:r>
      <w:r>
        <w:rPr>
          <w:color w:val="000000"/>
          <w:kern w:val="0"/>
          <w:highlight w:val="white"/>
          <w:lang w:val="zh-CN"/>
        </w:rPr>
        <w:t>+</w:t>
      </w:r>
      <w:r>
        <w:rPr>
          <w:rFonts w:hint="eastAsia" w:ascii="宋体"/>
          <w:color w:val="000000"/>
          <w:kern w:val="0"/>
          <w:highlight w:val="white"/>
          <w:lang w:val="zh-CN"/>
        </w:rPr>
        <w:t>诊断服务共同发展</w:t>
      </w:r>
      <w:r>
        <w:rPr>
          <w:color w:val="000000"/>
          <w:kern w:val="0"/>
          <w:highlight w:val="white"/>
          <w:lang w:val="zh-CN"/>
        </w:rPr>
        <w:t>”</w:t>
      </w:r>
      <w:r>
        <w:rPr>
          <w:rFonts w:hint="eastAsia" w:ascii="宋体"/>
          <w:color w:val="000000"/>
          <w:kern w:val="0"/>
          <w:highlight w:val="white"/>
          <w:lang w:val="zh-CN"/>
        </w:rPr>
        <w:t>的战略布局</w:t>
      </w:r>
      <w:r>
        <w:rPr>
          <w:rFonts w:hint="eastAsia" w:ascii="宋体" w:hAnsi="宋体" w:cs="宋体"/>
          <w:kern w:val="0"/>
          <w:lang w:val="zh-CN"/>
        </w:rPr>
        <w:t>，持续加强产品研发创新能力，重点发展化学发光、血细胞、</w:t>
      </w:r>
      <w:r>
        <w:rPr>
          <w:rFonts w:eastAsia="Times New Roman"/>
          <w:kern w:val="0"/>
          <w:lang w:val="zh-CN"/>
        </w:rPr>
        <w:t>VAP</w:t>
      </w:r>
      <w:r>
        <w:rPr>
          <w:rFonts w:asciiTheme="minorEastAsia" w:hAnsiTheme="minorEastAsia" w:eastAsiaTheme="minorEastAsia"/>
          <w:kern w:val="0"/>
          <w:lang w:val="zh-CN"/>
        </w:rPr>
        <w:t>血脂分型</w:t>
      </w:r>
      <w:r>
        <w:rPr>
          <w:rFonts w:hint="eastAsia" w:ascii="宋体" w:hAnsi="宋体" w:cs="宋体"/>
          <w:kern w:val="0"/>
          <w:lang w:val="zh-CN"/>
        </w:rPr>
        <w:t>、质谱等，积极布局分子诊断、基因检测等领域，继续巩固和强化核心业务的优势，拓展产业链，优化产品结构，全面推动公司诊断产品与诊断服务的共同发展，从而提升公司在</w:t>
      </w:r>
      <w:r>
        <w:rPr>
          <w:rFonts w:eastAsia="Times New Roman"/>
          <w:kern w:val="0"/>
          <w:lang w:val="zh-CN"/>
        </w:rPr>
        <w:t>IVD</w:t>
      </w:r>
      <w:r>
        <w:rPr>
          <w:rFonts w:hint="eastAsia" w:ascii="宋体" w:hAnsi="宋体" w:cs="宋体"/>
          <w:kern w:val="0"/>
          <w:lang w:val="zh-CN"/>
        </w:rPr>
        <w:t>行业的地位和影响力，实现公司可持续发展。</w:t>
      </w:r>
    </w:p>
    <w:p>
      <w:pPr>
        <w:autoSpaceDE w:val="0"/>
        <w:autoSpaceDN w:val="0"/>
        <w:adjustRightInd w:val="0"/>
        <w:rPr>
          <w:rFonts w:eastAsia="Times New Roman"/>
          <w:b/>
          <w:kern w:val="0"/>
          <w:lang w:val="zh-CN"/>
        </w:rPr>
      </w:pPr>
      <w:r>
        <w:rPr>
          <w:rFonts w:hint="eastAsia" w:ascii="宋体" w:hAnsi="宋体" w:cs="宋体"/>
          <w:b/>
          <w:kern w:val="0"/>
          <w:lang w:val="zh-CN"/>
        </w:rPr>
        <w:t>（四）主要业绩驱动因素</w:t>
      </w:r>
    </w:p>
    <w:p>
      <w:pPr>
        <w:autoSpaceDE w:val="0"/>
        <w:autoSpaceDN w:val="0"/>
        <w:adjustRightInd w:val="0"/>
        <w:ind w:firstLine="420"/>
        <w:rPr>
          <w:rFonts w:eastAsia="Times New Roman"/>
          <w:kern w:val="0"/>
          <w:lang w:val="zh-CN"/>
        </w:rPr>
      </w:pPr>
      <w:r>
        <w:rPr>
          <w:rFonts w:hint="eastAsia" w:ascii="宋体" w:hAnsi="宋体" w:cs="宋体"/>
          <w:kern w:val="0"/>
          <w:lang w:val="zh-CN"/>
        </w:rPr>
        <w:t>报告期内，公司实现营业总收入为</w:t>
      </w:r>
      <w:r>
        <w:rPr>
          <w:rFonts w:ascii="宋体" w:hAnsi="宋体" w:cs="宋体"/>
          <w:kern w:val="0"/>
          <w:lang w:val="zh-CN"/>
        </w:rPr>
        <w:t>313,344.77</w:t>
      </w:r>
      <w:r>
        <w:rPr>
          <w:rFonts w:hint="eastAsia" w:ascii="宋体" w:hAnsi="宋体" w:cs="宋体"/>
          <w:kern w:val="0"/>
          <w:lang w:val="zh-CN"/>
        </w:rPr>
        <w:t>万元，比上年同期下降</w:t>
      </w:r>
      <w:r>
        <w:rPr>
          <w:rFonts w:ascii="宋体" w:hAnsi="宋体" w:cs="宋体"/>
          <w:kern w:val="0"/>
          <w:lang w:val="zh-CN"/>
        </w:rPr>
        <w:t>0.05%</w:t>
      </w:r>
      <w:r>
        <w:rPr>
          <w:rFonts w:hint="eastAsia" w:ascii="宋体" w:hAnsi="宋体" w:cs="宋体"/>
          <w:kern w:val="0"/>
          <w:lang w:val="zh-CN"/>
        </w:rPr>
        <w:t>；归属于上市公司股东的净利润为</w:t>
      </w:r>
      <w:r>
        <w:rPr>
          <w:rFonts w:ascii="宋体" w:hAnsi="宋体" w:cs="宋体"/>
          <w:kern w:val="0"/>
          <w:lang w:val="zh-CN"/>
        </w:rPr>
        <w:t>-55,991.22</w:t>
      </w:r>
      <w:r>
        <w:rPr>
          <w:rFonts w:hint="eastAsia" w:ascii="宋体" w:hAnsi="宋体" w:cs="宋体"/>
          <w:kern w:val="0"/>
          <w:lang w:val="zh-CN"/>
        </w:rPr>
        <w:t>万元，较上年同期下降</w:t>
      </w:r>
      <w:r>
        <w:rPr>
          <w:rFonts w:ascii="宋体" w:hAnsi="宋体" w:cs="宋体"/>
          <w:kern w:val="0"/>
          <w:lang w:val="zh-CN"/>
        </w:rPr>
        <w:t>332.16%</w:t>
      </w:r>
      <w:r>
        <w:rPr>
          <w:rFonts w:hint="eastAsia" w:ascii="宋体" w:hAnsi="宋体" w:cs="宋体"/>
          <w:kern w:val="0"/>
          <w:lang w:val="zh-CN"/>
        </w:rPr>
        <w:t>。体外诊断试剂仍是公司营业收入的主要来源，体外诊断试剂业务实现收入</w:t>
      </w:r>
      <w:r>
        <w:rPr>
          <w:rFonts w:ascii="宋体" w:hAnsi="宋体" w:cs="宋体"/>
          <w:kern w:val="0"/>
          <w:lang w:val="zh-CN"/>
        </w:rPr>
        <w:t>240</w:t>
      </w:r>
      <w:r>
        <w:rPr>
          <w:rFonts w:hint="eastAsia" w:ascii="宋体" w:hAnsi="宋体" w:cs="宋体"/>
          <w:kern w:val="0"/>
          <w:lang w:val="zh-CN"/>
        </w:rPr>
        <w:t>,5</w:t>
      </w:r>
      <w:r>
        <w:rPr>
          <w:rFonts w:ascii="宋体" w:hAnsi="宋体" w:cs="宋体"/>
          <w:kern w:val="0"/>
          <w:lang w:val="zh-CN"/>
        </w:rPr>
        <w:t>65.45</w:t>
      </w:r>
      <w:r>
        <w:rPr>
          <w:rFonts w:hint="eastAsia" w:ascii="宋体" w:hAnsi="宋体" w:cs="宋体"/>
          <w:kern w:val="0"/>
          <w:lang w:val="zh-CN"/>
        </w:rPr>
        <w:t>万元，占营业总收入</w:t>
      </w:r>
      <w:r>
        <w:rPr>
          <w:rFonts w:ascii="宋体" w:hAnsi="宋体" w:cs="宋体"/>
          <w:kern w:val="0"/>
          <w:lang w:val="zh-CN"/>
        </w:rPr>
        <w:t>76.77%</w:t>
      </w:r>
      <w:r>
        <w:rPr>
          <w:rFonts w:hint="eastAsia" w:ascii="宋体" w:hAnsi="宋体" w:cs="宋体"/>
          <w:kern w:val="0"/>
          <w:lang w:val="zh-CN"/>
        </w:rPr>
        <w:t>，体外诊断仪器业务实现收入</w:t>
      </w:r>
      <w:r>
        <w:rPr>
          <w:rFonts w:ascii="宋体" w:hAnsi="宋体" w:cs="宋体"/>
          <w:kern w:val="0"/>
          <w:lang w:val="zh-CN"/>
        </w:rPr>
        <w:t>17</w:t>
      </w:r>
      <w:r>
        <w:rPr>
          <w:rFonts w:hint="eastAsia" w:ascii="宋体" w:hAnsi="宋体" w:cs="宋体"/>
          <w:kern w:val="0"/>
          <w:lang w:val="zh-CN"/>
        </w:rPr>
        <w:t>,0</w:t>
      </w:r>
      <w:r>
        <w:rPr>
          <w:rFonts w:ascii="宋体" w:hAnsi="宋体" w:cs="宋体"/>
          <w:kern w:val="0"/>
          <w:lang w:val="zh-CN"/>
        </w:rPr>
        <w:t>15.66</w:t>
      </w:r>
      <w:r>
        <w:rPr>
          <w:rFonts w:hint="eastAsia" w:ascii="宋体" w:hAnsi="宋体" w:cs="宋体"/>
          <w:kern w:val="0"/>
          <w:lang w:val="zh-CN"/>
        </w:rPr>
        <w:t>万元，占营业总收入的</w:t>
      </w:r>
      <w:r>
        <w:rPr>
          <w:rFonts w:ascii="宋体" w:hAnsi="宋体" w:cs="宋体"/>
          <w:kern w:val="0"/>
          <w:lang w:val="zh-CN"/>
        </w:rPr>
        <w:t>5.43%</w:t>
      </w:r>
      <w:r>
        <w:rPr>
          <w:rFonts w:hint="eastAsia" w:ascii="宋体" w:hAnsi="宋体" w:cs="宋体"/>
          <w:kern w:val="0"/>
          <w:lang w:val="zh-CN"/>
        </w:rPr>
        <w:t>，医学诊断服务业务实现收入</w:t>
      </w:r>
      <w:r>
        <w:rPr>
          <w:rFonts w:ascii="宋体" w:hAnsi="宋体" w:cs="宋体"/>
          <w:kern w:val="0"/>
          <w:lang w:val="zh-CN"/>
        </w:rPr>
        <w:t>49</w:t>
      </w:r>
      <w:r>
        <w:rPr>
          <w:rFonts w:hint="eastAsia" w:ascii="宋体" w:hAnsi="宋体" w:cs="宋体"/>
          <w:kern w:val="0"/>
          <w:lang w:val="zh-CN"/>
        </w:rPr>
        <w:t>,7</w:t>
      </w:r>
      <w:r>
        <w:rPr>
          <w:rFonts w:ascii="宋体" w:hAnsi="宋体" w:cs="宋体"/>
          <w:kern w:val="0"/>
          <w:lang w:val="zh-CN"/>
        </w:rPr>
        <w:t>88.75</w:t>
      </w:r>
      <w:r>
        <w:rPr>
          <w:rFonts w:hint="eastAsia" w:ascii="宋体" w:hAnsi="宋体" w:cs="宋体"/>
          <w:kern w:val="0"/>
          <w:lang w:val="zh-CN"/>
        </w:rPr>
        <w:t>万元，占营业总收入的</w:t>
      </w:r>
      <w:r>
        <w:rPr>
          <w:rFonts w:ascii="宋体" w:hAnsi="宋体" w:cs="宋体"/>
          <w:kern w:val="0"/>
          <w:lang w:val="zh-CN"/>
        </w:rPr>
        <w:t>15.89%</w:t>
      </w:r>
      <w:r>
        <w:rPr>
          <w:rFonts w:hint="eastAsia" w:ascii="宋体" w:hAnsi="宋体" w:cs="宋体"/>
          <w:kern w:val="0"/>
          <w:lang w:val="zh-CN"/>
        </w:rPr>
        <w:t>。</w:t>
      </w:r>
    </w:p>
    <w:p>
      <w:pPr>
        <w:autoSpaceDE w:val="0"/>
        <w:autoSpaceDN w:val="0"/>
        <w:adjustRightInd w:val="0"/>
        <w:ind w:firstLine="420"/>
        <w:rPr>
          <w:rFonts w:eastAsia="Times New Roman"/>
          <w:kern w:val="0"/>
          <w:lang w:val="zh-CN"/>
        </w:rPr>
      </w:pPr>
      <w:r>
        <w:rPr>
          <w:rFonts w:hint="eastAsia" w:ascii="宋体" w:hAnsi="宋体" w:cs="宋体"/>
          <w:kern w:val="0"/>
          <w:lang w:val="zh-CN"/>
        </w:rPr>
        <w:t>报告期业绩驱动因素主要体现在以下几个方面：</w:t>
      </w:r>
      <w:r>
        <w:rPr>
          <w:rFonts w:eastAsia="Times New Roman"/>
          <w:kern w:val="0"/>
          <w:lang w:val="zh-CN"/>
        </w:rPr>
        <w:t xml:space="preserve"> </w:t>
      </w:r>
    </w:p>
    <w:p>
      <w:pPr>
        <w:autoSpaceDE w:val="0"/>
        <w:autoSpaceDN w:val="0"/>
        <w:adjustRightInd w:val="0"/>
        <w:ind w:firstLine="420"/>
        <w:rPr>
          <w:rFonts w:eastAsia="Times New Roman"/>
          <w:kern w:val="0"/>
          <w:lang w:val="zh-CN"/>
        </w:rPr>
      </w:pPr>
      <w:r>
        <w:rPr>
          <w:rFonts w:eastAsia="Times New Roman"/>
          <w:kern w:val="0"/>
          <w:lang w:val="zh-CN"/>
        </w:rPr>
        <w:t>1</w:t>
      </w:r>
      <w:r>
        <w:rPr>
          <w:rFonts w:hint="eastAsia" w:ascii="宋体" w:hAnsi="宋体" w:cs="宋体"/>
          <w:kern w:val="0"/>
          <w:lang w:val="zh-CN"/>
        </w:rPr>
        <w:t>、公司坚持</w:t>
      </w:r>
      <w:r>
        <w:rPr>
          <w:rFonts w:eastAsia="Times New Roman"/>
          <w:kern w:val="0"/>
          <w:lang w:val="zh-CN"/>
        </w:rPr>
        <w:t>“</w:t>
      </w:r>
      <w:r>
        <w:rPr>
          <w:rFonts w:hint="eastAsia" w:ascii="宋体" w:hAnsi="宋体" w:cs="宋体"/>
          <w:kern w:val="0"/>
          <w:lang w:val="zh-CN"/>
        </w:rPr>
        <w:t>以体外诊断仪器为引擎，体外诊断产品为核心，体外诊断产品</w:t>
      </w:r>
      <w:r>
        <w:rPr>
          <w:rFonts w:eastAsia="Times New Roman"/>
          <w:kern w:val="0"/>
          <w:lang w:val="zh-CN"/>
        </w:rPr>
        <w:t>+</w:t>
      </w:r>
      <w:r>
        <w:rPr>
          <w:rFonts w:hint="eastAsia" w:ascii="宋体" w:hAnsi="宋体" w:cs="宋体"/>
          <w:kern w:val="0"/>
          <w:lang w:val="zh-CN"/>
        </w:rPr>
        <w:t>诊断服务共同发展</w:t>
      </w:r>
      <w:r>
        <w:rPr>
          <w:rFonts w:eastAsia="Times New Roman"/>
          <w:kern w:val="0"/>
          <w:lang w:val="zh-CN"/>
        </w:rPr>
        <w:t>”</w:t>
      </w:r>
      <w:r>
        <w:rPr>
          <w:rFonts w:hint="eastAsia" w:ascii="宋体" w:hAnsi="宋体" w:cs="宋体"/>
          <w:kern w:val="0"/>
          <w:lang w:val="zh-CN"/>
        </w:rPr>
        <w:t>的发展战略，提升产品质量和诊断服务水平，拓展产品领域及诊断服务项目，使公司报告期内营业总收入水平保持稳定。</w:t>
      </w:r>
    </w:p>
    <w:p>
      <w:pPr>
        <w:autoSpaceDE w:val="0"/>
        <w:autoSpaceDN w:val="0"/>
        <w:adjustRightInd w:val="0"/>
        <w:ind w:firstLine="420"/>
        <w:rPr>
          <w:rFonts w:eastAsia="Times New Roman"/>
          <w:kern w:val="0"/>
          <w:lang w:val="zh-CN"/>
        </w:rPr>
      </w:pPr>
      <w:r>
        <w:rPr>
          <w:rFonts w:eastAsia="Times New Roman"/>
          <w:kern w:val="0"/>
          <w:lang w:val="zh-CN"/>
        </w:rPr>
        <w:t>2</w:t>
      </w:r>
      <w:r>
        <w:rPr>
          <w:rFonts w:hint="eastAsia" w:ascii="宋体" w:hAnsi="宋体" w:cs="宋体"/>
          <w:kern w:val="0"/>
          <w:lang w:val="zh-CN"/>
        </w:rPr>
        <w:t>、报告期内，公司结合收购子公司的代理业务实际运营情况及行业政策变化等因素，根据《企业会计准则》相关规定和监管层相关要求，对前期因收购杭州倚天、上饶新安略、伯明翰美康、浙江涌捷等形成的商誉计提减值损失以及无形资产计提减值损失</w:t>
      </w:r>
      <w:r>
        <w:rPr>
          <w:rFonts w:eastAsiaTheme="minorEastAsia"/>
          <w:kern w:val="0"/>
          <w:lang w:val="zh-CN"/>
        </w:rPr>
        <w:t>77</w:t>
      </w:r>
      <w:r>
        <w:rPr>
          <w:rFonts w:hint="eastAsia" w:eastAsiaTheme="minorEastAsia"/>
          <w:kern w:val="0"/>
          <w:lang w:val="zh-CN"/>
        </w:rPr>
        <w:t>,6</w:t>
      </w:r>
      <w:r>
        <w:rPr>
          <w:rFonts w:eastAsiaTheme="minorEastAsia"/>
          <w:kern w:val="0"/>
          <w:lang w:val="zh-CN"/>
        </w:rPr>
        <w:t>37.67</w:t>
      </w:r>
      <w:r>
        <w:rPr>
          <w:rFonts w:hint="eastAsia" w:ascii="宋体" w:hAnsi="宋体" w:cs="宋体"/>
          <w:kern w:val="0"/>
          <w:lang w:val="zh-CN"/>
        </w:rPr>
        <w:t>万元，导致归属于上市公司股东净利润出现亏损。</w:t>
      </w:r>
    </w:p>
    <w:p>
      <w:pPr>
        <w:pStyle w:val="13"/>
        <w:outlineLvl w:val="1"/>
        <w:rPr>
          <w:bCs w:val="0"/>
        </w:rPr>
      </w:pPr>
      <w:r>
        <w:rPr>
          <w:rFonts w:hint="eastAsia"/>
          <w:bCs w:val="0"/>
        </w:rPr>
        <w:t>二、主要资产重大变化情况</w:t>
      </w:r>
    </w:p>
    <w:p>
      <w:pPr>
        <w:pStyle w:val="14"/>
        <w:outlineLvl w:val="2"/>
        <w:rPr>
          <w:bCs w:val="0"/>
          <w:szCs w:val="24"/>
        </w:rPr>
      </w:pPr>
      <w:r>
        <w:rPr>
          <w:bCs w:val="0"/>
          <w:szCs w:val="24"/>
        </w:rPr>
        <w:t>1</w:t>
      </w:r>
      <w:r>
        <w:rPr>
          <w:rFonts w:hint="eastAsia"/>
          <w:bCs w:val="0"/>
          <w:szCs w:val="24"/>
        </w:rPr>
        <w:t>、主要资产重大变化情况</w:t>
      </w:r>
    </w:p>
    <w:tbl>
      <w:tblPr>
        <w:tblStyle w:val="9"/>
        <w:tblW w:w="0" w:type="auto"/>
        <w:tblInd w:w="28" w:type="dxa"/>
        <w:tblLayout w:type="fixed"/>
        <w:tblCellMar>
          <w:top w:w="0" w:type="dxa"/>
          <w:left w:w="28" w:type="dxa"/>
          <w:bottom w:w="0" w:type="dxa"/>
          <w:right w:w="28" w:type="dxa"/>
        </w:tblCellMar>
      </w:tblPr>
      <w:tblGrid>
        <w:gridCol w:w="3051"/>
        <w:gridCol w:w="6517"/>
      </w:tblGrid>
      <w:tr>
        <w:trPr>
          <w:trHeight w:val="352" w:hRule="atLeast"/>
        </w:trPr>
        <w:tc>
          <w:tcPr>
            <w:tcW w:w="3051"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主要资产</w:t>
            </w:r>
          </w:p>
        </w:tc>
        <w:tc>
          <w:tcPr>
            <w:tcW w:w="651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重大变化说明</w:t>
            </w:r>
          </w:p>
        </w:tc>
      </w:tr>
      <w:tr>
        <w:tblPrEx>
          <w:tblCellMar>
            <w:top w:w="0" w:type="dxa"/>
            <w:left w:w="28" w:type="dxa"/>
            <w:bottom w:w="0" w:type="dxa"/>
            <w:right w:w="28" w:type="dxa"/>
          </w:tblCellMar>
        </w:tblPrEx>
        <w:trPr>
          <w:trHeight w:val="392" w:hRule="atLeast"/>
        </w:trPr>
        <w:tc>
          <w:tcPr>
            <w:tcW w:w="3051" w:type="dxa"/>
            <w:vMerge w:val="continue"/>
            <w:tcBorders>
              <w:top w:val="single" w:color="auto" w:sz="4" w:space="0"/>
              <w:left w:val="single" w:color="auto" w:sz="4" w:space="0"/>
              <w:bottom w:val="single" w:color="auto" w:sz="4" w:space="0"/>
              <w:right w:val="single" w:color="auto" w:sz="4" w:space="0"/>
            </w:tcBorders>
            <w:vAlign w:val="center"/>
          </w:tcPr>
          <w:p>
            <w:pPr>
              <w:rPr>
                <w:szCs w:val="24"/>
              </w:rPr>
            </w:pPr>
          </w:p>
        </w:tc>
        <w:tc>
          <w:tcPr>
            <w:tcW w:w="6517" w:type="dxa"/>
            <w:vMerge w:val="continue"/>
            <w:tcBorders>
              <w:top w:val="single" w:color="auto" w:sz="4" w:space="0"/>
              <w:left w:val="single" w:color="auto" w:sz="4" w:space="0"/>
              <w:bottom w:val="single" w:color="auto" w:sz="4" w:space="0"/>
              <w:right w:val="single" w:color="auto" w:sz="4" w:space="0"/>
            </w:tcBorders>
            <w:vAlign w:val="center"/>
          </w:tcPr>
          <w:p>
            <w:pPr>
              <w:rPr>
                <w:szCs w:val="24"/>
              </w:rPr>
            </w:pPr>
          </w:p>
        </w:tc>
      </w:tr>
      <w:tr>
        <w:tblPrEx>
          <w:tblCellMar>
            <w:top w:w="0" w:type="dxa"/>
            <w:left w:w="28" w:type="dxa"/>
            <w:bottom w:w="0" w:type="dxa"/>
            <w:right w:w="28" w:type="dxa"/>
          </w:tblCellMar>
        </w:tblPrEx>
        <w:tc>
          <w:tcPr>
            <w:tcW w:w="305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股权资产</w:t>
            </w:r>
          </w:p>
        </w:tc>
        <w:tc>
          <w:tcPr>
            <w:tcW w:w="65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长期股权投资期末较期初增加</w:t>
            </w:r>
            <w:r>
              <w:rPr>
                <w:szCs w:val="24"/>
              </w:rPr>
              <w:t>22.91%</w:t>
            </w:r>
            <w:r>
              <w:rPr>
                <w:rFonts w:hint="eastAsia"/>
                <w:szCs w:val="24"/>
              </w:rPr>
              <w:t>，主要系报告期内出售部分子公司部分股权后变为参股公司，转为长期股权投资核算所致，无其他新增重大投资。</w:t>
            </w:r>
          </w:p>
        </w:tc>
      </w:tr>
      <w:tr>
        <w:tblPrEx>
          <w:tblCellMar>
            <w:top w:w="0" w:type="dxa"/>
            <w:left w:w="28" w:type="dxa"/>
            <w:bottom w:w="0" w:type="dxa"/>
            <w:right w:w="28" w:type="dxa"/>
          </w:tblCellMar>
        </w:tblPrEx>
        <w:tc>
          <w:tcPr>
            <w:tcW w:w="305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固定资产</w:t>
            </w:r>
          </w:p>
        </w:tc>
        <w:tc>
          <w:tcPr>
            <w:tcW w:w="65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期末较期初增加</w:t>
            </w:r>
            <w:r>
              <w:rPr>
                <w:szCs w:val="24"/>
              </w:rPr>
              <w:t>18.07%</w:t>
            </w:r>
            <w:r>
              <w:rPr>
                <w:rFonts w:hint="eastAsia"/>
                <w:szCs w:val="24"/>
              </w:rPr>
              <w:t>，主要系报告期内销售规模扩大设备投入增加所致。</w:t>
            </w:r>
          </w:p>
        </w:tc>
      </w:tr>
      <w:tr>
        <w:tblPrEx>
          <w:tblCellMar>
            <w:top w:w="0" w:type="dxa"/>
            <w:left w:w="28" w:type="dxa"/>
            <w:bottom w:w="0" w:type="dxa"/>
            <w:right w:w="28" w:type="dxa"/>
          </w:tblCellMar>
        </w:tblPrEx>
        <w:tc>
          <w:tcPr>
            <w:tcW w:w="305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在建工程</w:t>
            </w:r>
          </w:p>
        </w:tc>
        <w:tc>
          <w:tcPr>
            <w:tcW w:w="65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期末较期初增长</w:t>
            </w:r>
            <w:r>
              <w:rPr>
                <w:szCs w:val="24"/>
              </w:rPr>
              <w:t>35.59%</w:t>
            </w:r>
            <w:r>
              <w:rPr>
                <w:rFonts w:hint="eastAsia"/>
                <w:szCs w:val="24"/>
              </w:rPr>
              <w:t>，主要系报告期内募投项目公司企业技术研发中心及参考实验室投入增加所致。</w:t>
            </w:r>
          </w:p>
        </w:tc>
      </w:tr>
      <w:tr>
        <w:tblPrEx>
          <w:tblCellMar>
            <w:top w:w="0" w:type="dxa"/>
            <w:left w:w="28" w:type="dxa"/>
            <w:bottom w:w="0" w:type="dxa"/>
            <w:right w:w="28" w:type="dxa"/>
          </w:tblCellMar>
        </w:tblPrEx>
        <w:tc>
          <w:tcPr>
            <w:tcW w:w="30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商誉</w:t>
            </w:r>
          </w:p>
        </w:tc>
        <w:tc>
          <w:tcPr>
            <w:tcW w:w="65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期末较期初减少</w:t>
            </w:r>
            <w:r>
              <w:rPr>
                <w:szCs w:val="24"/>
              </w:rPr>
              <w:t>98.04%</w:t>
            </w:r>
            <w:r>
              <w:rPr>
                <w:rFonts w:hint="eastAsia"/>
                <w:szCs w:val="24"/>
              </w:rPr>
              <w:t>，主要系报告期内重要商誉出现减值迹象，计提减值准备所致。</w:t>
            </w:r>
          </w:p>
        </w:tc>
      </w:tr>
      <w:tr>
        <w:tblPrEx>
          <w:tblCellMar>
            <w:top w:w="0" w:type="dxa"/>
            <w:left w:w="28" w:type="dxa"/>
            <w:bottom w:w="0" w:type="dxa"/>
            <w:right w:w="28" w:type="dxa"/>
          </w:tblCellMar>
        </w:tblPrEx>
        <w:tc>
          <w:tcPr>
            <w:tcW w:w="30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其他应收款</w:t>
            </w:r>
          </w:p>
        </w:tc>
        <w:tc>
          <w:tcPr>
            <w:tcW w:w="65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期末较期初减少</w:t>
            </w:r>
            <w:r>
              <w:rPr>
                <w:szCs w:val="24"/>
              </w:rPr>
              <w:t>29.87%</w:t>
            </w:r>
            <w:r>
              <w:rPr>
                <w:rFonts w:hint="eastAsia"/>
                <w:szCs w:val="24"/>
              </w:rPr>
              <w:t>，主要系报告期内收回押金保证金、暂借款所致。</w:t>
            </w:r>
          </w:p>
        </w:tc>
      </w:tr>
      <w:tr>
        <w:tblPrEx>
          <w:tblCellMar>
            <w:top w:w="0" w:type="dxa"/>
            <w:left w:w="28" w:type="dxa"/>
            <w:bottom w:w="0" w:type="dxa"/>
            <w:right w:w="28" w:type="dxa"/>
          </w:tblCellMar>
        </w:tblPrEx>
        <w:tc>
          <w:tcPr>
            <w:tcW w:w="30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预付款项</w:t>
            </w:r>
          </w:p>
        </w:tc>
        <w:tc>
          <w:tcPr>
            <w:tcW w:w="65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期末较期初减少</w:t>
            </w:r>
            <w:r>
              <w:rPr>
                <w:szCs w:val="24"/>
              </w:rPr>
              <w:t>34.61%</w:t>
            </w:r>
            <w:r>
              <w:rPr>
                <w:rFonts w:hint="eastAsia"/>
                <w:szCs w:val="24"/>
              </w:rPr>
              <w:t>，主要系报告期内对供应商付款条件进行调整，优化资金使用效率所致。</w:t>
            </w:r>
          </w:p>
        </w:tc>
      </w:tr>
      <w:tr>
        <w:tblPrEx>
          <w:tblCellMar>
            <w:top w:w="0" w:type="dxa"/>
            <w:left w:w="28" w:type="dxa"/>
            <w:bottom w:w="0" w:type="dxa"/>
            <w:right w:w="28" w:type="dxa"/>
          </w:tblCellMar>
        </w:tblPrEx>
        <w:tc>
          <w:tcPr>
            <w:tcW w:w="30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递延所得税资产</w:t>
            </w:r>
          </w:p>
        </w:tc>
        <w:tc>
          <w:tcPr>
            <w:tcW w:w="65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期末较期初增加</w:t>
            </w:r>
            <w:r>
              <w:rPr>
                <w:szCs w:val="24"/>
              </w:rPr>
              <w:t>60.49%</w:t>
            </w:r>
            <w:r>
              <w:rPr>
                <w:rFonts w:hint="eastAsia"/>
                <w:szCs w:val="24"/>
              </w:rPr>
              <w:t>，主要系报告期末内部交易未实现利润、减值准备等较期初增加所致。</w:t>
            </w:r>
          </w:p>
        </w:tc>
      </w:tr>
    </w:tbl>
    <w:p>
      <w:pPr>
        <w:pStyle w:val="14"/>
        <w:outlineLvl w:val="2"/>
        <w:rPr>
          <w:bCs w:val="0"/>
          <w:szCs w:val="24"/>
        </w:rPr>
      </w:pPr>
      <w:r>
        <w:rPr>
          <w:bCs w:val="0"/>
          <w:szCs w:val="24"/>
        </w:rPr>
        <w:t>2</w:t>
      </w:r>
      <w:r>
        <w:rPr>
          <w:rFonts w:hint="eastAsia"/>
          <w:bCs w:val="0"/>
          <w:szCs w:val="24"/>
        </w:rPr>
        <w:t>、主要境外资产情况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tbl>
      <w:tblPr>
        <w:tblStyle w:val="9"/>
        <w:tblW w:w="0" w:type="auto"/>
        <w:tblInd w:w="28" w:type="dxa"/>
        <w:tblLayout w:type="fixed"/>
        <w:tblCellMar>
          <w:top w:w="0" w:type="dxa"/>
          <w:left w:w="28" w:type="dxa"/>
          <w:bottom w:w="0" w:type="dxa"/>
          <w:right w:w="28" w:type="dxa"/>
        </w:tblCellMar>
      </w:tblPr>
      <w:tblGrid>
        <w:gridCol w:w="1066"/>
        <w:gridCol w:w="1062"/>
        <w:gridCol w:w="1062"/>
        <w:gridCol w:w="1064"/>
        <w:gridCol w:w="816"/>
        <w:gridCol w:w="993"/>
        <w:gridCol w:w="1417"/>
        <w:gridCol w:w="1030"/>
        <w:gridCol w:w="1059"/>
      </w:tblGrid>
      <w:tr>
        <w:tblPrEx>
          <w:tblCellMar>
            <w:top w:w="0" w:type="dxa"/>
            <w:left w:w="28" w:type="dxa"/>
            <w:bottom w:w="0" w:type="dxa"/>
            <w:right w:w="28" w:type="dxa"/>
          </w:tblCellMar>
        </w:tblPrEx>
        <w:tc>
          <w:tcPr>
            <w:tcW w:w="106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资产的具体内容</w:t>
            </w:r>
          </w:p>
        </w:tc>
        <w:tc>
          <w:tcPr>
            <w:tcW w:w="10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形成原因</w:t>
            </w:r>
          </w:p>
        </w:tc>
        <w:tc>
          <w:tcPr>
            <w:tcW w:w="10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资产规模</w:t>
            </w:r>
          </w:p>
        </w:tc>
        <w:tc>
          <w:tcPr>
            <w:tcW w:w="106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所在地</w:t>
            </w:r>
          </w:p>
        </w:tc>
        <w:tc>
          <w:tcPr>
            <w:tcW w:w="81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运营模式</w:t>
            </w:r>
          </w:p>
        </w:tc>
        <w:tc>
          <w:tcPr>
            <w:tcW w:w="9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保障资产安全性的控制措施</w:t>
            </w:r>
          </w:p>
        </w:tc>
        <w:tc>
          <w:tcPr>
            <w:tcW w:w="141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收益状况</w:t>
            </w:r>
          </w:p>
        </w:tc>
        <w:tc>
          <w:tcPr>
            <w:tcW w:w="103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境外资产占公司净资产的比重</w:t>
            </w:r>
          </w:p>
        </w:tc>
        <w:tc>
          <w:tcPr>
            <w:tcW w:w="105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是否存在重大减值风险</w:t>
            </w:r>
          </w:p>
        </w:tc>
      </w:tr>
      <w:tr>
        <w:tblPrEx>
          <w:tblCellMar>
            <w:top w:w="0" w:type="dxa"/>
            <w:left w:w="28" w:type="dxa"/>
            <w:bottom w:w="0" w:type="dxa"/>
            <w:right w:w="28" w:type="dxa"/>
          </w:tblCellMar>
        </w:tblPrEx>
        <w:tc>
          <w:tcPr>
            <w:tcW w:w="10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VAP DIAGNOSTICS LABORATORY INC</w:t>
            </w:r>
          </w:p>
        </w:tc>
        <w:tc>
          <w:tcPr>
            <w:tcW w:w="106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收购</w:t>
            </w:r>
          </w:p>
        </w:tc>
        <w:tc>
          <w:tcPr>
            <w:tcW w:w="106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10,879,220.51</w:t>
            </w:r>
          </w:p>
        </w:tc>
        <w:tc>
          <w:tcPr>
            <w:tcW w:w="106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美国加利福尼亚州森林湖市</w:t>
            </w:r>
          </w:p>
        </w:tc>
        <w:tc>
          <w:tcPr>
            <w:tcW w:w="81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-79,098,492.87</w:t>
            </w:r>
          </w:p>
        </w:tc>
        <w:tc>
          <w:tcPr>
            <w:tcW w:w="10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0.81%</w:t>
            </w: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r>
      <w:tr>
        <w:tblPrEx>
          <w:tblCellMar>
            <w:top w:w="0" w:type="dxa"/>
            <w:left w:w="28" w:type="dxa"/>
            <w:bottom w:w="0" w:type="dxa"/>
            <w:right w:w="28" w:type="dxa"/>
          </w:tblCellMar>
        </w:tblPrEx>
        <w:tc>
          <w:tcPr>
            <w:tcW w:w="10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其他情况说明</w:t>
            </w:r>
          </w:p>
        </w:tc>
        <w:tc>
          <w:tcPr>
            <w:tcW w:w="8503" w:type="dxa"/>
            <w:gridSpan w:val="8"/>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由于市场环境变化及经营策略调整，VAP DIAGNOSTICS LABORATORY INC运营的Atherotech Inc业务板块运营成本过高，公司将加快对该板块业务在国内进行产业化及市场推广。</w:t>
            </w:r>
          </w:p>
        </w:tc>
      </w:tr>
    </w:tbl>
    <w:p>
      <w:pPr>
        <w:pStyle w:val="13"/>
        <w:outlineLvl w:val="1"/>
        <w:rPr>
          <w:bCs w:val="0"/>
        </w:rPr>
      </w:pPr>
      <w:r>
        <w:rPr>
          <w:rFonts w:hint="eastAsia"/>
          <w:bCs w:val="0"/>
        </w:rPr>
        <w:t>三、核心竞争力分析</w:t>
      </w:r>
    </w:p>
    <w:p>
      <w:pPr>
        <w:autoSpaceDE w:val="0"/>
        <w:autoSpaceDN w:val="0"/>
        <w:adjustRightInd w:val="0"/>
        <w:spacing w:before="0" w:after="0"/>
        <w:ind w:firstLine="360"/>
        <w:jc w:val="left"/>
        <w:rPr>
          <w:rFonts w:eastAsia="Times New Roman"/>
          <w:kern w:val="0"/>
          <w:szCs w:val="24"/>
          <w:lang w:val="zh-CN"/>
        </w:rPr>
      </w:pPr>
      <w:r>
        <w:rPr>
          <w:rFonts w:hint="eastAsia" w:ascii="宋体" w:hAnsi="宋体" w:cs="宋体"/>
          <w:kern w:val="0"/>
          <w:szCs w:val="24"/>
          <w:lang w:val="zh-CN"/>
        </w:rPr>
        <w:t>公司始终以</w:t>
      </w:r>
      <w:r>
        <w:rPr>
          <w:rFonts w:eastAsia="Times New Roman"/>
          <w:kern w:val="0"/>
          <w:szCs w:val="24"/>
          <w:lang w:val="zh-CN"/>
        </w:rPr>
        <w:t>“</w:t>
      </w:r>
      <w:r>
        <w:rPr>
          <w:rFonts w:hint="eastAsia" w:ascii="宋体" w:hAnsi="宋体" w:cs="宋体"/>
          <w:kern w:val="0"/>
          <w:szCs w:val="24"/>
          <w:lang w:val="zh-CN"/>
        </w:rPr>
        <w:t>科技创新，以人为本</w:t>
      </w:r>
      <w:r>
        <w:rPr>
          <w:rFonts w:eastAsia="Times New Roman"/>
          <w:kern w:val="0"/>
          <w:szCs w:val="24"/>
          <w:lang w:val="zh-CN"/>
        </w:rPr>
        <w:t>”</w:t>
      </w:r>
      <w:r>
        <w:rPr>
          <w:rFonts w:hint="eastAsia" w:ascii="宋体" w:hAnsi="宋体" w:cs="宋体"/>
          <w:kern w:val="0"/>
          <w:szCs w:val="24"/>
          <w:lang w:val="zh-CN"/>
        </w:rPr>
        <w:t>为宗旨，立足体外诊断行业，坚持自主研发与创新，进行体外诊断全产业链发展战略布局，目前公司已形成</w:t>
      </w:r>
      <w:r>
        <w:rPr>
          <w:rFonts w:eastAsia="Times New Roman"/>
          <w:kern w:val="0"/>
          <w:szCs w:val="24"/>
          <w:lang w:val="zh-CN"/>
        </w:rPr>
        <w:t>“</w:t>
      </w:r>
      <w:r>
        <w:rPr>
          <w:rFonts w:asciiTheme="minorEastAsia" w:hAnsiTheme="minorEastAsia" w:eastAsiaTheme="minorEastAsia"/>
          <w:kern w:val="0"/>
          <w:szCs w:val="24"/>
          <w:lang w:val="zh-CN"/>
        </w:rPr>
        <w:t>以体外诊断仪器为引擎</w:t>
      </w:r>
      <w:r>
        <w:rPr>
          <w:rFonts w:hint="eastAsia" w:asciiTheme="minorEastAsia" w:hAnsiTheme="minorEastAsia" w:eastAsiaTheme="minorEastAsia"/>
          <w:kern w:val="0"/>
          <w:szCs w:val="24"/>
          <w:lang w:val="zh-CN"/>
        </w:rPr>
        <w:t>，</w:t>
      </w:r>
      <w:r>
        <w:rPr>
          <w:rFonts w:asciiTheme="minorEastAsia" w:hAnsiTheme="minorEastAsia" w:eastAsiaTheme="minorEastAsia"/>
          <w:kern w:val="0"/>
          <w:szCs w:val="24"/>
          <w:lang w:val="zh-CN"/>
        </w:rPr>
        <w:t>诊断产品为核心</w:t>
      </w:r>
      <w:r>
        <w:rPr>
          <w:rFonts w:hint="eastAsia" w:asciiTheme="minorEastAsia" w:hAnsiTheme="minorEastAsia" w:eastAsiaTheme="minorEastAsia"/>
          <w:kern w:val="0"/>
          <w:szCs w:val="24"/>
          <w:lang w:val="zh-CN"/>
        </w:rPr>
        <w:t>，</w:t>
      </w:r>
      <w:r>
        <w:rPr>
          <w:rFonts w:hint="eastAsia" w:ascii="宋体" w:hAnsi="宋体" w:cs="宋体"/>
          <w:kern w:val="0"/>
          <w:szCs w:val="24"/>
          <w:lang w:val="zh-CN"/>
        </w:rPr>
        <w:t>诊断产品</w:t>
      </w:r>
      <w:r>
        <w:rPr>
          <w:rFonts w:eastAsia="Times New Roman"/>
          <w:kern w:val="0"/>
          <w:szCs w:val="24"/>
          <w:lang w:val="zh-CN"/>
        </w:rPr>
        <w:t>+</w:t>
      </w:r>
      <w:r>
        <w:rPr>
          <w:rFonts w:hint="eastAsia" w:ascii="宋体" w:hAnsi="宋体" w:cs="宋体"/>
          <w:kern w:val="0"/>
          <w:szCs w:val="24"/>
          <w:lang w:val="zh-CN"/>
        </w:rPr>
        <w:t>诊断服务</w:t>
      </w:r>
      <w:r>
        <w:rPr>
          <w:rFonts w:eastAsia="Times New Roman"/>
          <w:kern w:val="0"/>
          <w:szCs w:val="24"/>
          <w:lang w:val="zh-CN"/>
        </w:rPr>
        <w:t>”</w:t>
      </w:r>
      <w:r>
        <w:rPr>
          <w:rFonts w:hint="eastAsia" w:ascii="宋体" w:hAnsi="宋体" w:cs="宋体"/>
          <w:kern w:val="0"/>
          <w:szCs w:val="24"/>
          <w:lang w:val="zh-CN"/>
        </w:rPr>
        <w:t>协同发展的战略。随着公司发光、</w:t>
      </w:r>
      <w:r>
        <w:rPr>
          <w:rFonts w:eastAsia="Times New Roman"/>
          <w:kern w:val="0"/>
          <w:szCs w:val="24"/>
          <w:lang w:val="zh-CN"/>
        </w:rPr>
        <w:t>VAP</w:t>
      </w:r>
      <w:r>
        <w:rPr>
          <w:rFonts w:asciiTheme="minorEastAsia" w:hAnsiTheme="minorEastAsia" w:eastAsiaTheme="minorEastAsia"/>
          <w:kern w:val="0"/>
          <w:szCs w:val="24"/>
          <w:lang w:val="zh-CN"/>
        </w:rPr>
        <w:t>血脂分型</w:t>
      </w:r>
      <w:r>
        <w:rPr>
          <w:rFonts w:hint="eastAsia" w:ascii="宋体" w:hAnsi="宋体" w:cs="宋体"/>
          <w:kern w:val="0"/>
          <w:szCs w:val="24"/>
          <w:lang w:val="zh-CN"/>
        </w:rPr>
        <w:t>及质谱产品获批投产，以及各类在研项目的不断推进，公司的核心竞争力将不断得到提升。</w:t>
      </w:r>
    </w:p>
    <w:p>
      <w:pPr>
        <w:autoSpaceDE w:val="0"/>
        <w:autoSpaceDN w:val="0"/>
        <w:adjustRightInd w:val="0"/>
        <w:spacing w:before="0" w:after="0"/>
        <w:jc w:val="left"/>
        <w:rPr>
          <w:rFonts w:eastAsia="Times New Roman"/>
          <w:kern w:val="0"/>
          <w:szCs w:val="24"/>
          <w:lang w:val="zh-CN"/>
        </w:rPr>
      </w:pPr>
      <w:r>
        <w:rPr>
          <w:rFonts w:eastAsia="Times New Roman"/>
          <w:kern w:val="0"/>
          <w:szCs w:val="24"/>
          <w:lang w:val="zh-CN"/>
        </w:rPr>
        <w:t>1.</w:t>
      </w:r>
      <w:r>
        <w:rPr>
          <w:rFonts w:hint="eastAsia" w:ascii="宋体" w:hAnsi="宋体" w:cs="宋体"/>
          <w:kern w:val="0"/>
          <w:szCs w:val="24"/>
          <w:lang w:val="zh-CN"/>
        </w:rPr>
        <w:t>研发创新优势</w:t>
      </w:r>
    </w:p>
    <w:p>
      <w:pPr>
        <w:autoSpaceDE w:val="0"/>
        <w:autoSpaceDN w:val="0"/>
        <w:adjustRightInd w:val="0"/>
        <w:spacing w:before="0" w:after="0"/>
        <w:ind w:firstLine="360"/>
        <w:jc w:val="left"/>
        <w:rPr>
          <w:rFonts w:eastAsia="Times New Roman"/>
          <w:kern w:val="0"/>
          <w:szCs w:val="24"/>
          <w:lang w:val="zh-CN"/>
        </w:rPr>
      </w:pPr>
      <w:r>
        <w:rPr>
          <w:rFonts w:hint="eastAsia" w:ascii="宋体" w:hAnsi="宋体" w:cs="宋体"/>
          <w:kern w:val="0"/>
          <w:szCs w:val="24"/>
          <w:lang w:val="zh-CN"/>
        </w:rPr>
        <w:t>公司始终专注于体外诊断行业新产品及新技术的研发，经过多年的发展，在宁波、长春、深圳、美国等地设立研发中心并形成完善的研发体系，建立国家级企业技术中心和博士后科研工作站，拥有一支</w:t>
      </w:r>
      <w:r>
        <w:rPr>
          <w:rFonts w:eastAsia="Times New Roman"/>
          <w:kern w:val="0"/>
          <w:szCs w:val="24"/>
          <w:lang w:val="zh-CN"/>
        </w:rPr>
        <w:t>300</w:t>
      </w:r>
      <w:r>
        <w:rPr>
          <w:rFonts w:hint="eastAsia" w:ascii="宋体" w:hAnsi="宋体" w:cs="宋体"/>
          <w:kern w:val="0"/>
          <w:szCs w:val="24"/>
          <w:lang w:val="zh-CN"/>
        </w:rPr>
        <w:t>多人的多学科、多层次、结构合理的强大研发队伍，其中多名核心人员参与了国家创新基金项目、国家火炬计划项目、国家重点新产品项目的研究工作。</w:t>
      </w:r>
      <w:r>
        <w:rPr>
          <w:rFonts w:eastAsia="Times New Roman"/>
          <w:kern w:val="0"/>
          <w:szCs w:val="24"/>
          <w:lang w:val="zh-CN"/>
        </w:rPr>
        <w:t>2019</w:t>
      </w:r>
      <w:r>
        <w:rPr>
          <w:rFonts w:hint="eastAsia" w:ascii="宋体" w:hAnsi="宋体" w:cs="宋体"/>
          <w:kern w:val="0"/>
          <w:szCs w:val="24"/>
          <w:lang w:val="zh-CN"/>
        </w:rPr>
        <w:t>年度，公司及子公司盛德生物分别获得宁波市科技进步奖一等奖。截止本报告期末，公司在中国境内已申请专利</w:t>
      </w:r>
      <w:r>
        <w:rPr>
          <w:rFonts w:eastAsia="Times New Roman"/>
          <w:kern w:val="0"/>
          <w:szCs w:val="24"/>
          <w:lang w:val="zh-CN"/>
        </w:rPr>
        <w:t>255</w:t>
      </w:r>
      <w:r>
        <w:rPr>
          <w:rFonts w:hint="eastAsia" w:ascii="宋体" w:hAnsi="宋体" w:cs="宋体"/>
          <w:kern w:val="0"/>
          <w:szCs w:val="24"/>
          <w:lang w:val="zh-CN"/>
        </w:rPr>
        <w:t>项，其中发明专利</w:t>
      </w:r>
      <w:r>
        <w:rPr>
          <w:rFonts w:eastAsia="Times New Roman"/>
          <w:kern w:val="0"/>
          <w:szCs w:val="24"/>
          <w:lang w:val="zh-CN"/>
        </w:rPr>
        <w:t>153</w:t>
      </w:r>
      <w:r>
        <w:rPr>
          <w:rFonts w:hint="eastAsia" w:ascii="宋体" w:hAnsi="宋体" w:cs="宋体"/>
          <w:kern w:val="0"/>
          <w:szCs w:val="24"/>
          <w:lang w:val="zh-CN"/>
        </w:rPr>
        <w:t>项，已获授权专利</w:t>
      </w:r>
      <w:r>
        <w:rPr>
          <w:rFonts w:eastAsia="Times New Roman"/>
          <w:kern w:val="0"/>
          <w:szCs w:val="24"/>
          <w:lang w:val="zh-CN"/>
        </w:rPr>
        <w:t>183</w:t>
      </w:r>
      <w:r>
        <w:rPr>
          <w:rFonts w:hint="eastAsia" w:ascii="宋体" w:hAnsi="宋体" w:cs="宋体"/>
          <w:kern w:val="0"/>
          <w:szCs w:val="24"/>
          <w:lang w:val="zh-CN"/>
        </w:rPr>
        <w:t>项，其中授权发明专利</w:t>
      </w:r>
      <w:r>
        <w:rPr>
          <w:rFonts w:eastAsia="Times New Roman"/>
          <w:kern w:val="0"/>
          <w:szCs w:val="24"/>
          <w:lang w:val="zh-CN"/>
        </w:rPr>
        <w:t>86</w:t>
      </w:r>
      <w:r>
        <w:rPr>
          <w:rFonts w:hint="eastAsia" w:ascii="宋体" w:hAnsi="宋体" w:cs="宋体"/>
          <w:kern w:val="0"/>
          <w:szCs w:val="24"/>
          <w:lang w:val="zh-CN"/>
        </w:rPr>
        <w:t>项；并获得美国专利</w:t>
      </w:r>
      <w:r>
        <w:rPr>
          <w:rFonts w:eastAsia="Times New Roman"/>
          <w:kern w:val="0"/>
          <w:szCs w:val="24"/>
          <w:lang w:val="zh-CN"/>
        </w:rPr>
        <w:t>4</w:t>
      </w:r>
      <w:r>
        <w:rPr>
          <w:rFonts w:hint="eastAsia" w:ascii="宋体" w:hAnsi="宋体" w:cs="宋体"/>
          <w:kern w:val="0"/>
          <w:szCs w:val="24"/>
          <w:lang w:val="zh-CN"/>
        </w:rPr>
        <w:t>项，欧盟专利</w:t>
      </w:r>
      <w:r>
        <w:rPr>
          <w:rFonts w:eastAsia="Times New Roman"/>
          <w:kern w:val="0"/>
          <w:szCs w:val="24"/>
          <w:lang w:val="zh-CN"/>
        </w:rPr>
        <w:t>1</w:t>
      </w:r>
      <w:r>
        <w:rPr>
          <w:rFonts w:hint="eastAsia" w:ascii="宋体" w:hAnsi="宋体" w:cs="宋体"/>
          <w:kern w:val="0"/>
          <w:szCs w:val="24"/>
          <w:lang w:val="zh-CN"/>
        </w:rPr>
        <w:t>项；获得软件著作权</w:t>
      </w:r>
      <w:r>
        <w:rPr>
          <w:rFonts w:eastAsia="Times New Roman"/>
          <w:kern w:val="0"/>
          <w:szCs w:val="24"/>
          <w:lang w:val="zh-CN"/>
        </w:rPr>
        <w:t>48</w:t>
      </w:r>
      <w:r>
        <w:rPr>
          <w:rFonts w:hint="eastAsia" w:ascii="宋体" w:hAnsi="宋体" w:cs="宋体"/>
          <w:kern w:val="0"/>
          <w:szCs w:val="24"/>
          <w:lang w:val="zh-CN"/>
        </w:rPr>
        <w:t>项。</w:t>
      </w:r>
    </w:p>
    <w:p>
      <w:pPr>
        <w:autoSpaceDE w:val="0"/>
        <w:autoSpaceDN w:val="0"/>
        <w:adjustRightInd w:val="0"/>
        <w:spacing w:before="0" w:after="0"/>
        <w:ind w:firstLine="360"/>
        <w:jc w:val="left"/>
        <w:rPr>
          <w:rFonts w:eastAsia="Times New Roman"/>
          <w:kern w:val="0"/>
          <w:szCs w:val="24"/>
          <w:lang w:val="zh-CN"/>
        </w:rPr>
      </w:pPr>
      <w:r>
        <w:rPr>
          <w:rFonts w:hint="eastAsia" w:ascii="宋体" w:hAnsi="宋体" w:cs="宋体"/>
          <w:kern w:val="0"/>
          <w:szCs w:val="24"/>
          <w:lang w:val="zh-CN"/>
        </w:rPr>
        <w:t>公司始终坚持自主研发与创新，以高技术含量、高附加值的新产品研发为重点方向，在对现有产品线升级的同时，持续加大对化学发光、血细胞、</w:t>
      </w:r>
      <w:r>
        <w:rPr>
          <w:rFonts w:eastAsia="Times New Roman"/>
          <w:kern w:val="0"/>
          <w:szCs w:val="24"/>
          <w:lang w:val="zh-CN"/>
        </w:rPr>
        <w:t>VAP</w:t>
      </w:r>
      <w:r>
        <w:rPr>
          <w:rFonts w:asciiTheme="minorEastAsia" w:hAnsiTheme="minorEastAsia" w:eastAsiaTheme="minorEastAsia"/>
          <w:kern w:val="0"/>
          <w:szCs w:val="24"/>
          <w:lang w:val="zh-CN"/>
        </w:rPr>
        <w:t>血脂分型</w:t>
      </w:r>
      <w:r>
        <w:rPr>
          <w:rFonts w:hint="eastAsia" w:ascii="宋体" w:hAnsi="宋体" w:cs="宋体"/>
          <w:kern w:val="0"/>
          <w:szCs w:val="24"/>
          <w:lang w:val="zh-CN"/>
        </w:rPr>
        <w:t>、质谱、分子诊断、抗原抗体、诊断酶等领域的研发投入。截至本报告期末，公司在中国境内已取得</w:t>
      </w:r>
      <w:r>
        <w:rPr>
          <w:rFonts w:eastAsia="Times New Roman"/>
          <w:kern w:val="0"/>
          <w:szCs w:val="24"/>
          <w:lang w:val="zh-CN"/>
        </w:rPr>
        <w:t>240</w:t>
      </w:r>
      <w:r>
        <w:rPr>
          <w:rFonts w:hint="eastAsia" w:ascii="宋体" w:hAnsi="宋体" w:cs="宋体"/>
          <w:kern w:val="0"/>
          <w:szCs w:val="24"/>
          <w:lang w:val="zh-CN"/>
        </w:rPr>
        <w:t>项产品注册证书（含</w:t>
      </w:r>
      <w:r>
        <w:rPr>
          <w:rFonts w:eastAsia="Times New Roman"/>
          <w:kern w:val="0"/>
          <w:szCs w:val="24"/>
          <w:lang w:val="zh-CN"/>
        </w:rPr>
        <w:t>Ⅰ</w:t>
      </w:r>
      <w:r>
        <w:rPr>
          <w:rFonts w:hint="eastAsia" w:ascii="宋体" w:hAnsi="宋体" w:cs="宋体"/>
          <w:kern w:val="0"/>
          <w:szCs w:val="24"/>
          <w:lang w:val="zh-CN"/>
        </w:rPr>
        <w:t>类备案），其中体外诊断试剂产品注册证</w:t>
      </w:r>
      <w:r>
        <w:rPr>
          <w:rFonts w:eastAsia="Times New Roman"/>
          <w:kern w:val="0"/>
          <w:szCs w:val="24"/>
          <w:lang w:val="zh-CN"/>
        </w:rPr>
        <w:t>217</w:t>
      </w:r>
      <w:r>
        <w:rPr>
          <w:rFonts w:hint="eastAsia" w:ascii="宋体" w:hAnsi="宋体" w:cs="宋体"/>
          <w:kern w:val="0"/>
          <w:szCs w:val="24"/>
          <w:lang w:val="zh-CN"/>
        </w:rPr>
        <w:t>项，体外诊断仪器注册证</w:t>
      </w:r>
      <w:r>
        <w:rPr>
          <w:rFonts w:eastAsia="Times New Roman"/>
          <w:kern w:val="0"/>
          <w:szCs w:val="24"/>
          <w:lang w:val="zh-CN"/>
        </w:rPr>
        <w:t>23</w:t>
      </w:r>
      <w:r>
        <w:rPr>
          <w:rFonts w:hint="eastAsia" w:ascii="宋体" w:hAnsi="宋体" w:cs="宋体"/>
          <w:kern w:val="0"/>
          <w:szCs w:val="24"/>
          <w:lang w:val="zh-CN"/>
        </w:rPr>
        <w:t>项，涵盖生化、化学发光、血细胞、尿液、</w:t>
      </w:r>
      <w:r>
        <w:rPr>
          <w:rFonts w:eastAsia="Times New Roman"/>
          <w:kern w:val="0"/>
          <w:szCs w:val="24"/>
          <w:lang w:val="zh-CN"/>
        </w:rPr>
        <w:t>POCT</w:t>
      </w:r>
      <w:r>
        <w:rPr>
          <w:rFonts w:hint="eastAsia" w:ascii="宋体" w:hAnsi="宋体" w:cs="宋体"/>
          <w:kern w:val="0"/>
          <w:szCs w:val="24"/>
          <w:lang w:val="zh-CN"/>
        </w:rPr>
        <w:t>、分子诊断、</w:t>
      </w:r>
      <w:r>
        <w:rPr>
          <w:rFonts w:eastAsia="Times New Roman"/>
          <w:kern w:val="0"/>
          <w:szCs w:val="24"/>
          <w:lang w:val="zh-CN"/>
        </w:rPr>
        <w:t>VAP</w:t>
      </w:r>
      <w:r>
        <w:rPr>
          <w:rFonts w:hint="eastAsia" w:ascii="宋体" w:hAnsi="宋体" w:cs="宋体"/>
          <w:kern w:val="0"/>
          <w:szCs w:val="24"/>
          <w:lang w:val="zh-CN"/>
        </w:rPr>
        <w:t>血脂分型和质谱等领域；同时，公司还取得了境外注册认证共</w:t>
      </w:r>
      <w:r>
        <w:rPr>
          <w:rFonts w:eastAsia="Times New Roman"/>
          <w:kern w:val="0"/>
          <w:szCs w:val="24"/>
          <w:lang w:val="zh-CN"/>
        </w:rPr>
        <w:t>188</w:t>
      </w:r>
      <w:r>
        <w:rPr>
          <w:rFonts w:hint="eastAsia" w:ascii="宋体" w:hAnsi="宋体" w:cs="宋体"/>
          <w:kern w:val="0"/>
          <w:szCs w:val="24"/>
          <w:lang w:val="zh-CN"/>
        </w:rPr>
        <w:t>项，包含</w:t>
      </w:r>
      <w:r>
        <w:rPr>
          <w:rFonts w:eastAsia="Times New Roman"/>
          <w:kern w:val="0"/>
          <w:szCs w:val="24"/>
          <w:lang w:val="zh-CN"/>
        </w:rPr>
        <w:t>155</w:t>
      </w:r>
      <w:r>
        <w:rPr>
          <w:rFonts w:hint="eastAsia" w:ascii="宋体" w:hAnsi="宋体" w:cs="宋体"/>
          <w:kern w:val="0"/>
          <w:szCs w:val="24"/>
          <w:lang w:val="zh-CN"/>
        </w:rPr>
        <w:t>项欧盟</w:t>
      </w:r>
      <w:r>
        <w:rPr>
          <w:rFonts w:eastAsia="Times New Roman"/>
          <w:kern w:val="0"/>
          <w:szCs w:val="24"/>
          <w:lang w:val="zh-CN"/>
        </w:rPr>
        <w:t>CE</w:t>
      </w:r>
      <w:r>
        <w:rPr>
          <w:rFonts w:hint="eastAsia" w:ascii="宋体" w:hAnsi="宋体" w:cs="宋体"/>
          <w:kern w:val="0"/>
          <w:szCs w:val="24"/>
          <w:lang w:val="zh-CN"/>
        </w:rPr>
        <w:t>认证、</w:t>
      </w:r>
      <w:r>
        <w:rPr>
          <w:rFonts w:eastAsia="Times New Roman"/>
          <w:kern w:val="0"/>
          <w:szCs w:val="24"/>
          <w:lang w:val="zh-CN"/>
        </w:rPr>
        <w:t>8</w:t>
      </w:r>
      <w:r>
        <w:rPr>
          <w:rFonts w:hint="eastAsia" w:ascii="宋体" w:hAnsi="宋体" w:cs="宋体"/>
          <w:kern w:val="0"/>
          <w:szCs w:val="24"/>
          <w:lang w:val="zh-CN"/>
        </w:rPr>
        <w:t>项韩国</w:t>
      </w:r>
      <w:r>
        <w:rPr>
          <w:rFonts w:eastAsia="Times New Roman"/>
          <w:kern w:val="0"/>
          <w:szCs w:val="24"/>
          <w:lang w:val="zh-CN"/>
        </w:rPr>
        <w:t>KFDA</w:t>
      </w:r>
      <w:r>
        <w:rPr>
          <w:rFonts w:hint="eastAsia" w:ascii="宋体" w:hAnsi="宋体" w:cs="宋体"/>
          <w:kern w:val="0"/>
          <w:szCs w:val="24"/>
          <w:lang w:val="zh-CN"/>
        </w:rPr>
        <w:t>认证、</w:t>
      </w:r>
      <w:r>
        <w:rPr>
          <w:rFonts w:eastAsia="Times New Roman"/>
          <w:kern w:val="0"/>
          <w:szCs w:val="24"/>
          <w:lang w:val="zh-CN"/>
        </w:rPr>
        <w:t>3</w:t>
      </w:r>
      <w:r>
        <w:rPr>
          <w:rFonts w:hint="eastAsia" w:ascii="宋体" w:hAnsi="宋体" w:cs="宋体"/>
          <w:kern w:val="0"/>
          <w:szCs w:val="24"/>
          <w:lang w:val="zh-CN"/>
        </w:rPr>
        <w:t>项美国</w:t>
      </w:r>
      <w:r>
        <w:rPr>
          <w:rFonts w:eastAsia="Times New Roman"/>
          <w:kern w:val="0"/>
          <w:szCs w:val="24"/>
          <w:lang w:val="zh-CN"/>
        </w:rPr>
        <w:t>FDA</w:t>
      </w:r>
      <w:r>
        <w:rPr>
          <w:rFonts w:hint="eastAsia" w:ascii="宋体" w:hAnsi="宋体" w:cs="宋体"/>
          <w:kern w:val="0"/>
          <w:szCs w:val="24"/>
          <w:lang w:val="zh-CN"/>
        </w:rPr>
        <w:t>认证、</w:t>
      </w:r>
      <w:r>
        <w:rPr>
          <w:rFonts w:eastAsia="Times New Roman"/>
          <w:kern w:val="0"/>
          <w:szCs w:val="24"/>
          <w:lang w:val="zh-CN"/>
        </w:rPr>
        <w:t>22</w:t>
      </w:r>
      <w:r>
        <w:rPr>
          <w:rFonts w:hint="eastAsia" w:ascii="宋体" w:hAnsi="宋体" w:cs="宋体"/>
          <w:kern w:val="0"/>
          <w:szCs w:val="24"/>
          <w:lang w:val="zh-CN"/>
        </w:rPr>
        <w:t>项印尼</w:t>
      </w:r>
      <w:r>
        <w:rPr>
          <w:rFonts w:eastAsia="Times New Roman"/>
          <w:kern w:val="0"/>
          <w:szCs w:val="24"/>
          <w:lang w:val="zh-CN"/>
        </w:rPr>
        <w:t>IndonesiaMOH</w:t>
      </w:r>
      <w:r>
        <w:rPr>
          <w:rFonts w:hint="eastAsia" w:ascii="宋体" w:hAnsi="宋体" w:cs="宋体"/>
          <w:kern w:val="0"/>
          <w:szCs w:val="24"/>
          <w:lang w:val="zh-CN"/>
        </w:rPr>
        <w:t>认证。报告期内，公司研发投入金额为</w:t>
      </w:r>
      <w:r>
        <w:rPr>
          <w:rFonts w:eastAsiaTheme="minorEastAsia"/>
          <w:kern w:val="0"/>
          <w:szCs w:val="24"/>
          <w:lang w:val="zh-CN"/>
        </w:rPr>
        <w:t>12</w:t>
      </w:r>
      <w:r>
        <w:rPr>
          <w:rFonts w:hint="eastAsia" w:eastAsiaTheme="minorEastAsia"/>
          <w:kern w:val="0"/>
          <w:szCs w:val="24"/>
          <w:lang w:val="zh-CN"/>
        </w:rPr>
        <w:t>,8</w:t>
      </w:r>
      <w:r>
        <w:rPr>
          <w:rFonts w:eastAsiaTheme="minorEastAsia"/>
          <w:kern w:val="0"/>
          <w:szCs w:val="24"/>
          <w:lang w:val="zh-CN"/>
        </w:rPr>
        <w:t>26.02</w:t>
      </w:r>
      <w:r>
        <w:rPr>
          <w:rFonts w:hint="eastAsia" w:ascii="宋体" w:hAnsi="宋体" w:cs="宋体"/>
          <w:kern w:val="0"/>
          <w:szCs w:val="24"/>
          <w:lang w:val="zh-CN"/>
        </w:rPr>
        <w:t>万元，占当期自产</w:t>
      </w:r>
      <w:r>
        <w:rPr>
          <w:rFonts w:hint="eastAsia" w:ascii="宋体" w:hAnsi="宋体" w:cs="宋体"/>
          <w:kern w:val="0"/>
          <w:szCs w:val="24"/>
          <w:highlight w:val="white"/>
          <w:lang w:val="zh-CN"/>
        </w:rPr>
        <w:t>产品收入比重为</w:t>
      </w:r>
      <w:r>
        <w:rPr>
          <w:rFonts w:eastAsiaTheme="minorEastAsia"/>
          <w:kern w:val="0"/>
          <w:szCs w:val="24"/>
          <w:highlight w:val="white"/>
          <w:lang w:val="zh-CN"/>
        </w:rPr>
        <w:t>15.65</w:t>
      </w:r>
      <w:r>
        <w:rPr>
          <w:rFonts w:eastAsia="Times New Roman"/>
          <w:kern w:val="0"/>
          <w:szCs w:val="24"/>
          <w:highlight w:val="white"/>
          <w:lang w:val="zh-CN"/>
        </w:rPr>
        <w:t>%</w:t>
      </w:r>
      <w:r>
        <w:rPr>
          <w:rFonts w:hint="eastAsia" w:ascii="宋体" w:hAnsi="宋体" w:cs="宋体"/>
          <w:kern w:val="0"/>
          <w:szCs w:val="24"/>
          <w:lang w:val="zh-CN"/>
        </w:rPr>
        <w:t>，持续的高研发投入为公司的技术创新提供了强有力的保障。同时，公司积极将研发成果运用于产品开发中，不断研发出符合市场需求的新产品，使公司的核心竞争力不断提升。</w:t>
      </w:r>
    </w:p>
    <w:p>
      <w:pPr>
        <w:autoSpaceDE w:val="0"/>
        <w:autoSpaceDN w:val="0"/>
        <w:adjustRightInd w:val="0"/>
        <w:spacing w:before="0" w:after="0"/>
        <w:jc w:val="left"/>
        <w:rPr>
          <w:rFonts w:eastAsia="Times New Roman"/>
          <w:kern w:val="0"/>
          <w:szCs w:val="24"/>
          <w:lang w:val="zh-CN"/>
        </w:rPr>
      </w:pPr>
      <w:r>
        <w:rPr>
          <w:rFonts w:eastAsia="Times New Roman"/>
          <w:kern w:val="0"/>
          <w:szCs w:val="24"/>
          <w:lang w:val="zh-CN"/>
        </w:rPr>
        <w:t>2.“</w:t>
      </w:r>
      <w:r>
        <w:rPr>
          <w:rFonts w:hint="eastAsia" w:ascii="宋体" w:hAnsi="宋体" w:cs="宋体"/>
          <w:kern w:val="0"/>
          <w:szCs w:val="24"/>
          <w:lang w:val="zh-CN"/>
        </w:rPr>
        <w:t>以体外诊断产品为核心，体外诊断产品</w:t>
      </w:r>
      <w:r>
        <w:rPr>
          <w:rFonts w:eastAsia="Times New Roman"/>
          <w:kern w:val="0"/>
          <w:szCs w:val="24"/>
          <w:lang w:val="zh-CN"/>
        </w:rPr>
        <w:t>+</w:t>
      </w:r>
      <w:r>
        <w:rPr>
          <w:rFonts w:hint="eastAsia" w:ascii="宋体" w:hAnsi="宋体" w:cs="宋体"/>
          <w:kern w:val="0"/>
          <w:szCs w:val="24"/>
          <w:lang w:val="zh-CN"/>
        </w:rPr>
        <w:t>诊断服务</w:t>
      </w:r>
      <w:r>
        <w:rPr>
          <w:rFonts w:eastAsia="Times New Roman"/>
          <w:kern w:val="0"/>
          <w:szCs w:val="24"/>
          <w:lang w:val="zh-CN"/>
        </w:rPr>
        <w:t>”</w:t>
      </w:r>
      <w:r>
        <w:rPr>
          <w:rFonts w:hint="eastAsia" w:ascii="宋体" w:hAnsi="宋体" w:cs="宋体"/>
          <w:kern w:val="0"/>
          <w:szCs w:val="24"/>
          <w:lang w:val="zh-CN"/>
        </w:rPr>
        <w:t>协同发展优势</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1</w:t>
      </w:r>
      <w:r>
        <w:rPr>
          <w:rFonts w:hint="eastAsia" w:ascii="宋体" w:hAnsi="宋体" w:cs="宋体"/>
          <w:kern w:val="0"/>
          <w:szCs w:val="24"/>
          <w:lang w:val="zh-CN"/>
        </w:rPr>
        <w:t>）丰富的产品种类</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公司作为一家国内领先的专业体外诊断产业上下游一体化企业，目前拥有较为完备的注册产品种类，涵盖生化、化学发光、血细胞、尿液、</w:t>
      </w:r>
      <w:r>
        <w:rPr>
          <w:rFonts w:eastAsia="Times New Roman"/>
          <w:kern w:val="0"/>
          <w:szCs w:val="24"/>
          <w:lang w:val="zh-CN"/>
        </w:rPr>
        <w:t>POCT</w:t>
      </w:r>
      <w:r>
        <w:rPr>
          <w:rFonts w:hint="eastAsia" w:ascii="宋体" w:hAnsi="宋体" w:cs="宋体"/>
          <w:kern w:val="0"/>
          <w:szCs w:val="24"/>
          <w:lang w:val="zh-CN"/>
        </w:rPr>
        <w:t>、分子诊断、</w:t>
      </w:r>
      <w:r>
        <w:rPr>
          <w:rFonts w:eastAsia="Times New Roman"/>
          <w:kern w:val="0"/>
          <w:szCs w:val="24"/>
          <w:lang w:val="zh-CN"/>
        </w:rPr>
        <w:t>VAP</w:t>
      </w:r>
      <w:r>
        <w:rPr>
          <w:rFonts w:hint="eastAsia" w:ascii="宋体" w:hAnsi="宋体" w:cs="宋体"/>
          <w:kern w:val="0"/>
          <w:szCs w:val="24"/>
          <w:lang w:val="zh-CN"/>
        </w:rPr>
        <w:t>血脂分型和质谱等领域，拥有</w:t>
      </w:r>
      <w:r>
        <w:rPr>
          <w:rFonts w:eastAsia="Times New Roman"/>
          <w:kern w:val="0"/>
          <w:szCs w:val="24"/>
          <w:lang w:val="zh-CN"/>
        </w:rPr>
        <w:t>240</w:t>
      </w:r>
      <w:r>
        <w:rPr>
          <w:rFonts w:hint="eastAsia" w:ascii="宋体" w:hAnsi="宋体" w:cs="宋体"/>
          <w:kern w:val="0"/>
          <w:szCs w:val="24"/>
          <w:lang w:val="zh-CN"/>
        </w:rPr>
        <w:t>项诊断仪器和诊断试剂产品注册证，其中生化产品注册证</w:t>
      </w:r>
      <w:r>
        <w:rPr>
          <w:rFonts w:eastAsia="Times New Roman"/>
          <w:kern w:val="0"/>
          <w:szCs w:val="24"/>
          <w:lang w:val="zh-CN"/>
        </w:rPr>
        <w:t>140</w:t>
      </w:r>
      <w:r>
        <w:rPr>
          <w:rFonts w:hint="eastAsia" w:ascii="宋体" w:hAnsi="宋体" w:cs="宋体"/>
          <w:kern w:val="0"/>
          <w:szCs w:val="24"/>
          <w:lang w:val="zh-CN"/>
        </w:rPr>
        <w:t>余项，化学发光产品注册证</w:t>
      </w:r>
      <w:r>
        <w:rPr>
          <w:rFonts w:eastAsia="Times New Roman"/>
          <w:kern w:val="0"/>
          <w:szCs w:val="24"/>
          <w:lang w:val="zh-CN"/>
        </w:rPr>
        <w:t>25</w:t>
      </w:r>
      <w:r>
        <w:rPr>
          <w:rFonts w:hint="eastAsia" w:ascii="宋体" w:hAnsi="宋体" w:cs="宋体"/>
          <w:kern w:val="0"/>
          <w:szCs w:val="24"/>
          <w:lang w:val="zh-CN"/>
        </w:rPr>
        <w:t>项，血细胞产品注册证</w:t>
      </w:r>
      <w:r>
        <w:rPr>
          <w:rFonts w:eastAsia="Times New Roman"/>
          <w:kern w:val="0"/>
          <w:szCs w:val="24"/>
          <w:lang w:val="zh-CN"/>
        </w:rPr>
        <w:t>18</w:t>
      </w:r>
      <w:r>
        <w:rPr>
          <w:rFonts w:hint="eastAsia" w:ascii="宋体" w:hAnsi="宋体" w:cs="宋体"/>
          <w:kern w:val="0"/>
          <w:szCs w:val="24"/>
          <w:lang w:val="zh-CN"/>
        </w:rPr>
        <w:t>项，</w:t>
      </w:r>
      <w:r>
        <w:rPr>
          <w:rFonts w:eastAsia="Times New Roman"/>
          <w:kern w:val="0"/>
          <w:szCs w:val="24"/>
          <w:lang w:val="zh-CN"/>
        </w:rPr>
        <w:t>POCT</w:t>
      </w:r>
      <w:r>
        <w:rPr>
          <w:rFonts w:hint="eastAsia" w:ascii="宋体" w:hAnsi="宋体" w:cs="宋体"/>
          <w:kern w:val="0"/>
          <w:szCs w:val="24"/>
          <w:lang w:val="zh-CN"/>
        </w:rPr>
        <w:t>产品注册证</w:t>
      </w:r>
      <w:r>
        <w:rPr>
          <w:rFonts w:eastAsia="Times New Roman"/>
          <w:kern w:val="0"/>
          <w:szCs w:val="24"/>
          <w:lang w:val="zh-CN"/>
        </w:rPr>
        <w:t>8</w:t>
      </w:r>
      <w:r>
        <w:rPr>
          <w:rFonts w:hint="eastAsia" w:ascii="宋体" w:hAnsi="宋体" w:cs="宋体"/>
          <w:kern w:val="0"/>
          <w:szCs w:val="24"/>
          <w:lang w:val="zh-CN"/>
        </w:rPr>
        <w:t>项，是我国诊断产品领域品种最为齐全的生产厂商之一。同时，公司对产品原材料、工艺改良等方面不断进行研究实现技术上的突破，进一步实现自产产品的成本优势和产品迭代能力，丰富、齐全的产品线有助于公司全方位的满足市场需求，增强公司抗风险能力，提升公司行业影响力和市场竞争力。</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2</w:t>
      </w:r>
      <w:r>
        <w:rPr>
          <w:rFonts w:hint="eastAsia" w:ascii="宋体" w:hAnsi="宋体" w:cs="宋体"/>
          <w:kern w:val="0"/>
          <w:szCs w:val="24"/>
          <w:lang w:val="zh-CN"/>
        </w:rPr>
        <w:t>）医学诊断服务</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依托公司强大的集约化医学检验供应能力，公司已在河南、江西、浙江、广东、湖南、山东等多地设立区域医学检验共享中心，通过科学规划，实现区域内检验资源的合理分配及诊断信息的互联互通。凭借完善的质量管理体系、丰富的检测项目，医检所将大力助推分级诊疗的快速落地，加快各级医疗机构信息化改革的步伐，全面提升区域内医学检验（病理）的专业技术能力、管理水平与服务品质，有效实现国家倡导的分级诊疗与慢病管理的目标。公司拥有自主研发的区域医学检验信息平台（区域</w:t>
      </w:r>
      <w:r>
        <w:rPr>
          <w:rFonts w:eastAsia="Times New Roman"/>
          <w:kern w:val="0"/>
          <w:szCs w:val="24"/>
          <w:lang w:val="zh-CN"/>
        </w:rPr>
        <w:t>LIS</w:t>
      </w:r>
      <w:r>
        <w:rPr>
          <w:rFonts w:hint="eastAsia" w:ascii="宋体" w:hAnsi="宋体" w:cs="宋体"/>
          <w:kern w:val="0"/>
          <w:szCs w:val="24"/>
          <w:lang w:val="zh-CN"/>
        </w:rPr>
        <w:t>系统）、国家级基因检测技术应用示范中心，并通过</w:t>
      </w:r>
      <w:r>
        <w:rPr>
          <w:rFonts w:eastAsia="Times New Roman"/>
          <w:kern w:val="0"/>
          <w:szCs w:val="24"/>
          <w:lang w:val="zh-CN"/>
        </w:rPr>
        <w:t>ISO15189</w:t>
      </w:r>
      <w:r>
        <w:rPr>
          <w:rFonts w:hint="eastAsia" w:ascii="宋体" w:hAnsi="宋体" w:cs="宋体"/>
          <w:kern w:val="0"/>
          <w:szCs w:val="24"/>
          <w:lang w:val="zh-CN"/>
        </w:rPr>
        <w:t>认可和</w:t>
      </w:r>
      <w:r>
        <w:rPr>
          <w:rFonts w:eastAsia="Times New Roman"/>
          <w:kern w:val="0"/>
          <w:szCs w:val="24"/>
          <w:lang w:val="zh-CN"/>
        </w:rPr>
        <w:t>CMA</w:t>
      </w:r>
      <w:r>
        <w:rPr>
          <w:rFonts w:hint="eastAsia" w:ascii="宋体" w:hAnsi="宋体" w:cs="宋体"/>
          <w:kern w:val="0"/>
          <w:szCs w:val="24"/>
          <w:lang w:val="zh-CN"/>
        </w:rPr>
        <w:t>认证的医学检验机构和引入了国际先进的实验室全面质量管理体系。</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公司利用美国子公司的独家专利</w:t>
      </w:r>
      <w:r>
        <w:rPr>
          <w:rFonts w:eastAsia="Times New Roman"/>
          <w:kern w:val="0"/>
          <w:szCs w:val="24"/>
          <w:lang w:val="zh-CN"/>
        </w:rPr>
        <w:t>VAP</w:t>
      </w:r>
      <w:r>
        <w:rPr>
          <w:rFonts w:hint="eastAsia" w:ascii="宋体" w:hAnsi="宋体" w:cs="宋体"/>
          <w:kern w:val="0"/>
          <w:szCs w:val="24"/>
          <w:lang w:val="zh-CN"/>
        </w:rPr>
        <w:t>血脂亚组分检测技术，成功取得</w:t>
      </w:r>
      <w:r>
        <w:rPr>
          <w:rFonts w:eastAsia="Times New Roman"/>
          <w:kern w:val="0"/>
          <w:szCs w:val="24"/>
          <w:lang w:val="zh-CN"/>
        </w:rPr>
        <w:t>VAP</w:t>
      </w:r>
      <w:r>
        <w:rPr>
          <w:rFonts w:hint="eastAsia" w:ascii="宋体" w:hAnsi="宋体" w:cs="宋体"/>
          <w:kern w:val="0"/>
          <w:szCs w:val="24"/>
          <w:lang w:val="zh-CN"/>
        </w:rPr>
        <w:t>血型分型仪器和试剂注册证，成立</w:t>
      </w:r>
      <w:r>
        <w:rPr>
          <w:rFonts w:eastAsia="Times New Roman"/>
          <w:kern w:val="0"/>
          <w:szCs w:val="24"/>
          <w:lang w:val="zh-CN"/>
        </w:rPr>
        <w:t>VAP</w:t>
      </w:r>
      <w:r>
        <w:rPr>
          <w:rFonts w:hint="eastAsia" w:ascii="宋体" w:hAnsi="宋体" w:cs="宋体"/>
          <w:kern w:val="0"/>
          <w:szCs w:val="24"/>
          <w:lang w:val="zh-CN"/>
        </w:rPr>
        <w:t>实验室并开展</w:t>
      </w:r>
      <w:r>
        <w:rPr>
          <w:rFonts w:eastAsia="Times New Roman"/>
          <w:kern w:val="0"/>
          <w:szCs w:val="24"/>
          <w:lang w:val="zh-CN"/>
        </w:rPr>
        <w:t>VAP</w:t>
      </w:r>
      <w:r>
        <w:rPr>
          <w:rFonts w:hint="eastAsia" w:ascii="宋体" w:hAnsi="宋体" w:cs="宋体"/>
          <w:kern w:val="0"/>
          <w:szCs w:val="24"/>
          <w:lang w:val="zh-CN"/>
        </w:rPr>
        <w:t>血脂亚组分项目检测，以填补国内空白。公司将逐步在全国范围推进</w:t>
      </w:r>
      <w:r>
        <w:rPr>
          <w:rFonts w:eastAsia="Times New Roman"/>
          <w:kern w:val="0"/>
          <w:szCs w:val="24"/>
          <w:lang w:val="zh-CN"/>
        </w:rPr>
        <w:t>VAP</w:t>
      </w:r>
      <w:r>
        <w:rPr>
          <w:rFonts w:hint="eastAsia" w:ascii="宋体" w:hAnsi="宋体" w:cs="宋体"/>
          <w:kern w:val="0"/>
          <w:szCs w:val="24"/>
          <w:lang w:val="zh-CN"/>
        </w:rPr>
        <w:t>血脂亚组分检测服务，为有效降低心血管剩留风险提供精准检测数据。同时，公司借助与美国</w:t>
      </w:r>
      <w:r>
        <w:rPr>
          <w:rFonts w:eastAsia="Times New Roman"/>
          <w:kern w:val="0"/>
          <w:szCs w:val="24"/>
          <w:lang w:val="zh-CN"/>
        </w:rPr>
        <w:t>Thermo</w:t>
      </w:r>
      <w:r>
        <w:rPr>
          <w:rFonts w:hint="eastAsia" w:ascii="宋体" w:hAnsi="宋体" w:cs="宋体"/>
          <w:kern w:val="0"/>
          <w:szCs w:val="24"/>
          <w:lang w:val="zh-CN"/>
        </w:rPr>
        <w:t>公司合作在质谱仪器生产、试剂盒研发的优势，开展维生素、类固醇激素、免疫抑制剂、氨基酸、儿茶酚胺等临床质谱检测服务，进一步巩固公司</w:t>
      </w:r>
      <w:r>
        <w:rPr>
          <w:rFonts w:eastAsia="Times New Roman"/>
          <w:kern w:val="0"/>
          <w:szCs w:val="24"/>
          <w:lang w:val="zh-CN"/>
        </w:rPr>
        <w:t>“</w:t>
      </w:r>
      <w:r>
        <w:rPr>
          <w:rFonts w:hint="eastAsia" w:ascii="宋体" w:hAnsi="宋体" w:cs="宋体"/>
          <w:kern w:val="0"/>
          <w:szCs w:val="24"/>
          <w:lang w:val="zh-CN"/>
        </w:rPr>
        <w:t>体外诊断产品</w:t>
      </w:r>
      <w:r>
        <w:rPr>
          <w:rFonts w:eastAsia="Times New Roman"/>
          <w:kern w:val="0"/>
          <w:szCs w:val="24"/>
          <w:lang w:val="zh-CN"/>
        </w:rPr>
        <w:t>+</w:t>
      </w:r>
      <w:r>
        <w:rPr>
          <w:rFonts w:hint="eastAsia" w:ascii="宋体" w:hAnsi="宋体" w:cs="宋体"/>
          <w:kern w:val="0"/>
          <w:szCs w:val="24"/>
          <w:lang w:val="zh-CN"/>
        </w:rPr>
        <w:t>诊断服务</w:t>
      </w:r>
      <w:r>
        <w:rPr>
          <w:rFonts w:eastAsia="Times New Roman"/>
          <w:kern w:val="0"/>
          <w:szCs w:val="24"/>
          <w:lang w:val="zh-CN"/>
        </w:rPr>
        <w:t>”</w:t>
      </w:r>
      <w:r>
        <w:rPr>
          <w:rFonts w:hint="eastAsia" w:ascii="宋体" w:hAnsi="宋体" w:cs="宋体"/>
          <w:kern w:val="0"/>
          <w:szCs w:val="24"/>
          <w:lang w:val="zh-CN"/>
        </w:rPr>
        <w:t>协同发展的独特优势，为保持公司活力提供新的业绩增长点。</w:t>
      </w:r>
    </w:p>
    <w:p>
      <w:pPr>
        <w:autoSpaceDE w:val="0"/>
        <w:autoSpaceDN w:val="0"/>
        <w:adjustRightInd w:val="0"/>
        <w:spacing w:before="0" w:after="0"/>
        <w:jc w:val="left"/>
        <w:rPr>
          <w:rFonts w:eastAsia="Times New Roman"/>
          <w:kern w:val="0"/>
          <w:szCs w:val="24"/>
          <w:lang w:val="zh-CN"/>
        </w:rPr>
      </w:pPr>
      <w:r>
        <w:rPr>
          <w:rFonts w:eastAsia="Times New Roman"/>
          <w:kern w:val="0"/>
          <w:szCs w:val="24"/>
          <w:lang w:val="zh-CN"/>
        </w:rPr>
        <w:t>3.</w:t>
      </w:r>
      <w:r>
        <w:rPr>
          <w:rFonts w:hint="eastAsia" w:ascii="宋体" w:hAnsi="宋体" w:cs="宋体"/>
          <w:kern w:val="0"/>
          <w:szCs w:val="24"/>
          <w:lang w:val="zh-CN"/>
        </w:rPr>
        <w:t>营销优势</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1</w:t>
      </w:r>
      <w:r>
        <w:rPr>
          <w:rFonts w:hint="eastAsia" w:ascii="宋体" w:hAnsi="宋体" w:cs="宋体"/>
          <w:kern w:val="0"/>
          <w:szCs w:val="24"/>
          <w:lang w:val="zh-CN"/>
        </w:rPr>
        <w:t>）完善的营销网络</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经过多年的经营，公司营销网络的覆盖程度快速提高，目前已建立了基本覆盖国内市场的营销网络。在全国除香港、澳门、台湾和西藏外的各省市、自治区的省会和首府、直辖市及重要城市均设立营销办事处，凭借完善的营销网络和强大的客户服务体系，为产品经销商及终端客户提供完善的专业化服务，公司在业内享有较高的品牌影响力。</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2</w:t>
      </w:r>
      <w:r>
        <w:rPr>
          <w:rFonts w:hint="eastAsia" w:ascii="宋体" w:hAnsi="宋体" w:cs="宋体"/>
          <w:kern w:val="0"/>
          <w:szCs w:val="24"/>
          <w:lang w:val="zh-CN"/>
        </w:rPr>
        <w:t>）灵活丰富的营销策略</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公司是业内营销活动较为活跃的企业之一。一方面，公司每年积极参加全国性或区域性医学检验会议和学术及专业展览会，并积极参加</w:t>
      </w:r>
      <w:r>
        <w:rPr>
          <w:rFonts w:eastAsia="Times New Roman"/>
          <w:kern w:val="0"/>
          <w:szCs w:val="24"/>
          <w:lang w:val="zh-CN"/>
        </w:rPr>
        <w:t>AACC</w:t>
      </w:r>
      <w:r>
        <w:rPr>
          <w:rFonts w:hint="eastAsia" w:ascii="宋体" w:hAnsi="宋体" w:cs="宋体"/>
          <w:kern w:val="0"/>
          <w:szCs w:val="24"/>
          <w:lang w:val="zh-CN"/>
        </w:rPr>
        <w:t>、</w:t>
      </w:r>
      <w:r>
        <w:rPr>
          <w:rFonts w:eastAsia="Times New Roman"/>
          <w:kern w:val="0"/>
          <w:szCs w:val="24"/>
          <w:lang w:val="zh-CN"/>
        </w:rPr>
        <w:t>Medica</w:t>
      </w:r>
      <w:r>
        <w:rPr>
          <w:rFonts w:hint="eastAsia" w:ascii="宋体" w:hAnsi="宋体" w:cs="宋体"/>
          <w:kern w:val="0"/>
          <w:szCs w:val="24"/>
          <w:lang w:val="zh-CN"/>
        </w:rPr>
        <w:t>等国际展会，积极举办行业高端论坛、专业研讨会等；另一方面，公司每年还自主举办各种产品推广会、学术研讨会、品牌宣传等营销活动。此外，公司还在多家行业主流媒体刊物上发表技术文章、专案，进行技术交流探讨，广告投放等。灵活丰富的营销措施有力地拓展了营销渠道，进一步提升了公司的品牌影响力和市场认可度。</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3</w:t>
      </w:r>
      <w:r>
        <w:rPr>
          <w:rFonts w:hint="eastAsia" w:ascii="宋体" w:hAnsi="宋体" w:cs="宋体"/>
          <w:kern w:val="0"/>
          <w:szCs w:val="24"/>
          <w:lang w:val="zh-CN"/>
        </w:rPr>
        <w:t>）有力的售后服务和技术支持</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公司力争为客户提供优质高效的技术支持，坚持</w:t>
      </w:r>
      <w:r>
        <w:rPr>
          <w:rFonts w:eastAsia="Times New Roman"/>
          <w:kern w:val="0"/>
          <w:szCs w:val="24"/>
          <w:lang w:val="zh-CN"/>
        </w:rPr>
        <w:t>“24</w:t>
      </w:r>
      <w:r>
        <w:rPr>
          <w:rFonts w:hint="eastAsia" w:ascii="宋体" w:hAnsi="宋体" w:cs="宋体"/>
          <w:kern w:val="0"/>
          <w:szCs w:val="24"/>
          <w:lang w:val="zh-CN"/>
        </w:rPr>
        <w:t>小时响应，</w:t>
      </w:r>
      <w:r>
        <w:rPr>
          <w:rFonts w:eastAsia="Times New Roman"/>
          <w:kern w:val="0"/>
          <w:szCs w:val="24"/>
          <w:lang w:val="zh-CN"/>
        </w:rPr>
        <w:t>48</w:t>
      </w:r>
      <w:r>
        <w:rPr>
          <w:rFonts w:hint="eastAsia" w:ascii="宋体" w:hAnsi="宋体" w:cs="宋体"/>
          <w:kern w:val="0"/>
          <w:szCs w:val="24"/>
          <w:lang w:val="zh-CN"/>
        </w:rPr>
        <w:t>小时到位</w:t>
      </w:r>
      <w:r>
        <w:rPr>
          <w:rFonts w:eastAsia="Times New Roman"/>
          <w:kern w:val="0"/>
          <w:szCs w:val="24"/>
          <w:lang w:val="zh-CN"/>
        </w:rPr>
        <w:t>”</w:t>
      </w:r>
      <w:r>
        <w:rPr>
          <w:rFonts w:hint="eastAsia" w:ascii="宋体" w:hAnsi="宋体" w:cs="宋体"/>
          <w:kern w:val="0"/>
          <w:szCs w:val="24"/>
          <w:lang w:val="zh-CN"/>
        </w:rPr>
        <w:t>的宗旨，及时了解并响应客户需求，形成了对市场的快速反应机制，并在行业内率先开通了</w:t>
      </w:r>
      <w:r>
        <w:rPr>
          <w:rFonts w:eastAsia="Times New Roman"/>
          <w:kern w:val="0"/>
          <w:szCs w:val="24"/>
          <w:lang w:val="zh-CN"/>
        </w:rPr>
        <w:t>400</w:t>
      </w:r>
      <w:r>
        <w:rPr>
          <w:rFonts w:hint="eastAsia" w:ascii="宋体" w:hAnsi="宋体" w:cs="宋体"/>
          <w:kern w:val="0"/>
          <w:szCs w:val="24"/>
          <w:lang w:val="zh-CN"/>
        </w:rPr>
        <w:t>免费客户服务专线。在近几年的发展中，公司从注重产品销售转向注重售前与售后服务，在行业内具有较高的综合服务水平。同时，公司定期提供新技术的学习与培训，并根据客户需求提供现场技术支持，有效扩大了公司产品的市场认同度和知名度。</w:t>
      </w:r>
    </w:p>
    <w:p>
      <w:pPr>
        <w:autoSpaceDE w:val="0"/>
        <w:autoSpaceDN w:val="0"/>
        <w:adjustRightInd w:val="0"/>
        <w:spacing w:before="0" w:after="0"/>
        <w:jc w:val="left"/>
        <w:rPr>
          <w:rFonts w:eastAsia="Times New Roman"/>
          <w:kern w:val="0"/>
          <w:szCs w:val="24"/>
          <w:lang w:val="zh-CN"/>
        </w:rPr>
      </w:pPr>
      <w:r>
        <w:rPr>
          <w:rFonts w:eastAsia="Times New Roman"/>
          <w:kern w:val="0"/>
          <w:szCs w:val="24"/>
          <w:lang w:val="zh-CN"/>
        </w:rPr>
        <w:t>4.</w:t>
      </w:r>
      <w:r>
        <w:rPr>
          <w:rFonts w:hint="eastAsia" w:ascii="宋体" w:hAnsi="宋体" w:cs="宋体"/>
          <w:kern w:val="0"/>
          <w:szCs w:val="24"/>
          <w:lang w:val="zh-CN"/>
        </w:rPr>
        <w:t>严格的质量管控和领先的量值溯源能力</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公司建立了基于</w:t>
      </w:r>
      <w:r>
        <w:rPr>
          <w:rFonts w:eastAsia="Times New Roman"/>
          <w:kern w:val="0"/>
          <w:szCs w:val="24"/>
          <w:lang w:val="zh-CN"/>
        </w:rPr>
        <w:t>ISO9001</w:t>
      </w:r>
      <w:r>
        <w:rPr>
          <w:rFonts w:hint="eastAsia" w:ascii="宋体" w:hAnsi="宋体" w:cs="宋体"/>
          <w:kern w:val="0"/>
          <w:szCs w:val="24"/>
          <w:lang w:val="zh-CN"/>
        </w:rPr>
        <w:t>：</w:t>
      </w:r>
      <w:r>
        <w:rPr>
          <w:rFonts w:eastAsia="Times New Roman"/>
          <w:kern w:val="0"/>
          <w:szCs w:val="24"/>
          <w:lang w:val="zh-CN"/>
        </w:rPr>
        <w:t>2008</w:t>
      </w:r>
      <w:r>
        <w:rPr>
          <w:rFonts w:hint="eastAsia" w:ascii="宋体" w:hAnsi="宋体" w:cs="宋体"/>
          <w:kern w:val="0"/>
          <w:szCs w:val="24"/>
          <w:lang w:val="zh-CN"/>
        </w:rPr>
        <w:t>及</w:t>
      </w:r>
      <w:r>
        <w:rPr>
          <w:rFonts w:eastAsia="Times New Roman"/>
          <w:kern w:val="0"/>
          <w:szCs w:val="24"/>
          <w:lang w:val="zh-CN"/>
        </w:rPr>
        <w:t>ISO13485</w:t>
      </w:r>
      <w:r>
        <w:rPr>
          <w:rFonts w:hint="eastAsia" w:ascii="宋体" w:hAnsi="宋体" w:cs="宋体"/>
          <w:kern w:val="0"/>
          <w:szCs w:val="24"/>
          <w:lang w:val="zh-CN"/>
        </w:rPr>
        <w:t>：</w:t>
      </w:r>
      <w:r>
        <w:rPr>
          <w:rFonts w:eastAsia="Times New Roman"/>
          <w:kern w:val="0"/>
          <w:szCs w:val="24"/>
          <w:lang w:val="zh-CN"/>
        </w:rPr>
        <w:t>2003</w:t>
      </w:r>
      <w:r>
        <w:rPr>
          <w:rFonts w:hint="eastAsia" w:ascii="宋体" w:hAnsi="宋体" w:cs="宋体"/>
          <w:kern w:val="0"/>
          <w:szCs w:val="24"/>
          <w:lang w:val="zh-CN"/>
        </w:rPr>
        <w:t>的质量管理体系，并通过第三方权威机构认证。公司多年连续取得卫生部临床检验中心颁发的</w:t>
      </w:r>
      <w:r>
        <w:rPr>
          <w:rFonts w:eastAsia="Times New Roman"/>
          <w:kern w:val="0"/>
          <w:szCs w:val="24"/>
          <w:lang w:val="zh-CN"/>
        </w:rPr>
        <w:t>“</w:t>
      </w:r>
      <w:r>
        <w:rPr>
          <w:rFonts w:hint="eastAsia" w:ascii="宋体" w:hAnsi="宋体" w:cs="宋体"/>
          <w:kern w:val="0"/>
          <w:szCs w:val="24"/>
          <w:lang w:val="zh-CN"/>
        </w:rPr>
        <w:t>全国常规化学检验室间质评证书</w:t>
      </w:r>
      <w:r>
        <w:rPr>
          <w:rFonts w:eastAsia="Times New Roman"/>
          <w:kern w:val="0"/>
          <w:szCs w:val="24"/>
          <w:lang w:val="zh-CN"/>
        </w:rPr>
        <w:t>”</w:t>
      </w:r>
      <w:r>
        <w:rPr>
          <w:rFonts w:hint="eastAsia" w:ascii="宋体" w:hAnsi="宋体" w:cs="宋体"/>
          <w:kern w:val="0"/>
          <w:szCs w:val="24"/>
          <w:lang w:val="zh-CN"/>
        </w:rPr>
        <w:t>和</w:t>
      </w:r>
      <w:r>
        <w:rPr>
          <w:rFonts w:eastAsia="Times New Roman"/>
          <w:kern w:val="0"/>
          <w:szCs w:val="24"/>
          <w:lang w:val="zh-CN"/>
        </w:rPr>
        <w:t>“</w:t>
      </w:r>
      <w:r>
        <w:rPr>
          <w:rFonts w:hint="eastAsia" w:ascii="宋体" w:hAnsi="宋体" w:cs="宋体"/>
          <w:kern w:val="0"/>
          <w:szCs w:val="24"/>
          <w:lang w:val="zh-CN"/>
        </w:rPr>
        <w:t>全国脂类检验室间质评证书</w:t>
      </w:r>
      <w:r>
        <w:rPr>
          <w:rFonts w:eastAsia="Times New Roman"/>
          <w:kern w:val="0"/>
          <w:szCs w:val="24"/>
          <w:lang w:val="zh-CN"/>
        </w:rPr>
        <w:t>”</w:t>
      </w:r>
      <w:r>
        <w:rPr>
          <w:rFonts w:hint="eastAsia" w:ascii="宋体" w:hAnsi="宋体" w:cs="宋体"/>
          <w:kern w:val="0"/>
          <w:szCs w:val="24"/>
          <w:lang w:val="zh-CN"/>
        </w:rPr>
        <w:t>。</w:t>
      </w:r>
      <w:r>
        <w:rPr>
          <w:rFonts w:eastAsia="Times New Roman"/>
          <w:kern w:val="0"/>
          <w:szCs w:val="24"/>
          <w:lang w:val="zh-CN"/>
        </w:rPr>
        <w:t>2019</w:t>
      </w:r>
      <w:r>
        <w:rPr>
          <w:rFonts w:hint="eastAsia" w:ascii="宋体" w:hAnsi="宋体" w:cs="宋体"/>
          <w:kern w:val="0"/>
          <w:szCs w:val="24"/>
          <w:lang w:val="zh-CN"/>
        </w:rPr>
        <w:t>年参加包括卫生部临检中心等</w:t>
      </w:r>
      <w:r>
        <w:rPr>
          <w:rFonts w:eastAsia="Times New Roman"/>
          <w:kern w:val="0"/>
          <w:szCs w:val="24"/>
          <w:lang w:val="zh-CN"/>
        </w:rPr>
        <w:t>12</w:t>
      </w:r>
      <w:r>
        <w:rPr>
          <w:rFonts w:hint="eastAsia" w:ascii="宋体" w:hAnsi="宋体" w:cs="宋体"/>
          <w:kern w:val="0"/>
          <w:szCs w:val="24"/>
          <w:lang w:val="zh-CN"/>
        </w:rPr>
        <w:t>个机构的</w:t>
      </w:r>
      <w:r>
        <w:rPr>
          <w:rFonts w:eastAsia="Times New Roman"/>
          <w:kern w:val="0"/>
          <w:szCs w:val="24"/>
          <w:lang w:val="zh-CN"/>
        </w:rPr>
        <w:t>457</w:t>
      </w:r>
      <w:r>
        <w:rPr>
          <w:rFonts w:hint="eastAsia" w:ascii="宋体" w:hAnsi="宋体" w:cs="宋体"/>
          <w:kern w:val="0"/>
          <w:szCs w:val="24"/>
          <w:lang w:val="zh-CN"/>
        </w:rPr>
        <w:t>项</w:t>
      </w:r>
      <w:r>
        <w:rPr>
          <w:rFonts w:eastAsia="Times New Roman"/>
          <w:kern w:val="0"/>
          <w:szCs w:val="24"/>
          <w:lang w:val="zh-CN"/>
        </w:rPr>
        <w:t>5327</w:t>
      </w:r>
      <w:r>
        <w:rPr>
          <w:rFonts w:hint="eastAsia" w:ascii="宋体" w:hAnsi="宋体" w:cs="宋体"/>
          <w:kern w:val="0"/>
          <w:szCs w:val="24"/>
          <w:lang w:val="zh-CN"/>
        </w:rPr>
        <w:t>小项室间质评计划，总合格率</w:t>
      </w:r>
      <w:r>
        <w:rPr>
          <w:rFonts w:eastAsia="Times New Roman"/>
          <w:kern w:val="0"/>
          <w:szCs w:val="24"/>
          <w:lang w:val="zh-CN"/>
        </w:rPr>
        <w:t>99.1%</w:t>
      </w:r>
      <w:r>
        <w:rPr>
          <w:rFonts w:hint="eastAsia" w:ascii="宋体" w:hAnsi="宋体" w:cs="宋体"/>
          <w:kern w:val="0"/>
          <w:szCs w:val="24"/>
          <w:lang w:val="zh-CN"/>
        </w:rPr>
        <w:t>。据近</w:t>
      </w:r>
      <w:r>
        <w:rPr>
          <w:rFonts w:eastAsia="Times New Roman"/>
          <w:kern w:val="0"/>
          <w:szCs w:val="24"/>
          <w:lang w:val="zh-CN"/>
        </w:rPr>
        <w:t>2019</w:t>
      </w:r>
      <w:r>
        <w:rPr>
          <w:rFonts w:hint="eastAsia" w:ascii="宋体" w:hAnsi="宋体" w:cs="宋体"/>
          <w:kern w:val="0"/>
          <w:szCs w:val="24"/>
          <w:lang w:val="zh-CN"/>
        </w:rPr>
        <w:t>年参加卫生部组织的室间质评数据分析，参加实验室数量中</w:t>
      </w:r>
      <w:r>
        <w:rPr>
          <w:rFonts w:eastAsia="Times New Roman"/>
          <w:kern w:val="0"/>
          <w:szCs w:val="24"/>
          <w:lang w:val="zh-CN"/>
        </w:rPr>
        <w:t>84.8%</w:t>
      </w:r>
      <w:r>
        <w:rPr>
          <w:rFonts w:hint="eastAsia" w:ascii="宋体" w:hAnsi="宋体" w:cs="宋体"/>
          <w:kern w:val="0"/>
          <w:szCs w:val="24"/>
          <w:lang w:val="zh-CN"/>
        </w:rPr>
        <w:t>的常规生化项目位列前五，国内品牌名列前茅。</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为实现检验结果的标准化和一致化，公司一直注重溯源能力的发展，拥有国内一流的参考实验室，涉及生化、免疫、血液、质谱等领域。目前，公司参考实验室运行的酶学、代谢物、电解质等</w:t>
      </w:r>
      <w:r>
        <w:rPr>
          <w:rFonts w:eastAsia="Times New Roman"/>
          <w:kern w:val="0"/>
          <w:szCs w:val="24"/>
          <w:lang w:val="zh-CN"/>
        </w:rPr>
        <w:t>14</w:t>
      </w:r>
      <w:r>
        <w:rPr>
          <w:rFonts w:hint="eastAsia" w:ascii="宋体" w:hAnsi="宋体" w:cs="宋体"/>
          <w:kern w:val="0"/>
          <w:szCs w:val="24"/>
          <w:lang w:val="zh-CN"/>
        </w:rPr>
        <w:t>个参考测量程序进入检验医学溯源联合委员会（</w:t>
      </w:r>
      <w:r>
        <w:rPr>
          <w:rFonts w:eastAsia="Times New Roman"/>
          <w:kern w:val="0"/>
          <w:szCs w:val="24"/>
          <w:lang w:val="zh-CN"/>
        </w:rPr>
        <w:t>JCTLM</w:t>
      </w:r>
      <w:r>
        <w:rPr>
          <w:rFonts w:hint="eastAsia" w:ascii="宋体" w:hAnsi="宋体" w:cs="宋体"/>
          <w:kern w:val="0"/>
          <w:szCs w:val="24"/>
          <w:lang w:val="zh-CN"/>
        </w:rPr>
        <w:t>）参考测量服务列表，可为全球提供参考测量服务，位于行业领先水平。同时，为保证溯源能力，公司每年都积极参加</w:t>
      </w:r>
      <w:r>
        <w:rPr>
          <w:rFonts w:eastAsia="Times New Roman"/>
          <w:kern w:val="0"/>
          <w:szCs w:val="24"/>
          <w:lang w:val="zh-CN"/>
        </w:rPr>
        <w:t>IFCC-RELA</w:t>
      </w:r>
      <w:r>
        <w:rPr>
          <w:rFonts w:hint="eastAsia" w:ascii="宋体" w:hAnsi="宋体" w:cs="宋体"/>
          <w:kern w:val="0"/>
          <w:szCs w:val="24"/>
          <w:lang w:val="zh-CN"/>
        </w:rPr>
        <w:t>活动，</w:t>
      </w:r>
      <w:r>
        <w:rPr>
          <w:rFonts w:eastAsia="Times New Roman"/>
          <w:kern w:val="0"/>
          <w:szCs w:val="24"/>
          <w:lang w:val="zh-CN"/>
        </w:rPr>
        <w:t>2019</w:t>
      </w:r>
      <w:r>
        <w:rPr>
          <w:rFonts w:hint="eastAsia" w:ascii="宋体" w:hAnsi="宋体" w:cs="宋体"/>
          <w:kern w:val="0"/>
          <w:szCs w:val="24"/>
          <w:lang w:val="zh-CN"/>
        </w:rPr>
        <w:t>年，公司参加</w:t>
      </w:r>
      <w:r>
        <w:rPr>
          <w:rFonts w:eastAsia="Times New Roman"/>
          <w:kern w:val="0"/>
          <w:szCs w:val="24"/>
          <w:lang w:val="zh-CN"/>
        </w:rPr>
        <w:t>24</w:t>
      </w:r>
      <w:r>
        <w:rPr>
          <w:rFonts w:hint="eastAsia" w:ascii="宋体" w:hAnsi="宋体" w:cs="宋体"/>
          <w:kern w:val="0"/>
          <w:szCs w:val="24"/>
          <w:lang w:val="zh-CN"/>
        </w:rPr>
        <w:t>个项目并全部符合。</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作为国际</w:t>
      </w:r>
      <w:r>
        <w:rPr>
          <w:rFonts w:eastAsia="Times New Roman"/>
          <w:kern w:val="0"/>
          <w:szCs w:val="24"/>
          <w:lang w:val="zh-CN"/>
        </w:rPr>
        <w:t>/</w:t>
      </w:r>
      <w:r>
        <w:rPr>
          <w:rFonts w:hint="eastAsia" w:ascii="宋体" w:hAnsi="宋体" w:cs="宋体"/>
          <w:kern w:val="0"/>
          <w:szCs w:val="24"/>
          <w:lang w:val="zh-CN"/>
        </w:rPr>
        <w:t>国家标准物质联合研制及标准制定者，公司积极参与行业标准的制定。</w:t>
      </w:r>
      <w:r>
        <w:rPr>
          <w:rFonts w:eastAsia="Times New Roman"/>
          <w:kern w:val="0"/>
          <w:szCs w:val="24"/>
          <w:lang w:val="zh-CN"/>
        </w:rPr>
        <w:t>2019</w:t>
      </w:r>
      <w:r>
        <w:rPr>
          <w:rFonts w:hint="eastAsia" w:ascii="宋体" w:hAnsi="宋体" w:cs="宋体"/>
          <w:kern w:val="0"/>
          <w:szCs w:val="24"/>
          <w:lang w:val="zh-CN"/>
        </w:rPr>
        <w:t>年，公司参与起草了全国医用临床检验实验室和体外诊断系统标准化技术委员会</w:t>
      </w:r>
      <w:r>
        <w:rPr>
          <w:rFonts w:eastAsia="Times New Roman"/>
          <w:kern w:val="0"/>
          <w:szCs w:val="24"/>
          <w:lang w:val="zh-CN"/>
        </w:rPr>
        <w:t>(SAC/TC136)</w:t>
      </w:r>
      <w:r>
        <w:rPr>
          <w:rFonts w:hint="eastAsia" w:ascii="宋体" w:hAnsi="宋体" w:cs="宋体"/>
          <w:kern w:val="0"/>
          <w:szCs w:val="24"/>
          <w:lang w:val="zh-CN"/>
        </w:rPr>
        <w:t>组织的医药行业标准《体外诊断检验系统</w:t>
      </w:r>
      <w:r>
        <w:rPr>
          <w:rFonts w:eastAsia="Times New Roman"/>
          <w:kern w:val="0"/>
          <w:szCs w:val="24"/>
          <w:lang w:val="zh-CN"/>
        </w:rPr>
        <w:t xml:space="preserve"> </w:t>
      </w:r>
      <w:r>
        <w:rPr>
          <w:rFonts w:hint="eastAsia" w:ascii="宋体" w:hAnsi="宋体" w:cs="宋体"/>
          <w:kern w:val="0"/>
          <w:szCs w:val="24"/>
          <w:lang w:val="zh-CN"/>
        </w:rPr>
        <w:t>性能评价方法第</w:t>
      </w:r>
      <w:r>
        <w:rPr>
          <w:rFonts w:eastAsia="Times New Roman"/>
          <w:kern w:val="0"/>
          <w:szCs w:val="24"/>
          <w:lang w:val="zh-CN"/>
        </w:rPr>
        <w:t>1</w:t>
      </w:r>
      <w:r>
        <w:rPr>
          <w:rFonts w:hint="eastAsia" w:ascii="宋体" w:hAnsi="宋体" w:cs="宋体"/>
          <w:kern w:val="0"/>
          <w:szCs w:val="24"/>
          <w:lang w:val="zh-CN"/>
        </w:rPr>
        <w:t>部分：精密度》和《体外诊断检验系统性能评价方法</w:t>
      </w:r>
      <w:r>
        <w:rPr>
          <w:rFonts w:eastAsia="Times New Roman"/>
          <w:kern w:val="0"/>
          <w:szCs w:val="24"/>
          <w:lang w:val="zh-CN"/>
        </w:rPr>
        <w:t xml:space="preserve"> </w:t>
      </w:r>
      <w:r>
        <w:rPr>
          <w:rFonts w:hint="eastAsia" w:ascii="宋体" w:hAnsi="宋体" w:cs="宋体"/>
          <w:kern w:val="0"/>
          <w:szCs w:val="24"/>
          <w:lang w:val="zh-CN"/>
        </w:rPr>
        <w:t>第</w:t>
      </w:r>
      <w:r>
        <w:rPr>
          <w:rFonts w:eastAsia="Times New Roman"/>
          <w:kern w:val="0"/>
          <w:szCs w:val="24"/>
          <w:lang w:val="zh-CN"/>
        </w:rPr>
        <w:t>2</w:t>
      </w:r>
      <w:r>
        <w:rPr>
          <w:rFonts w:hint="eastAsia" w:ascii="宋体" w:hAnsi="宋体" w:cs="宋体"/>
          <w:kern w:val="0"/>
          <w:szCs w:val="24"/>
          <w:lang w:val="zh-CN"/>
        </w:rPr>
        <w:t>部分：正确度》，并参与了</w:t>
      </w:r>
      <w:r>
        <w:rPr>
          <w:rFonts w:eastAsia="Times New Roman"/>
          <w:kern w:val="0"/>
          <w:szCs w:val="24"/>
          <w:lang w:val="zh-CN"/>
        </w:rPr>
        <w:t>IRMM</w:t>
      </w:r>
      <w:r>
        <w:rPr>
          <w:rFonts w:hint="eastAsia" w:ascii="宋体" w:hAnsi="宋体" w:cs="宋体"/>
          <w:kern w:val="0"/>
          <w:szCs w:val="24"/>
          <w:lang w:val="zh-CN"/>
        </w:rPr>
        <w:t>组织的</w:t>
      </w:r>
      <w:r>
        <w:rPr>
          <w:kern w:val="0"/>
          <w:szCs w:val="24"/>
          <w:lang w:val="zh-CN"/>
        </w:rPr>
        <w:t>α-</w:t>
      </w:r>
      <w:r>
        <w:rPr>
          <w:rFonts w:hint="eastAsia" w:ascii="宋体" w:hAnsi="宋体" w:cs="宋体"/>
          <w:kern w:val="0"/>
          <w:szCs w:val="24"/>
          <w:lang w:val="zh-CN"/>
        </w:rPr>
        <w:t>淀粉酶（</w:t>
      </w:r>
      <w:r>
        <w:rPr>
          <w:rFonts w:eastAsia="Times New Roman"/>
          <w:kern w:val="0"/>
          <w:szCs w:val="24"/>
          <w:lang w:val="zh-CN"/>
        </w:rPr>
        <w:t>AMY</w:t>
      </w:r>
      <w:r>
        <w:rPr>
          <w:rFonts w:hint="eastAsia" w:ascii="宋体" w:hAnsi="宋体" w:cs="宋体"/>
          <w:kern w:val="0"/>
          <w:szCs w:val="24"/>
          <w:lang w:val="zh-CN"/>
        </w:rPr>
        <w:t>）国际标准物质赋值工作。</w:t>
      </w:r>
      <w:r>
        <w:rPr>
          <w:rFonts w:eastAsia="Times New Roman"/>
          <w:kern w:val="0"/>
          <w:szCs w:val="24"/>
          <w:lang w:val="zh-CN"/>
        </w:rPr>
        <w:t>2019</w:t>
      </w:r>
      <w:r>
        <w:rPr>
          <w:rFonts w:hint="eastAsia" w:ascii="宋体" w:hAnsi="宋体" w:cs="宋体"/>
          <w:kern w:val="0"/>
          <w:szCs w:val="24"/>
          <w:lang w:val="zh-CN"/>
        </w:rPr>
        <w:t>年，公司成功申报国家重点研发计划</w:t>
      </w:r>
      <w:r>
        <w:rPr>
          <w:rFonts w:eastAsia="Times New Roman"/>
          <w:kern w:val="0"/>
          <w:szCs w:val="24"/>
          <w:lang w:val="zh-CN"/>
        </w:rPr>
        <w:t>“</w:t>
      </w:r>
      <w:r>
        <w:rPr>
          <w:rFonts w:hint="eastAsia" w:ascii="宋体" w:hAnsi="宋体" w:cs="宋体"/>
          <w:kern w:val="0"/>
          <w:szCs w:val="24"/>
          <w:lang w:val="zh-CN"/>
        </w:rPr>
        <w:t>国家质量基础的共性技术研究与应用</w:t>
      </w:r>
      <w:r>
        <w:rPr>
          <w:rFonts w:eastAsia="Times New Roman"/>
          <w:kern w:val="0"/>
          <w:szCs w:val="24"/>
          <w:lang w:val="zh-CN"/>
        </w:rPr>
        <w:t>”</w:t>
      </w:r>
      <w:r>
        <w:rPr>
          <w:rFonts w:hint="eastAsia" w:ascii="宋体" w:hAnsi="宋体" w:cs="宋体"/>
          <w:kern w:val="0"/>
          <w:szCs w:val="24"/>
          <w:lang w:val="zh-CN"/>
        </w:rPr>
        <w:t>重点专项《高端试剂可溯源量值定值技术及质量评价方法研究》，承担课题《临床质谱诊断试剂量值溯源及质量评价研究》（课题编号：</w:t>
      </w:r>
      <w:r>
        <w:rPr>
          <w:rFonts w:eastAsia="Times New Roman"/>
          <w:kern w:val="0"/>
          <w:szCs w:val="24"/>
          <w:lang w:val="zh-CN"/>
        </w:rPr>
        <w:t>2019YFF0216504</w:t>
      </w:r>
      <w:r>
        <w:rPr>
          <w:rFonts w:hint="eastAsia" w:ascii="宋体" w:hAnsi="宋体" w:cs="宋体"/>
          <w:kern w:val="0"/>
          <w:szCs w:val="24"/>
          <w:lang w:val="zh-CN"/>
        </w:rPr>
        <w:t>）。同时，公司还与中国计量科学研究院、中国食品药品检定研究院等单位合作，积极参与睾酮、同型半胱氨酸、雌酮、雌三醇、雌二醇等临床质谱检测项目的国家标准物质研制及联合定值工作；参与了欧洲委员会联合研究中心血清淀粉酶国际标准物质联合定值工作。作为国内首家成为</w:t>
      </w:r>
      <w:r>
        <w:rPr>
          <w:rFonts w:eastAsia="Times New Roman"/>
          <w:kern w:val="0"/>
          <w:szCs w:val="24"/>
          <w:lang w:val="zh-CN"/>
        </w:rPr>
        <w:t>JCTLM</w:t>
      </w:r>
      <w:r>
        <w:rPr>
          <w:rFonts w:hint="eastAsia" w:ascii="宋体" w:hAnsi="宋体" w:cs="宋体"/>
          <w:kern w:val="0"/>
          <w:szCs w:val="24"/>
          <w:lang w:val="zh-CN"/>
        </w:rPr>
        <w:t>的体外诊断厂商，公司一直在为实现检验结果的标准化和一致化而努力，以促进更多检验项目实现全球结果互认。</w:t>
      </w:r>
    </w:p>
    <w:p>
      <w:pPr>
        <w:autoSpaceDE w:val="0"/>
        <w:autoSpaceDN w:val="0"/>
        <w:adjustRightInd w:val="0"/>
        <w:spacing w:before="0" w:after="0"/>
        <w:jc w:val="left"/>
        <w:rPr>
          <w:rFonts w:eastAsiaTheme="minorEastAsia"/>
          <w:kern w:val="0"/>
          <w:sz w:val="24"/>
          <w:szCs w:val="24"/>
        </w:rPr>
        <w:sectPr>
          <w:pgSz w:w="11906" w:h="16838"/>
          <w:pgMar w:top="1440" w:right="1134" w:bottom="1440" w:left="1134" w:header="851" w:footer="992" w:gutter="0"/>
          <w:cols w:space="425" w:num="1"/>
          <w:docGrid w:type="lines" w:linePitch="312" w:charSpace="0"/>
        </w:sectPr>
      </w:pPr>
    </w:p>
    <w:p>
      <w:pPr>
        <w:pStyle w:val="8"/>
        <w:outlineLvl w:val="0"/>
        <w:rPr>
          <w:bCs w:val="0"/>
          <w:szCs w:val="24"/>
        </w:rPr>
      </w:pPr>
      <w:bookmarkStart w:id="4" w:name="_Toc38911275"/>
      <w:r>
        <w:rPr>
          <w:rFonts w:hint="eastAsia"/>
          <w:bCs w:val="0"/>
          <w:szCs w:val="24"/>
        </w:rPr>
        <w:t>第四节经营情况讨论与分析</w:t>
      </w:r>
      <w:bookmarkEnd w:id="4"/>
    </w:p>
    <w:p>
      <w:pPr>
        <w:pStyle w:val="13"/>
        <w:outlineLvl w:val="1"/>
        <w:rPr>
          <w:bCs w:val="0"/>
        </w:rPr>
      </w:pPr>
      <w:r>
        <w:rPr>
          <w:rFonts w:hint="eastAsia"/>
          <w:bCs w:val="0"/>
        </w:rPr>
        <w:t>一、概述</w:t>
      </w:r>
    </w:p>
    <w:p>
      <w:pPr>
        <w:autoSpaceDE w:val="0"/>
        <w:autoSpaceDN w:val="0"/>
        <w:adjustRightInd w:val="0"/>
        <w:ind w:firstLine="360"/>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年，体外诊断行业受国内外政策与环境的影响，产生了诸多变化，对体外诊断行业提出了新的要求，也让行业企业面临更多的机遇与挑战。</w:t>
      </w:r>
    </w:p>
    <w:p>
      <w:pPr>
        <w:autoSpaceDE w:val="0"/>
        <w:autoSpaceDN w:val="0"/>
        <w:adjustRightInd w:val="0"/>
        <w:ind w:firstLine="360"/>
        <w:rPr>
          <w:rFonts w:eastAsia="Times New Roman"/>
          <w:kern w:val="0"/>
          <w:szCs w:val="24"/>
          <w:lang w:val="zh-CN"/>
        </w:rPr>
      </w:pPr>
      <w:r>
        <w:rPr>
          <w:rFonts w:hint="eastAsia" w:ascii="宋体" w:hAnsi="宋体" w:cs="宋体"/>
          <w:kern w:val="0"/>
          <w:szCs w:val="24"/>
          <w:lang w:val="zh-CN"/>
        </w:rPr>
        <w:t>一是中长期和短期利好政策结合，助推行业发展。（</w:t>
      </w:r>
      <w:r>
        <w:rPr>
          <w:rFonts w:eastAsia="Times New Roman"/>
          <w:kern w:val="0"/>
          <w:szCs w:val="24"/>
          <w:lang w:val="zh-CN"/>
        </w:rPr>
        <w:t>1</w:t>
      </w:r>
      <w:r>
        <w:rPr>
          <w:rFonts w:hint="eastAsia" w:ascii="宋体" w:hAnsi="宋体" w:cs="宋体"/>
          <w:kern w:val="0"/>
          <w:szCs w:val="24"/>
          <w:lang w:val="zh-CN"/>
        </w:rPr>
        <w:t>）</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w:t>
      </w:r>
      <w:r>
        <w:rPr>
          <w:rFonts w:hint="eastAsia" w:ascii="宋体" w:hAnsi="宋体" w:cs="宋体"/>
          <w:kern w:val="0"/>
          <w:szCs w:val="24"/>
          <w:lang w:val="zh-CN"/>
        </w:rPr>
        <w:t>月</w:t>
      </w:r>
      <w:r>
        <w:rPr>
          <w:rFonts w:eastAsia="Times New Roman"/>
          <w:kern w:val="0"/>
          <w:szCs w:val="24"/>
          <w:lang w:val="zh-CN"/>
        </w:rPr>
        <w:t>28</w:t>
      </w:r>
      <w:r>
        <w:rPr>
          <w:rFonts w:hint="eastAsia" w:ascii="宋体" w:hAnsi="宋体" w:cs="宋体"/>
          <w:kern w:val="0"/>
          <w:szCs w:val="24"/>
          <w:lang w:val="zh-CN"/>
        </w:rPr>
        <w:t>日，国家卫生健康委组织制定了《国家医学中心和国家区域医疗中心设置实施方案》。设置国家医学中心和国家区域医疗中心有利于促进优质医疗资源纵向和横向流动，提高我国整体和各区域医疗服务技术水平。（</w:t>
      </w:r>
      <w:r>
        <w:rPr>
          <w:rFonts w:eastAsia="Times New Roman"/>
          <w:kern w:val="0"/>
          <w:szCs w:val="24"/>
          <w:lang w:val="zh-CN"/>
        </w:rPr>
        <w:t>2</w:t>
      </w:r>
      <w:r>
        <w:rPr>
          <w:rFonts w:hint="eastAsia" w:ascii="宋体" w:hAnsi="宋体" w:cs="宋体"/>
          <w:kern w:val="0"/>
          <w:szCs w:val="24"/>
          <w:lang w:val="zh-CN"/>
        </w:rPr>
        <w:t>）</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7</w:t>
      </w:r>
      <w:r>
        <w:rPr>
          <w:rFonts w:hint="eastAsia" w:ascii="宋体" w:hAnsi="宋体" w:cs="宋体"/>
          <w:kern w:val="0"/>
          <w:szCs w:val="24"/>
          <w:lang w:val="zh-CN"/>
        </w:rPr>
        <w:t>月</w:t>
      </w:r>
      <w:r>
        <w:rPr>
          <w:rFonts w:eastAsia="Times New Roman"/>
          <w:kern w:val="0"/>
          <w:szCs w:val="24"/>
          <w:lang w:val="zh-CN"/>
        </w:rPr>
        <w:t>15</w:t>
      </w:r>
      <w:r>
        <w:rPr>
          <w:rFonts w:hint="eastAsia" w:ascii="宋体" w:hAnsi="宋体" w:cs="宋体"/>
          <w:kern w:val="0"/>
          <w:szCs w:val="24"/>
          <w:lang w:val="zh-CN"/>
        </w:rPr>
        <w:t>日，健康中国行动推进委员会印发《健康中国行动（</w:t>
      </w:r>
      <w:r>
        <w:rPr>
          <w:rFonts w:eastAsia="Times New Roman"/>
          <w:kern w:val="0"/>
          <w:szCs w:val="24"/>
          <w:lang w:val="zh-CN"/>
        </w:rPr>
        <w:t>2019—2030</w:t>
      </w:r>
      <w:r>
        <w:rPr>
          <w:rFonts w:hint="eastAsia" w:ascii="宋体" w:hAnsi="宋体" w:cs="宋体"/>
          <w:kern w:val="0"/>
          <w:szCs w:val="24"/>
          <w:lang w:val="zh-CN"/>
        </w:rPr>
        <w:t>年）》。为积极应对当前突出健康问题，必须关口前移，采取有效干预措施，努力使群众不生病、少生病，提高生活质量，延长健康寿命。到</w:t>
      </w:r>
      <w:r>
        <w:rPr>
          <w:rFonts w:eastAsia="Times New Roman"/>
          <w:kern w:val="0"/>
          <w:szCs w:val="24"/>
          <w:lang w:val="zh-CN"/>
        </w:rPr>
        <w:t>2030</w:t>
      </w:r>
      <w:r>
        <w:rPr>
          <w:rFonts w:hint="eastAsia" w:ascii="宋体" w:hAnsi="宋体" w:cs="宋体"/>
          <w:kern w:val="0"/>
          <w:szCs w:val="24"/>
          <w:lang w:val="zh-CN"/>
        </w:rPr>
        <w:t>年，全民健康素养水平大幅提升，健康生活方式基本普及，居民主要健康影响因素得到有效控制，因重大慢性病导致的过早死亡率明显降低，人均健康预期寿命得到较大提高，居民主要健康指标水平进入高收入国家行列，健康公平基本实现，实现《</w:t>
      </w:r>
      <w:r>
        <w:rPr>
          <w:rFonts w:eastAsia="Times New Roman"/>
          <w:kern w:val="0"/>
          <w:szCs w:val="24"/>
          <w:lang w:val="zh-CN"/>
        </w:rPr>
        <w:t>“</w:t>
      </w:r>
      <w:r>
        <w:rPr>
          <w:rFonts w:hint="eastAsia" w:ascii="宋体" w:hAnsi="宋体" w:cs="宋体"/>
          <w:kern w:val="0"/>
          <w:szCs w:val="24"/>
          <w:lang w:val="zh-CN"/>
        </w:rPr>
        <w:t>健康中国</w:t>
      </w:r>
      <w:r>
        <w:rPr>
          <w:rFonts w:eastAsia="Times New Roman"/>
          <w:kern w:val="0"/>
          <w:szCs w:val="24"/>
          <w:lang w:val="zh-CN"/>
        </w:rPr>
        <w:t>2030”</w:t>
      </w:r>
      <w:r>
        <w:rPr>
          <w:rFonts w:hint="eastAsia" w:ascii="宋体" w:hAnsi="宋体" w:cs="宋体"/>
          <w:kern w:val="0"/>
          <w:szCs w:val="24"/>
          <w:lang w:val="zh-CN"/>
        </w:rPr>
        <w:t>规划纲要》有关目标。（</w:t>
      </w:r>
      <w:r>
        <w:rPr>
          <w:rFonts w:eastAsia="Times New Roman"/>
          <w:kern w:val="0"/>
          <w:szCs w:val="24"/>
          <w:lang w:val="zh-CN"/>
        </w:rPr>
        <w:t>3</w:t>
      </w:r>
      <w:r>
        <w:rPr>
          <w:rFonts w:hint="eastAsia" w:ascii="宋体" w:hAnsi="宋体" w:cs="宋体"/>
          <w:kern w:val="0"/>
          <w:szCs w:val="24"/>
          <w:lang w:val="zh-CN"/>
        </w:rPr>
        <w:t>）</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8</w:t>
      </w:r>
      <w:r>
        <w:rPr>
          <w:rFonts w:hint="eastAsia" w:ascii="宋体" w:hAnsi="宋体" w:cs="宋体"/>
          <w:kern w:val="0"/>
          <w:szCs w:val="24"/>
          <w:lang w:val="zh-CN"/>
        </w:rPr>
        <w:t>月</w:t>
      </w:r>
      <w:r>
        <w:rPr>
          <w:rFonts w:eastAsia="Times New Roman"/>
          <w:kern w:val="0"/>
          <w:szCs w:val="24"/>
          <w:lang w:val="zh-CN"/>
        </w:rPr>
        <w:t>1</w:t>
      </w:r>
      <w:r>
        <w:rPr>
          <w:rFonts w:hint="eastAsia" w:ascii="宋体" w:hAnsi="宋体" w:cs="宋体"/>
          <w:kern w:val="0"/>
          <w:szCs w:val="24"/>
          <w:lang w:val="zh-CN"/>
        </w:rPr>
        <w:t>日，国家药监局发布关于扩大医疗器械注册人制度试点工作的通知，加快推进医疗器械产业创新发展。（</w:t>
      </w:r>
      <w:r>
        <w:rPr>
          <w:rFonts w:eastAsia="Times New Roman"/>
          <w:kern w:val="0"/>
          <w:szCs w:val="24"/>
          <w:lang w:val="zh-CN"/>
        </w:rPr>
        <w:t>4</w:t>
      </w:r>
      <w:r>
        <w:rPr>
          <w:rFonts w:hint="eastAsia" w:ascii="宋体" w:hAnsi="宋体" w:cs="宋体"/>
          <w:kern w:val="0"/>
          <w:szCs w:val="24"/>
          <w:lang w:val="zh-CN"/>
        </w:rPr>
        <w:t>）</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11</w:t>
      </w:r>
      <w:r>
        <w:rPr>
          <w:rFonts w:hint="eastAsia" w:ascii="宋体" w:hAnsi="宋体" w:cs="宋体"/>
          <w:kern w:val="0"/>
          <w:szCs w:val="24"/>
          <w:lang w:val="zh-CN"/>
        </w:rPr>
        <w:t>月</w:t>
      </w:r>
      <w:r>
        <w:rPr>
          <w:rFonts w:eastAsia="Times New Roman"/>
          <w:kern w:val="0"/>
          <w:szCs w:val="24"/>
          <w:lang w:val="zh-CN"/>
        </w:rPr>
        <w:t>29</w:t>
      </w:r>
      <w:r>
        <w:rPr>
          <w:rFonts w:hint="eastAsia" w:ascii="宋体" w:hAnsi="宋体" w:cs="宋体"/>
          <w:kern w:val="0"/>
          <w:szCs w:val="24"/>
          <w:lang w:val="zh-CN"/>
        </w:rPr>
        <w:t>日，国家药监局印发《国家药品监督管理局贯彻落实国务院在自由贸易试验区开展</w:t>
      </w:r>
      <w:r>
        <w:rPr>
          <w:rFonts w:eastAsia="Times New Roman"/>
          <w:kern w:val="0"/>
          <w:szCs w:val="24"/>
          <w:lang w:val="zh-CN"/>
        </w:rPr>
        <w:t>“</w:t>
      </w:r>
      <w:r>
        <w:rPr>
          <w:rFonts w:hint="eastAsia" w:ascii="宋体" w:hAnsi="宋体" w:cs="宋体"/>
          <w:kern w:val="0"/>
          <w:szCs w:val="24"/>
          <w:lang w:val="zh-CN"/>
        </w:rPr>
        <w:t>证照分离</w:t>
      </w:r>
      <w:r>
        <w:rPr>
          <w:rFonts w:eastAsia="Times New Roman"/>
          <w:kern w:val="0"/>
          <w:szCs w:val="24"/>
          <w:lang w:val="zh-CN"/>
        </w:rPr>
        <w:t>”</w:t>
      </w:r>
      <w:r>
        <w:rPr>
          <w:rFonts w:hint="eastAsia" w:ascii="宋体" w:hAnsi="宋体" w:cs="宋体"/>
          <w:kern w:val="0"/>
          <w:szCs w:val="24"/>
          <w:lang w:val="zh-CN"/>
        </w:rPr>
        <w:t>改革全覆盖试点实施方案》的通知，对药品监管领域涉企经营许可有关事项按照实行告知承诺、优化审批服务两种方式推进改革，对</w:t>
      </w:r>
      <w:r>
        <w:rPr>
          <w:rFonts w:eastAsia="Times New Roman"/>
          <w:kern w:val="0"/>
          <w:szCs w:val="24"/>
          <w:lang w:val="zh-CN"/>
        </w:rPr>
        <w:t>“</w:t>
      </w:r>
      <w:r>
        <w:rPr>
          <w:rFonts w:hint="eastAsia" w:ascii="宋体" w:hAnsi="宋体" w:cs="宋体"/>
          <w:kern w:val="0"/>
          <w:szCs w:val="24"/>
          <w:lang w:val="zh-CN"/>
        </w:rPr>
        <w:t>药品生产企业许可</w:t>
      </w:r>
      <w:r>
        <w:rPr>
          <w:rFonts w:eastAsia="Times New Roman"/>
          <w:kern w:val="0"/>
          <w:szCs w:val="24"/>
          <w:lang w:val="zh-CN"/>
        </w:rPr>
        <w:t>”</w:t>
      </w:r>
      <w:r>
        <w:rPr>
          <w:rFonts w:hint="eastAsia" w:ascii="宋体" w:hAnsi="宋体" w:cs="宋体"/>
          <w:kern w:val="0"/>
          <w:szCs w:val="24"/>
          <w:lang w:val="zh-CN"/>
        </w:rPr>
        <w:t>、</w:t>
      </w:r>
      <w:r>
        <w:rPr>
          <w:rFonts w:eastAsia="Times New Roman"/>
          <w:kern w:val="0"/>
          <w:szCs w:val="24"/>
          <w:lang w:val="zh-CN"/>
        </w:rPr>
        <w:t>“</w:t>
      </w:r>
      <w:r>
        <w:rPr>
          <w:rFonts w:hint="eastAsia" w:ascii="宋体" w:hAnsi="宋体" w:cs="宋体"/>
          <w:kern w:val="0"/>
          <w:szCs w:val="24"/>
          <w:lang w:val="zh-CN"/>
        </w:rPr>
        <w:t>第二类、第三类医疗器械生产许可</w:t>
      </w:r>
      <w:r>
        <w:rPr>
          <w:rFonts w:eastAsia="Times New Roman"/>
          <w:kern w:val="0"/>
          <w:szCs w:val="24"/>
          <w:lang w:val="zh-CN"/>
        </w:rPr>
        <w:t>”</w:t>
      </w:r>
      <w:r>
        <w:rPr>
          <w:rFonts w:hint="eastAsia" w:ascii="宋体" w:hAnsi="宋体" w:cs="宋体"/>
          <w:kern w:val="0"/>
          <w:szCs w:val="24"/>
          <w:lang w:val="zh-CN"/>
        </w:rPr>
        <w:t>等</w:t>
      </w:r>
      <w:r>
        <w:rPr>
          <w:rFonts w:eastAsia="Times New Roman"/>
          <w:kern w:val="0"/>
          <w:szCs w:val="24"/>
          <w:lang w:val="zh-CN"/>
        </w:rPr>
        <w:t>23</w:t>
      </w:r>
      <w:r>
        <w:rPr>
          <w:rFonts w:hint="eastAsia" w:ascii="宋体" w:hAnsi="宋体" w:cs="宋体"/>
          <w:kern w:val="0"/>
          <w:szCs w:val="24"/>
          <w:lang w:val="zh-CN"/>
        </w:rPr>
        <w:t>项许可事项采取精简审批材料、优化办事流程、压减审批时限等措施优化审批服务。</w:t>
      </w:r>
    </w:p>
    <w:p>
      <w:pPr>
        <w:autoSpaceDE w:val="0"/>
        <w:autoSpaceDN w:val="0"/>
        <w:adjustRightInd w:val="0"/>
        <w:ind w:firstLine="360"/>
        <w:rPr>
          <w:rFonts w:eastAsia="Times New Roman"/>
          <w:kern w:val="0"/>
          <w:szCs w:val="24"/>
          <w:lang w:val="zh-CN"/>
        </w:rPr>
      </w:pPr>
      <w:r>
        <w:rPr>
          <w:rFonts w:hint="eastAsia" w:ascii="宋体" w:hAnsi="宋体" w:cs="宋体"/>
          <w:kern w:val="0"/>
          <w:szCs w:val="24"/>
          <w:lang w:val="zh-CN"/>
        </w:rPr>
        <w:t>二是医疗行业需求总体上升，老龄化社会下慢病管理需求增加，促进市场空间扩大。（</w:t>
      </w:r>
      <w:r>
        <w:rPr>
          <w:rFonts w:eastAsia="Times New Roman"/>
          <w:kern w:val="0"/>
          <w:szCs w:val="24"/>
          <w:lang w:val="zh-CN"/>
        </w:rPr>
        <w:t>1</w:t>
      </w:r>
      <w:r>
        <w:rPr>
          <w:rFonts w:hint="eastAsia" w:ascii="宋体" w:hAnsi="宋体" w:cs="宋体"/>
          <w:kern w:val="0"/>
          <w:szCs w:val="24"/>
          <w:lang w:val="zh-CN"/>
        </w:rPr>
        <w:t>）根据</w:t>
      </w:r>
      <w:r>
        <w:rPr>
          <w:rFonts w:eastAsia="Times New Roman"/>
          <w:kern w:val="0"/>
          <w:szCs w:val="24"/>
          <w:lang w:val="zh-CN"/>
        </w:rPr>
        <w:t>2018</w:t>
      </w:r>
      <w:r>
        <w:rPr>
          <w:rFonts w:hint="eastAsia" w:ascii="宋体" w:hAnsi="宋体" w:cs="宋体"/>
          <w:kern w:val="0"/>
          <w:szCs w:val="24"/>
          <w:lang w:val="zh-CN"/>
        </w:rPr>
        <w:t>年我国卫生健康事业发展统计公报，</w:t>
      </w:r>
      <w:r>
        <w:rPr>
          <w:rFonts w:eastAsia="Times New Roman"/>
          <w:kern w:val="0"/>
          <w:szCs w:val="24"/>
          <w:lang w:val="zh-CN"/>
        </w:rPr>
        <w:t>2018</w:t>
      </w:r>
      <w:r>
        <w:rPr>
          <w:rFonts w:hint="eastAsia" w:ascii="宋体" w:hAnsi="宋体" w:cs="宋体"/>
          <w:kern w:val="0"/>
          <w:szCs w:val="24"/>
          <w:lang w:val="zh-CN"/>
        </w:rPr>
        <w:t>年我国人均卫生总费用</w:t>
      </w:r>
      <w:r>
        <w:rPr>
          <w:rFonts w:eastAsia="Times New Roman"/>
          <w:kern w:val="0"/>
          <w:szCs w:val="24"/>
          <w:lang w:val="zh-CN"/>
        </w:rPr>
        <w:t>4,148.1</w:t>
      </w:r>
      <w:r>
        <w:rPr>
          <w:rFonts w:hint="eastAsia" w:ascii="宋体" w:hAnsi="宋体" w:cs="宋体"/>
          <w:kern w:val="0"/>
          <w:szCs w:val="24"/>
          <w:lang w:val="zh-CN"/>
        </w:rPr>
        <w:t>元，同比增长</w:t>
      </w:r>
      <w:r>
        <w:rPr>
          <w:rFonts w:eastAsia="Times New Roman"/>
          <w:kern w:val="0"/>
          <w:szCs w:val="24"/>
          <w:lang w:val="zh-CN"/>
        </w:rPr>
        <w:t>9.6%</w:t>
      </w:r>
      <w:r>
        <w:rPr>
          <w:rFonts w:hint="eastAsia" w:ascii="宋体" w:hAnsi="宋体" w:cs="宋体"/>
          <w:kern w:val="0"/>
          <w:szCs w:val="24"/>
          <w:lang w:val="zh-CN"/>
        </w:rPr>
        <w:t>。根据门诊住院量统计数据，全国医疗卫生机构总诊疗人次达</w:t>
      </w:r>
      <w:r>
        <w:rPr>
          <w:rFonts w:eastAsia="Times New Roman"/>
          <w:kern w:val="0"/>
          <w:szCs w:val="24"/>
          <w:lang w:val="zh-CN"/>
        </w:rPr>
        <w:t>83.1</w:t>
      </w:r>
      <w:r>
        <w:rPr>
          <w:rFonts w:hint="eastAsia" w:ascii="宋体" w:hAnsi="宋体" w:cs="宋体"/>
          <w:kern w:val="0"/>
          <w:szCs w:val="24"/>
          <w:lang w:val="zh-CN"/>
        </w:rPr>
        <w:t>亿人次，比上年增加</w:t>
      </w:r>
      <w:r>
        <w:rPr>
          <w:rFonts w:eastAsia="Times New Roman"/>
          <w:kern w:val="0"/>
          <w:szCs w:val="24"/>
          <w:lang w:val="zh-CN"/>
        </w:rPr>
        <w:t>1.3</w:t>
      </w:r>
      <w:r>
        <w:rPr>
          <w:rFonts w:hint="eastAsia" w:ascii="宋体" w:hAnsi="宋体" w:cs="宋体"/>
          <w:kern w:val="0"/>
          <w:szCs w:val="24"/>
          <w:lang w:val="zh-CN"/>
        </w:rPr>
        <w:t>亿人次（增长</w:t>
      </w:r>
      <w:r>
        <w:rPr>
          <w:rFonts w:eastAsia="Times New Roman"/>
          <w:kern w:val="0"/>
          <w:szCs w:val="24"/>
          <w:lang w:val="zh-CN"/>
        </w:rPr>
        <w:t>1.6%</w:t>
      </w:r>
      <w:r>
        <w:rPr>
          <w:rFonts w:hint="eastAsia" w:ascii="宋体" w:hAnsi="宋体" w:cs="宋体"/>
          <w:kern w:val="0"/>
          <w:szCs w:val="24"/>
          <w:lang w:val="zh-CN"/>
        </w:rPr>
        <w:t>）。</w:t>
      </w:r>
      <w:r>
        <w:rPr>
          <w:rFonts w:eastAsia="Times New Roman"/>
          <w:kern w:val="0"/>
          <w:szCs w:val="24"/>
          <w:lang w:val="zh-CN"/>
        </w:rPr>
        <w:t>2018</w:t>
      </w:r>
      <w:r>
        <w:rPr>
          <w:rFonts w:hint="eastAsia" w:ascii="宋体" w:hAnsi="宋体" w:cs="宋体"/>
          <w:kern w:val="0"/>
          <w:szCs w:val="24"/>
          <w:lang w:val="zh-CN"/>
        </w:rPr>
        <w:t>年居民到医疗卫生机构平均就诊</w:t>
      </w:r>
      <w:r>
        <w:rPr>
          <w:rFonts w:eastAsia="Times New Roman"/>
          <w:kern w:val="0"/>
          <w:szCs w:val="24"/>
          <w:lang w:val="zh-CN"/>
        </w:rPr>
        <w:t>6.0</w:t>
      </w:r>
      <w:r>
        <w:rPr>
          <w:rFonts w:hint="eastAsia" w:ascii="宋体" w:hAnsi="宋体" w:cs="宋体"/>
          <w:kern w:val="0"/>
          <w:szCs w:val="24"/>
          <w:lang w:val="zh-CN"/>
        </w:rPr>
        <w:t>次。</w:t>
      </w:r>
      <w:r>
        <w:rPr>
          <w:rFonts w:eastAsia="Times New Roman"/>
          <w:kern w:val="0"/>
          <w:szCs w:val="24"/>
          <w:lang w:val="zh-CN"/>
        </w:rPr>
        <w:t>2018</w:t>
      </w:r>
      <w:r>
        <w:rPr>
          <w:rFonts w:hint="eastAsia" w:ascii="宋体" w:hAnsi="宋体" w:cs="宋体"/>
          <w:kern w:val="0"/>
          <w:szCs w:val="24"/>
          <w:lang w:val="zh-CN"/>
        </w:rPr>
        <w:t>年，医院次均门诊费用</w:t>
      </w:r>
      <w:r>
        <w:rPr>
          <w:rFonts w:eastAsia="Times New Roman"/>
          <w:kern w:val="0"/>
          <w:szCs w:val="24"/>
          <w:lang w:val="zh-CN"/>
        </w:rPr>
        <w:t>274.1</w:t>
      </w:r>
      <w:r>
        <w:rPr>
          <w:rFonts w:hint="eastAsia" w:ascii="宋体" w:hAnsi="宋体" w:cs="宋体"/>
          <w:kern w:val="0"/>
          <w:szCs w:val="24"/>
          <w:lang w:val="zh-CN"/>
        </w:rPr>
        <w:t>元，按当年价格比上年上涨</w:t>
      </w:r>
      <w:r>
        <w:rPr>
          <w:rFonts w:eastAsia="Times New Roman"/>
          <w:kern w:val="0"/>
          <w:szCs w:val="24"/>
          <w:lang w:val="zh-CN"/>
        </w:rPr>
        <w:t>6.7%</w:t>
      </w:r>
      <w:r>
        <w:rPr>
          <w:rFonts w:hint="eastAsia" w:ascii="宋体" w:hAnsi="宋体" w:cs="宋体"/>
          <w:kern w:val="0"/>
          <w:szCs w:val="24"/>
          <w:lang w:val="zh-CN"/>
        </w:rPr>
        <w:t>，按可比价格上涨</w:t>
      </w:r>
      <w:r>
        <w:rPr>
          <w:rFonts w:eastAsia="Times New Roman"/>
          <w:kern w:val="0"/>
          <w:szCs w:val="24"/>
          <w:lang w:val="zh-CN"/>
        </w:rPr>
        <w:t>4.5%</w:t>
      </w:r>
      <w:r>
        <w:rPr>
          <w:rFonts w:hint="eastAsia" w:ascii="宋体" w:hAnsi="宋体" w:cs="宋体"/>
          <w:kern w:val="0"/>
          <w:szCs w:val="24"/>
          <w:lang w:val="zh-CN"/>
        </w:rPr>
        <w:t>；人均住院费用</w:t>
      </w:r>
      <w:r>
        <w:rPr>
          <w:rFonts w:eastAsia="Times New Roman"/>
          <w:kern w:val="0"/>
          <w:szCs w:val="24"/>
          <w:lang w:val="zh-CN"/>
        </w:rPr>
        <w:t>9,291.9</w:t>
      </w:r>
      <w:r>
        <w:rPr>
          <w:rFonts w:hint="eastAsia" w:ascii="宋体" w:hAnsi="宋体" w:cs="宋体"/>
          <w:kern w:val="0"/>
          <w:szCs w:val="24"/>
          <w:lang w:val="zh-CN"/>
        </w:rPr>
        <w:t>元，按当年价格比上年上涨</w:t>
      </w:r>
      <w:r>
        <w:rPr>
          <w:rFonts w:eastAsia="Times New Roman"/>
          <w:kern w:val="0"/>
          <w:szCs w:val="24"/>
          <w:lang w:val="zh-CN"/>
        </w:rPr>
        <w:t>4.5%</w:t>
      </w:r>
      <w:r>
        <w:rPr>
          <w:rFonts w:hint="eastAsia" w:ascii="宋体" w:hAnsi="宋体" w:cs="宋体"/>
          <w:kern w:val="0"/>
          <w:szCs w:val="24"/>
          <w:lang w:val="zh-CN"/>
        </w:rPr>
        <w:t>，按可比价格上涨</w:t>
      </w:r>
      <w:r>
        <w:rPr>
          <w:rFonts w:eastAsia="Times New Roman"/>
          <w:kern w:val="0"/>
          <w:szCs w:val="24"/>
          <w:lang w:val="zh-CN"/>
        </w:rPr>
        <w:t>2.4%</w:t>
      </w:r>
      <w:r>
        <w:rPr>
          <w:rFonts w:hint="eastAsia" w:ascii="宋体" w:hAnsi="宋体" w:cs="宋体"/>
          <w:kern w:val="0"/>
          <w:szCs w:val="24"/>
          <w:lang w:val="zh-CN"/>
        </w:rPr>
        <w:t>。日均住院费用</w:t>
      </w:r>
      <w:r>
        <w:rPr>
          <w:rFonts w:eastAsia="Times New Roman"/>
          <w:kern w:val="0"/>
          <w:szCs w:val="24"/>
          <w:lang w:val="zh-CN"/>
        </w:rPr>
        <w:t>1,002.8</w:t>
      </w:r>
      <w:r>
        <w:rPr>
          <w:rFonts w:hint="eastAsia" w:ascii="宋体" w:hAnsi="宋体" w:cs="宋体"/>
          <w:kern w:val="0"/>
          <w:szCs w:val="24"/>
          <w:lang w:val="zh-CN"/>
        </w:rPr>
        <w:t>元。</w:t>
      </w:r>
      <w:r>
        <w:rPr>
          <w:rFonts w:eastAsia="Times New Roman"/>
          <w:kern w:val="0"/>
          <w:szCs w:val="24"/>
          <w:lang w:val="zh-CN"/>
        </w:rPr>
        <w:t>2018</w:t>
      </w:r>
      <w:r>
        <w:rPr>
          <w:rFonts w:hint="eastAsia" w:ascii="宋体" w:hAnsi="宋体" w:cs="宋体"/>
          <w:kern w:val="0"/>
          <w:szCs w:val="24"/>
          <w:lang w:val="zh-CN"/>
        </w:rPr>
        <w:t>年，医院次均门诊药费（</w:t>
      </w:r>
      <w:r>
        <w:rPr>
          <w:rFonts w:eastAsia="Times New Roman"/>
          <w:kern w:val="0"/>
          <w:szCs w:val="24"/>
          <w:lang w:val="zh-CN"/>
        </w:rPr>
        <w:t>112.0</w:t>
      </w:r>
      <w:r>
        <w:rPr>
          <w:rFonts w:hint="eastAsia" w:ascii="宋体" w:hAnsi="宋体" w:cs="宋体"/>
          <w:kern w:val="0"/>
          <w:szCs w:val="24"/>
          <w:lang w:val="zh-CN"/>
        </w:rPr>
        <w:t>元）占</w:t>
      </w:r>
      <w:r>
        <w:rPr>
          <w:rFonts w:eastAsia="Times New Roman"/>
          <w:kern w:val="0"/>
          <w:szCs w:val="24"/>
          <w:lang w:val="zh-CN"/>
        </w:rPr>
        <w:t>40.9%</w:t>
      </w:r>
      <w:r>
        <w:rPr>
          <w:rFonts w:hint="eastAsia" w:ascii="宋体" w:hAnsi="宋体" w:cs="宋体"/>
          <w:kern w:val="0"/>
          <w:szCs w:val="24"/>
          <w:lang w:val="zh-CN"/>
        </w:rPr>
        <w:t>，比上年（</w:t>
      </w:r>
      <w:r>
        <w:rPr>
          <w:rFonts w:eastAsia="Times New Roman"/>
          <w:kern w:val="0"/>
          <w:szCs w:val="24"/>
          <w:lang w:val="zh-CN"/>
        </w:rPr>
        <w:t>42.7%</w:t>
      </w:r>
      <w:r>
        <w:rPr>
          <w:rFonts w:hint="eastAsia" w:ascii="宋体" w:hAnsi="宋体" w:cs="宋体"/>
          <w:kern w:val="0"/>
          <w:szCs w:val="24"/>
          <w:lang w:val="zh-CN"/>
        </w:rPr>
        <w:t>）下降</w:t>
      </w:r>
      <w:r>
        <w:rPr>
          <w:rFonts w:eastAsia="Times New Roman"/>
          <w:kern w:val="0"/>
          <w:szCs w:val="24"/>
          <w:lang w:val="zh-CN"/>
        </w:rPr>
        <w:t>1.8</w:t>
      </w:r>
      <w:r>
        <w:rPr>
          <w:rFonts w:hint="eastAsia" w:ascii="宋体" w:hAnsi="宋体" w:cs="宋体"/>
          <w:kern w:val="0"/>
          <w:szCs w:val="24"/>
          <w:lang w:val="zh-CN"/>
        </w:rPr>
        <w:t>个百分点；医院人均住院药费（</w:t>
      </w:r>
      <w:r>
        <w:rPr>
          <w:rFonts w:eastAsia="Times New Roman"/>
          <w:kern w:val="0"/>
          <w:szCs w:val="24"/>
          <w:lang w:val="zh-CN"/>
        </w:rPr>
        <w:t>2,621.6</w:t>
      </w:r>
      <w:r>
        <w:rPr>
          <w:rFonts w:hint="eastAsia" w:ascii="宋体" w:hAnsi="宋体" w:cs="宋体"/>
          <w:kern w:val="0"/>
          <w:szCs w:val="24"/>
          <w:lang w:val="zh-CN"/>
        </w:rPr>
        <w:t>元）占</w:t>
      </w:r>
      <w:r>
        <w:rPr>
          <w:rFonts w:eastAsia="Times New Roman"/>
          <w:kern w:val="0"/>
          <w:szCs w:val="24"/>
          <w:lang w:val="zh-CN"/>
        </w:rPr>
        <w:t>28.2%</w:t>
      </w:r>
      <w:r>
        <w:rPr>
          <w:rFonts w:hint="eastAsia" w:ascii="宋体" w:hAnsi="宋体" w:cs="宋体"/>
          <w:kern w:val="0"/>
          <w:szCs w:val="24"/>
          <w:lang w:val="zh-CN"/>
        </w:rPr>
        <w:t>，比上年（</w:t>
      </w:r>
      <w:r>
        <w:rPr>
          <w:rFonts w:eastAsia="Times New Roman"/>
          <w:kern w:val="0"/>
          <w:szCs w:val="24"/>
          <w:lang w:val="zh-CN"/>
        </w:rPr>
        <w:t>31.1%</w:t>
      </w:r>
      <w:r>
        <w:rPr>
          <w:rFonts w:hint="eastAsia" w:ascii="宋体" w:hAnsi="宋体" w:cs="宋体"/>
          <w:kern w:val="0"/>
          <w:szCs w:val="24"/>
          <w:lang w:val="zh-CN"/>
        </w:rPr>
        <w:t>）下降</w:t>
      </w:r>
      <w:r>
        <w:rPr>
          <w:rFonts w:eastAsia="Times New Roman"/>
          <w:kern w:val="0"/>
          <w:szCs w:val="24"/>
          <w:lang w:val="zh-CN"/>
        </w:rPr>
        <w:t>2.9</w:t>
      </w:r>
      <w:r>
        <w:rPr>
          <w:rFonts w:hint="eastAsia" w:ascii="宋体" w:hAnsi="宋体" w:cs="宋体"/>
          <w:kern w:val="0"/>
          <w:szCs w:val="24"/>
          <w:lang w:val="zh-CN"/>
        </w:rPr>
        <w:t>个百分点。（</w:t>
      </w:r>
      <w:r>
        <w:rPr>
          <w:rFonts w:eastAsia="Times New Roman"/>
          <w:kern w:val="0"/>
          <w:szCs w:val="24"/>
          <w:lang w:val="zh-CN"/>
        </w:rPr>
        <w:t>2</w:t>
      </w:r>
      <w:r>
        <w:rPr>
          <w:rFonts w:hint="eastAsia" w:ascii="宋体" w:hAnsi="宋体" w:cs="宋体"/>
          <w:kern w:val="0"/>
          <w:szCs w:val="24"/>
          <w:lang w:val="zh-CN"/>
        </w:rPr>
        <w:t>）根据</w:t>
      </w:r>
      <w:r>
        <w:rPr>
          <w:rFonts w:eastAsia="Times New Roman"/>
          <w:kern w:val="0"/>
          <w:szCs w:val="24"/>
          <w:lang w:val="zh-CN"/>
        </w:rPr>
        <w:t>2018</w:t>
      </w:r>
      <w:r>
        <w:rPr>
          <w:rFonts w:hint="eastAsia" w:ascii="宋体" w:hAnsi="宋体" w:cs="宋体"/>
          <w:kern w:val="0"/>
          <w:szCs w:val="24"/>
          <w:lang w:val="zh-CN"/>
        </w:rPr>
        <w:t>年我国卫生健康事业发展统计公报，中国居民人均预期寿命由</w:t>
      </w:r>
      <w:r>
        <w:rPr>
          <w:rFonts w:eastAsia="Times New Roman"/>
          <w:kern w:val="0"/>
          <w:szCs w:val="24"/>
          <w:lang w:val="zh-CN"/>
        </w:rPr>
        <w:t>2017</w:t>
      </w:r>
      <w:r>
        <w:rPr>
          <w:rFonts w:hint="eastAsia" w:ascii="宋体" w:hAnsi="宋体" w:cs="宋体"/>
          <w:kern w:val="0"/>
          <w:szCs w:val="24"/>
          <w:lang w:val="zh-CN"/>
        </w:rPr>
        <w:t>年的</w:t>
      </w:r>
      <w:r>
        <w:rPr>
          <w:rFonts w:eastAsia="Times New Roman"/>
          <w:kern w:val="0"/>
          <w:szCs w:val="24"/>
          <w:lang w:val="zh-CN"/>
        </w:rPr>
        <w:t>76.7</w:t>
      </w:r>
      <w:r>
        <w:rPr>
          <w:rFonts w:hint="eastAsia" w:ascii="宋体" w:hAnsi="宋体" w:cs="宋体"/>
          <w:kern w:val="0"/>
          <w:szCs w:val="24"/>
          <w:lang w:val="zh-CN"/>
        </w:rPr>
        <w:t>岁提高到</w:t>
      </w:r>
      <w:r>
        <w:rPr>
          <w:rFonts w:eastAsia="Times New Roman"/>
          <w:kern w:val="0"/>
          <w:szCs w:val="24"/>
          <w:lang w:val="zh-CN"/>
        </w:rPr>
        <w:t>2018</w:t>
      </w:r>
      <w:r>
        <w:rPr>
          <w:rFonts w:hint="eastAsia" w:ascii="宋体" w:hAnsi="宋体" w:cs="宋体"/>
          <w:kern w:val="0"/>
          <w:szCs w:val="24"/>
          <w:lang w:val="zh-CN"/>
        </w:rPr>
        <w:t>年的</w:t>
      </w:r>
      <w:r>
        <w:rPr>
          <w:rFonts w:eastAsia="Times New Roman"/>
          <w:kern w:val="0"/>
          <w:szCs w:val="24"/>
          <w:lang w:val="zh-CN"/>
        </w:rPr>
        <w:t>77.0</w:t>
      </w:r>
      <w:r>
        <w:rPr>
          <w:rFonts w:hint="eastAsia" w:ascii="宋体" w:hAnsi="宋体" w:cs="宋体"/>
          <w:kern w:val="0"/>
          <w:szCs w:val="24"/>
          <w:lang w:val="zh-CN"/>
        </w:rPr>
        <w:t>岁。</w:t>
      </w:r>
      <w:r>
        <w:rPr>
          <w:rFonts w:eastAsia="Times New Roman"/>
          <w:kern w:val="0"/>
          <w:szCs w:val="24"/>
          <w:lang w:val="zh-CN"/>
        </w:rPr>
        <w:t>2018</w:t>
      </w:r>
      <w:r>
        <w:rPr>
          <w:rFonts w:hint="eastAsia" w:ascii="宋体" w:hAnsi="宋体" w:cs="宋体"/>
          <w:kern w:val="0"/>
          <w:szCs w:val="24"/>
          <w:lang w:val="zh-CN"/>
        </w:rPr>
        <w:t>年，我国老龄化人口（</w:t>
      </w:r>
      <w:r>
        <w:rPr>
          <w:rFonts w:eastAsia="Times New Roman"/>
          <w:kern w:val="0"/>
          <w:szCs w:val="24"/>
          <w:lang w:val="zh-CN"/>
        </w:rPr>
        <w:t>65</w:t>
      </w:r>
      <w:r>
        <w:rPr>
          <w:rFonts w:hint="eastAsia" w:ascii="宋体" w:hAnsi="宋体" w:cs="宋体"/>
          <w:kern w:val="0"/>
          <w:szCs w:val="24"/>
          <w:lang w:val="zh-CN"/>
        </w:rPr>
        <w:t>岁以上）占总人口超过</w:t>
      </w:r>
      <w:r>
        <w:rPr>
          <w:rFonts w:eastAsia="Times New Roman"/>
          <w:kern w:val="0"/>
          <w:szCs w:val="24"/>
          <w:lang w:val="zh-CN"/>
        </w:rPr>
        <w:t>10%</w:t>
      </w:r>
      <w:r>
        <w:rPr>
          <w:rFonts w:hint="eastAsia" w:ascii="宋体" w:hAnsi="宋体" w:cs="宋体"/>
          <w:kern w:val="0"/>
          <w:szCs w:val="24"/>
          <w:lang w:val="zh-CN"/>
        </w:rPr>
        <w:t>。随着中国老龄化社会的程度加剧及分级诊疗政策下家庭医生模式的推广，家庭慢病管理的需求也在不断增加，以此带动糖尿病快检、心梗快检及家用凝血市场的发展。同时，借助大数据和互联网的发展，对于老年健康、慢病管理方面的研究中，体外诊断产品和技术将在预防、早筛、治疗、筛选药物以及治疗预后的监护当中发挥重要作用。</w:t>
      </w:r>
    </w:p>
    <w:p>
      <w:pPr>
        <w:autoSpaceDE w:val="0"/>
        <w:autoSpaceDN w:val="0"/>
        <w:adjustRightInd w:val="0"/>
        <w:ind w:firstLine="360"/>
        <w:rPr>
          <w:rFonts w:eastAsia="Times New Roman"/>
          <w:kern w:val="0"/>
          <w:szCs w:val="24"/>
          <w:lang w:val="zh-CN"/>
        </w:rPr>
      </w:pPr>
      <w:r>
        <w:rPr>
          <w:rFonts w:hint="eastAsia" w:ascii="宋体" w:hAnsi="宋体" w:cs="宋体"/>
          <w:kern w:val="0"/>
          <w:szCs w:val="24"/>
          <w:lang w:val="zh-CN"/>
        </w:rPr>
        <w:t>三是医保控费、分级诊疗推进，对行业企业控制成本、渠道下沉提出更高要求。</w:t>
      </w:r>
      <w:r>
        <w:rPr>
          <w:rFonts w:eastAsia="Times New Roman"/>
          <w:kern w:val="0"/>
          <w:szCs w:val="24"/>
          <w:lang w:val="zh-CN"/>
        </w:rPr>
        <w:t>IVD</w:t>
      </w:r>
      <w:r>
        <w:rPr>
          <w:rFonts w:hint="eastAsia" w:ascii="宋体" w:hAnsi="宋体" w:cs="宋体"/>
          <w:kern w:val="0"/>
          <w:szCs w:val="24"/>
          <w:lang w:val="zh-CN"/>
        </w:rPr>
        <w:t>属于疾病诊疗必备前提，与大型影像设备检查相比价格低，占医疗费用比例小，患者对检查费用的敏感度较低，因此加大体外诊断的投入是医院不断提升医疗服务和诊疗水平的一个重要手段，医疗体外诊断需求未来将保持快速增长趋势。此外，医保控费使得医院在检验质量与成本控制之间不断再平衡，国产优质</w:t>
      </w:r>
      <w:r>
        <w:rPr>
          <w:rFonts w:eastAsia="Times New Roman"/>
          <w:kern w:val="0"/>
          <w:szCs w:val="24"/>
          <w:lang w:val="zh-CN"/>
        </w:rPr>
        <w:t>IVD</w:t>
      </w:r>
      <w:r>
        <w:rPr>
          <w:rFonts w:hint="eastAsia" w:ascii="宋体" w:hAnsi="宋体" w:cs="宋体"/>
          <w:kern w:val="0"/>
          <w:szCs w:val="24"/>
          <w:lang w:val="zh-CN"/>
        </w:rPr>
        <w:t>产品逐渐获得进口替代机会，政策加速了进口替代进程，对进口产品代理业务形成挤压。在基层医院，分级诊疗政策落地一方面使得基层医院诊疗量增加，一方面配备基本检验设备的需求也逐渐加大，考验行业企业渠道下沉能力，检验价格的下调也对行业企业的成本控制提出挑战。</w:t>
      </w:r>
    </w:p>
    <w:p>
      <w:pPr>
        <w:autoSpaceDE w:val="0"/>
        <w:autoSpaceDN w:val="0"/>
        <w:adjustRightInd w:val="0"/>
        <w:ind w:firstLine="360"/>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年，随着市场环境的变化和行业政策改革，公司管理层围绕董事会制定的年度经营计划和目标，坚持</w:t>
      </w:r>
      <w:r>
        <w:rPr>
          <w:rFonts w:eastAsia="Times New Roman"/>
          <w:kern w:val="0"/>
          <w:szCs w:val="24"/>
          <w:lang w:val="zh-CN"/>
        </w:rPr>
        <w:t>“</w:t>
      </w:r>
      <w:r>
        <w:rPr>
          <w:rFonts w:asciiTheme="minorEastAsia" w:hAnsiTheme="minorEastAsia" w:eastAsiaTheme="minorEastAsia"/>
          <w:kern w:val="0"/>
          <w:szCs w:val="24"/>
          <w:lang w:val="zh-CN"/>
        </w:rPr>
        <w:t>以</w:t>
      </w:r>
      <w:r>
        <w:rPr>
          <w:rFonts w:hint="eastAsia" w:ascii="宋体" w:hAnsi="宋体" w:cs="宋体"/>
          <w:kern w:val="0"/>
          <w:szCs w:val="24"/>
          <w:lang w:val="zh-CN"/>
        </w:rPr>
        <w:t>体外诊断仪器为引擎，体外诊断产品为核心，体外诊断产品</w:t>
      </w:r>
      <w:r>
        <w:rPr>
          <w:rFonts w:eastAsia="Times New Roman"/>
          <w:kern w:val="0"/>
          <w:szCs w:val="24"/>
          <w:lang w:val="zh-CN"/>
        </w:rPr>
        <w:t>+</w:t>
      </w:r>
      <w:r>
        <w:rPr>
          <w:rFonts w:hint="eastAsia" w:ascii="宋体" w:hAnsi="宋体" w:cs="宋体"/>
          <w:kern w:val="0"/>
          <w:szCs w:val="24"/>
          <w:lang w:val="zh-CN"/>
        </w:rPr>
        <w:t>诊断服务协同发展</w:t>
      </w:r>
      <w:r>
        <w:rPr>
          <w:rFonts w:eastAsia="Times New Roman"/>
          <w:kern w:val="0"/>
          <w:szCs w:val="24"/>
          <w:lang w:val="zh-CN"/>
        </w:rPr>
        <w:t>”</w:t>
      </w:r>
      <w:r>
        <w:rPr>
          <w:rFonts w:hint="eastAsia" w:ascii="宋体" w:hAnsi="宋体" w:cs="宋体"/>
          <w:kern w:val="0"/>
          <w:szCs w:val="24"/>
          <w:lang w:val="zh-CN"/>
        </w:rPr>
        <w:t>的战略规划，狠抓生产经营，积极推进公司自产产品的发展，加大技术创新和产品优化力度，巩固和提升公司核心竞争力，公司主营产品生化产品、诊断服务等业务收入保持稳定增长。</w:t>
      </w:r>
    </w:p>
    <w:p>
      <w:pPr>
        <w:ind w:firstLine="360"/>
        <w:jc w:val="left"/>
        <w:rPr>
          <w:rFonts w:ascii="宋体" w:cs="宋体"/>
          <w:kern w:val="0"/>
          <w:szCs w:val="24"/>
          <w:lang w:val="zh-CN"/>
        </w:rPr>
      </w:pPr>
      <w:r>
        <w:rPr>
          <w:rFonts w:hint="eastAsia" w:ascii="宋体" w:hAnsi="宋体" w:cs="宋体"/>
          <w:kern w:val="0"/>
          <w:szCs w:val="24"/>
          <w:lang w:val="zh-CN"/>
        </w:rPr>
        <w:t>报告期内，公司实现营业总收入</w:t>
      </w:r>
      <w:r>
        <w:rPr>
          <w:kern w:val="0"/>
          <w:szCs w:val="24"/>
          <w:lang w:val="zh-CN"/>
        </w:rPr>
        <w:t>313,344.77</w:t>
      </w:r>
      <w:r>
        <w:rPr>
          <w:rFonts w:hint="eastAsia" w:ascii="宋体" w:hAnsi="宋体" w:cs="宋体"/>
          <w:kern w:val="0"/>
          <w:szCs w:val="24"/>
          <w:lang w:val="zh-CN"/>
        </w:rPr>
        <w:t>万元，较上年同期下降</w:t>
      </w:r>
      <w:r>
        <w:rPr>
          <w:kern w:val="0"/>
          <w:szCs w:val="24"/>
          <w:lang w:val="zh-CN"/>
        </w:rPr>
        <w:t>0.05%</w:t>
      </w:r>
      <w:r>
        <w:rPr>
          <w:rFonts w:hint="eastAsia" w:ascii="宋体" w:hAnsi="宋体" w:cs="宋体"/>
          <w:kern w:val="0"/>
          <w:szCs w:val="24"/>
          <w:lang w:val="zh-CN"/>
        </w:rPr>
        <w:t>；归属于上市公司股东的净利润为</w:t>
      </w:r>
      <w:r>
        <w:rPr>
          <w:rFonts w:ascii="宋体" w:hAnsi="宋体" w:cs="宋体"/>
          <w:kern w:val="0"/>
          <w:szCs w:val="24"/>
          <w:lang w:val="zh-CN"/>
        </w:rPr>
        <w:t>-</w:t>
      </w:r>
      <w:r>
        <w:rPr>
          <w:kern w:val="0"/>
          <w:szCs w:val="24"/>
          <w:lang w:val="zh-CN"/>
        </w:rPr>
        <w:t>55,991.22</w:t>
      </w:r>
      <w:r>
        <w:rPr>
          <w:rFonts w:hint="eastAsia" w:ascii="宋体" w:hAnsi="宋体" w:cs="宋体"/>
          <w:kern w:val="0"/>
          <w:szCs w:val="24"/>
          <w:lang w:val="zh-CN"/>
        </w:rPr>
        <w:t>万元，较上年同期下降</w:t>
      </w:r>
      <w:r>
        <w:rPr>
          <w:kern w:val="0"/>
          <w:szCs w:val="24"/>
          <w:lang w:val="zh-CN"/>
        </w:rPr>
        <w:t>332.16</w:t>
      </w:r>
      <w:r>
        <w:rPr>
          <w:rFonts w:ascii="宋体" w:hAnsi="宋体" w:cs="宋体"/>
          <w:kern w:val="0"/>
          <w:szCs w:val="24"/>
          <w:lang w:val="zh-CN"/>
        </w:rPr>
        <w:t>%</w:t>
      </w:r>
      <w:r>
        <w:rPr>
          <w:rFonts w:hint="eastAsia" w:ascii="宋体" w:hAnsi="宋体" w:cs="宋体"/>
          <w:kern w:val="0"/>
          <w:szCs w:val="24"/>
          <w:lang w:val="zh-CN"/>
        </w:rPr>
        <w:t>。公司结合收购子公司的代理业务实际运营情况及行业政策变化等因素，根据《企业会计准则》相关规定和监管层相关要求，对前期因收购杭州倚天、上饶新安略、伯明翰美康、浙江涌捷等形成的商誉计提减值损失以及无形资产计提减值损失合计</w:t>
      </w:r>
      <w:r>
        <w:rPr>
          <w:kern w:val="0"/>
          <w:szCs w:val="24"/>
          <w:lang w:val="zh-CN"/>
        </w:rPr>
        <w:t>77</w:t>
      </w:r>
      <w:r>
        <w:rPr>
          <w:rFonts w:hint="eastAsia"/>
          <w:kern w:val="0"/>
          <w:szCs w:val="24"/>
          <w:lang w:val="zh-CN"/>
        </w:rPr>
        <w:t>,6</w:t>
      </w:r>
      <w:r>
        <w:rPr>
          <w:kern w:val="0"/>
          <w:szCs w:val="24"/>
          <w:lang w:val="zh-CN"/>
        </w:rPr>
        <w:t>37.67</w:t>
      </w:r>
      <w:r>
        <w:rPr>
          <w:rFonts w:hint="eastAsia" w:ascii="宋体" w:hAnsi="宋体" w:cs="宋体"/>
          <w:kern w:val="0"/>
          <w:szCs w:val="24"/>
          <w:lang w:val="zh-CN"/>
        </w:rPr>
        <w:t>万元，导致归属于上市公司股东的净利润出现亏损。</w:t>
      </w:r>
    </w:p>
    <w:p>
      <w:pPr>
        <w:autoSpaceDE w:val="0"/>
        <w:autoSpaceDN w:val="0"/>
        <w:adjustRightInd w:val="0"/>
        <w:ind w:left="180" w:firstLine="180"/>
        <w:rPr>
          <w:rFonts w:eastAsia="Times New Roman"/>
          <w:kern w:val="0"/>
          <w:szCs w:val="24"/>
          <w:lang w:val="zh-CN"/>
        </w:rPr>
      </w:pPr>
      <w:r>
        <w:rPr>
          <w:rFonts w:hint="eastAsia" w:ascii="宋体" w:hAnsi="宋体" w:cs="宋体"/>
          <w:kern w:val="0"/>
          <w:szCs w:val="24"/>
          <w:lang w:val="zh-CN"/>
        </w:rPr>
        <w:t>报告期内，公司的经营计划完成情况如下：</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1</w:t>
      </w:r>
      <w:r>
        <w:rPr>
          <w:rFonts w:hint="eastAsia" w:ascii="宋体" w:hAnsi="宋体" w:cs="宋体"/>
          <w:kern w:val="0"/>
          <w:szCs w:val="24"/>
          <w:lang w:val="zh-CN"/>
        </w:rPr>
        <w:t>、坚持自主研发创新，不断提升研发能力</w:t>
      </w:r>
    </w:p>
    <w:p>
      <w:pPr>
        <w:autoSpaceDE w:val="0"/>
        <w:autoSpaceDN w:val="0"/>
        <w:adjustRightInd w:val="0"/>
        <w:spacing w:before="0" w:after="0"/>
        <w:ind w:firstLine="360"/>
        <w:jc w:val="left"/>
        <w:rPr>
          <w:rFonts w:eastAsia="Times New Roman"/>
          <w:kern w:val="0"/>
          <w:szCs w:val="24"/>
          <w:lang w:val="zh-CN"/>
        </w:rPr>
      </w:pPr>
      <w:r>
        <w:rPr>
          <w:rFonts w:hint="eastAsia" w:ascii="宋体" w:hAnsi="宋体" w:cs="宋体"/>
          <w:kern w:val="0"/>
          <w:szCs w:val="24"/>
          <w:lang w:val="zh-CN"/>
        </w:rPr>
        <w:t>报告期内，公司坚持自主创新，继续加大对产品研发的投入，研发投入</w:t>
      </w:r>
      <w:r>
        <w:rPr>
          <w:rFonts w:eastAsiaTheme="minorEastAsia"/>
          <w:kern w:val="0"/>
          <w:szCs w:val="24"/>
          <w:lang w:val="zh-CN"/>
        </w:rPr>
        <w:t>12</w:t>
      </w:r>
      <w:r>
        <w:rPr>
          <w:rFonts w:hint="eastAsia" w:eastAsiaTheme="minorEastAsia"/>
          <w:kern w:val="0"/>
          <w:szCs w:val="24"/>
          <w:lang w:val="zh-CN"/>
        </w:rPr>
        <w:t>,8</w:t>
      </w:r>
      <w:r>
        <w:rPr>
          <w:rFonts w:eastAsiaTheme="minorEastAsia"/>
          <w:kern w:val="0"/>
          <w:szCs w:val="24"/>
          <w:lang w:val="zh-CN"/>
        </w:rPr>
        <w:t>26.02</w:t>
      </w:r>
      <w:r>
        <w:rPr>
          <w:rFonts w:hint="eastAsia" w:ascii="宋体" w:hAnsi="宋体" w:cs="宋体"/>
          <w:kern w:val="0"/>
          <w:szCs w:val="24"/>
          <w:lang w:val="zh-CN"/>
        </w:rPr>
        <w:t>万元，比上年同期增加了</w:t>
      </w:r>
      <w:r>
        <w:rPr>
          <w:rFonts w:eastAsiaTheme="minorEastAsia"/>
          <w:kern w:val="0"/>
          <w:szCs w:val="24"/>
          <w:lang w:val="zh-CN"/>
        </w:rPr>
        <w:t>16.98</w:t>
      </w:r>
      <w:r>
        <w:rPr>
          <w:rFonts w:eastAsia="Times New Roman"/>
          <w:kern w:val="0"/>
          <w:szCs w:val="24"/>
          <w:lang w:val="zh-CN"/>
        </w:rPr>
        <w:t>%</w:t>
      </w:r>
      <w:r>
        <w:rPr>
          <w:rFonts w:hint="eastAsia" w:ascii="宋体" w:hAnsi="宋体" w:cs="宋体"/>
          <w:kern w:val="0"/>
          <w:szCs w:val="24"/>
          <w:lang w:val="zh-CN"/>
        </w:rPr>
        <w:t>，保持研发技术的创新性与先进性，不断提升技术创新和新产品开发实力。报告期内公司在研发方面取得阶段性成果如下：</w:t>
      </w:r>
    </w:p>
    <w:p>
      <w:pPr>
        <w:autoSpaceDE w:val="0"/>
        <w:autoSpaceDN w:val="0"/>
        <w:adjustRightInd w:val="0"/>
        <w:spacing w:before="0" w:after="0"/>
        <w:ind w:firstLine="360"/>
        <w:jc w:val="left"/>
        <w:rPr>
          <w:rFonts w:eastAsia="Times New Roman"/>
          <w:kern w:val="0"/>
          <w:szCs w:val="24"/>
          <w:lang w:val="zh-CN"/>
        </w:rPr>
      </w:pPr>
      <w:r>
        <w:rPr>
          <w:rFonts w:hint="eastAsia" w:ascii="宋体" w:hAnsi="宋体" w:cs="宋体"/>
          <w:kern w:val="0"/>
          <w:szCs w:val="24"/>
          <w:lang w:val="zh-CN"/>
        </w:rPr>
        <w:t>公司高速生化分析仪</w:t>
      </w:r>
      <w:r>
        <w:rPr>
          <w:rFonts w:eastAsia="Times New Roman"/>
          <w:kern w:val="0"/>
          <w:szCs w:val="24"/>
          <w:lang w:val="zh-CN"/>
        </w:rPr>
        <w:t>MS-2080</w:t>
      </w:r>
      <w:r>
        <w:rPr>
          <w:rFonts w:hint="eastAsia" w:ascii="宋体" w:hAnsi="宋体" w:cs="宋体"/>
          <w:kern w:val="0"/>
          <w:szCs w:val="24"/>
          <w:lang w:val="zh-CN"/>
        </w:rPr>
        <w:t>、中速生化分析仪</w:t>
      </w:r>
      <w:r>
        <w:rPr>
          <w:rFonts w:eastAsia="Times New Roman"/>
          <w:kern w:val="0"/>
          <w:szCs w:val="24"/>
          <w:lang w:val="zh-CN"/>
        </w:rPr>
        <w:t>MS-680</w:t>
      </w:r>
      <w:r>
        <w:rPr>
          <w:rFonts w:hint="eastAsia" w:ascii="宋体" w:hAnsi="宋体" w:cs="宋体"/>
          <w:kern w:val="0"/>
          <w:szCs w:val="24"/>
          <w:lang w:val="zh-CN"/>
        </w:rPr>
        <w:t>取得注册证获准生产上市，标志着公司生化分析仪从低端到中高端已全面布局完成，能全面满足各级医疗机构的需求；</w:t>
      </w:r>
    </w:p>
    <w:p>
      <w:pPr>
        <w:autoSpaceDE w:val="0"/>
        <w:autoSpaceDN w:val="0"/>
        <w:adjustRightInd w:val="0"/>
        <w:spacing w:before="0" w:after="0"/>
        <w:ind w:firstLine="360"/>
        <w:jc w:val="left"/>
        <w:rPr>
          <w:rFonts w:eastAsia="Times New Roman"/>
          <w:kern w:val="0"/>
          <w:szCs w:val="24"/>
          <w:lang w:val="zh-CN"/>
        </w:rPr>
      </w:pPr>
      <w:r>
        <w:rPr>
          <w:rFonts w:hint="eastAsia" w:ascii="宋体" w:hAnsi="宋体" w:cs="宋体"/>
          <w:kern w:val="0"/>
          <w:szCs w:val="24"/>
          <w:lang w:val="zh-CN"/>
        </w:rPr>
        <w:t>公司获得包括甲功、性激素、糖代谢、心肌等共计</w:t>
      </w:r>
      <w:r>
        <w:rPr>
          <w:rFonts w:eastAsia="Times New Roman"/>
          <w:kern w:val="0"/>
          <w:szCs w:val="24"/>
          <w:lang w:val="zh-CN"/>
        </w:rPr>
        <w:t>24</w:t>
      </w:r>
      <w:r>
        <w:rPr>
          <w:rFonts w:hint="eastAsia" w:ascii="宋体" w:hAnsi="宋体" w:cs="宋体"/>
          <w:kern w:val="0"/>
          <w:szCs w:val="24"/>
          <w:lang w:val="zh-CN"/>
        </w:rPr>
        <w:t>项化学发光产品注册证，进一步完善和丰富了公司产品线，为公司未来发展提供新的增长点；</w:t>
      </w:r>
    </w:p>
    <w:p>
      <w:pPr>
        <w:autoSpaceDE w:val="0"/>
        <w:autoSpaceDN w:val="0"/>
        <w:adjustRightInd w:val="0"/>
        <w:spacing w:before="0" w:after="0"/>
        <w:ind w:firstLine="360"/>
        <w:jc w:val="left"/>
        <w:rPr>
          <w:rFonts w:eastAsia="Times New Roman"/>
          <w:kern w:val="0"/>
          <w:szCs w:val="24"/>
          <w:lang w:val="zh-CN"/>
        </w:rPr>
      </w:pPr>
      <w:r>
        <w:rPr>
          <w:rFonts w:hint="eastAsia" w:ascii="宋体" w:hAnsi="宋体" w:cs="宋体"/>
          <w:kern w:val="0"/>
          <w:szCs w:val="24"/>
          <w:lang w:val="zh-CN"/>
        </w:rPr>
        <w:t>公司将从美国引进的先进</w:t>
      </w:r>
      <w:r>
        <w:rPr>
          <w:rFonts w:eastAsia="Times New Roman"/>
          <w:kern w:val="0"/>
          <w:szCs w:val="24"/>
          <w:lang w:val="zh-CN"/>
        </w:rPr>
        <w:t>VAP</w:t>
      </w:r>
      <w:r>
        <w:rPr>
          <w:rFonts w:hint="eastAsia" w:ascii="宋体" w:hAnsi="宋体" w:cs="宋体"/>
          <w:kern w:val="0"/>
          <w:szCs w:val="24"/>
          <w:lang w:val="zh-CN"/>
        </w:rPr>
        <w:t>血脂亚组分检测技术成功在国内进行研发注册，取得</w:t>
      </w:r>
      <w:r>
        <w:rPr>
          <w:rFonts w:eastAsia="Times New Roman"/>
          <w:kern w:val="0"/>
          <w:szCs w:val="24"/>
          <w:lang w:val="zh-CN"/>
        </w:rPr>
        <w:t>VAP</w:t>
      </w:r>
      <w:r>
        <w:rPr>
          <w:rFonts w:hint="eastAsia" w:ascii="宋体" w:hAnsi="宋体" w:cs="宋体"/>
          <w:kern w:val="0"/>
          <w:szCs w:val="24"/>
          <w:lang w:val="zh-CN"/>
        </w:rPr>
        <w:t>血脂分型仪器和试剂</w:t>
      </w:r>
      <w:r>
        <w:rPr>
          <w:rFonts w:eastAsia="Times New Roman"/>
          <w:kern w:val="0"/>
          <w:szCs w:val="24"/>
          <w:lang w:val="zh-CN"/>
        </w:rPr>
        <w:t>2</w:t>
      </w:r>
      <w:r>
        <w:rPr>
          <w:rFonts w:hint="eastAsia" w:ascii="宋体" w:hAnsi="宋体" w:cs="宋体"/>
          <w:kern w:val="0"/>
          <w:szCs w:val="24"/>
          <w:lang w:val="zh-CN"/>
        </w:rPr>
        <w:t>项注册证，进一步丰富和完善公司产品线，</w:t>
      </w:r>
      <w:r>
        <w:rPr>
          <w:rFonts w:eastAsia="Times New Roman"/>
          <w:kern w:val="0"/>
          <w:szCs w:val="24"/>
          <w:lang w:val="zh-CN"/>
        </w:rPr>
        <w:t>VAP</w:t>
      </w:r>
      <w:r>
        <w:rPr>
          <w:rFonts w:hint="eastAsia" w:ascii="宋体" w:hAnsi="宋体" w:cs="宋体"/>
          <w:kern w:val="0"/>
          <w:szCs w:val="24"/>
          <w:lang w:val="zh-CN"/>
        </w:rPr>
        <w:t>血脂亚组分检测技术能全面及时发现血脂的代谢异常及紊乱，更加精准地发现心血管疾病的风险因素，克服了当前基础血脂检测的不足，为临床提供精准全面的心血管疾病诊断治疗依据，较传统血脂检测更早提出健康保健意见，对公司进入心血管疾病检测领域具有积极意义。</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2</w:t>
      </w:r>
      <w:r>
        <w:rPr>
          <w:rFonts w:hint="eastAsia" w:ascii="宋体" w:hAnsi="宋体" w:cs="宋体"/>
          <w:kern w:val="0"/>
          <w:szCs w:val="24"/>
          <w:lang w:val="zh-CN"/>
        </w:rPr>
        <w:t>、优化市场结构，聚焦公司主营业务</w:t>
      </w:r>
    </w:p>
    <w:p>
      <w:pPr>
        <w:autoSpaceDE w:val="0"/>
        <w:autoSpaceDN w:val="0"/>
        <w:adjustRightInd w:val="0"/>
        <w:spacing w:before="0" w:after="0"/>
        <w:ind w:firstLine="360"/>
        <w:jc w:val="left"/>
        <w:rPr>
          <w:rFonts w:eastAsia="Times New Roman"/>
          <w:kern w:val="0"/>
          <w:szCs w:val="24"/>
          <w:lang w:val="zh-CN"/>
        </w:rPr>
      </w:pPr>
      <w:r>
        <w:rPr>
          <w:rFonts w:hint="eastAsia" w:ascii="宋体" w:hAnsi="宋体" w:cs="宋体"/>
          <w:kern w:val="0"/>
          <w:szCs w:val="24"/>
          <w:lang w:val="zh-CN"/>
        </w:rPr>
        <w:t>报告期内，公司坚持</w:t>
      </w:r>
      <w:r>
        <w:rPr>
          <w:rFonts w:eastAsia="Times New Roman"/>
          <w:kern w:val="0"/>
          <w:szCs w:val="24"/>
          <w:lang w:val="zh-CN"/>
        </w:rPr>
        <w:t>“</w:t>
      </w:r>
      <w:r>
        <w:rPr>
          <w:rFonts w:hint="eastAsia" w:ascii="宋体" w:hAnsi="宋体" w:cs="宋体"/>
          <w:kern w:val="0"/>
          <w:szCs w:val="24"/>
          <w:lang w:val="zh-CN"/>
        </w:rPr>
        <w:t>以市场为导向，以客户为中心</w:t>
      </w:r>
      <w:r>
        <w:rPr>
          <w:rFonts w:eastAsia="Times New Roman"/>
          <w:kern w:val="0"/>
          <w:szCs w:val="24"/>
          <w:lang w:val="zh-CN"/>
        </w:rPr>
        <w:t>”</w:t>
      </w:r>
      <w:r>
        <w:rPr>
          <w:rFonts w:hint="eastAsia" w:ascii="宋体" w:hAnsi="宋体" w:cs="宋体"/>
          <w:kern w:val="0"/>
          <w:szCs w:val="24"/>
          <w:lang w:val="zh-CN"/>
        </w:rPr>
        <w:t>，围绕公司发展战略，结合市场实际加快业务拓展，一方面，充分利用公司现有的覆盖全国的营销网络，进一步深入的与当地拥有良好的区域性渠道优势和客户资源经销商的合作，加强对经销商的业务及技术培训，使其在产品种类、市场覆盖、销售渠道等方面与公司协同发展，加大对新产品的推广力度，从而提升公司竞争力，满足公司整体战略布局的需要，</w:t>
      </w:r>
      <w:r>
        <w:rPr>
          <w:rFonts w:eastAsia="Times New Roman"/>
          <w:kern w:val="0"/>
          <w:szCs w:val="24"/>
          <w:lang w:val="zh-CN"/>
        </w:rPr>
        <w:t xml:space="preserve"> </w:t>
      </w:r>
      <w:r>
        <w:rPr>
          <w:rFonts w:hint="eastAsia" w:ascii="宋体" w:hAnsi="宋体" w:cs="宋体"/>
          <w:kern w:val="0"/>
          <w:szCs w:val="24"/>
          <w:lang w:val="zh-CN"/>
        </w:rPr>
        <w:t>另一方面，公司积极响应国家分级诊疗及慢病管理的相关政策，通过科学规划，实现区域内检验资源的合理分配及诊断信息的互联互通。凭借完善的质量管理体系、丰富的检测项目，医检所大力助推分级诊疗的快速落地，加快各级医疗机构信息化改革的步伐，全面提升区域内医学检验（病理）的专业技术能力、管理水平与服务品质；同时，公司对现有的项目进行梳理，剥离不良资产，集中资源聚焦发展以自产产品为核心的主营业务，更好的实现</w:t>
      </w:r>
      <w:r>
        <w:rPr>
          <w:rFonts w:eastAsia="Times New Roman"/>
          <w:kern w:val="0"/>
          <w:szCs w:val="24"/>
          <w:lang w:val="zh-CN"/>
        </w:rPr>
        <w:t>“</w:t>
      </w:r>
      <w:r>
        <w:rPr>
          <w:rFonts w:hint="eastAsia" w:ascii="宋体" w:hAnsi="宋体" w:cs="宋体"/>
          <w:kern w:val="0"/>
          <w:szCs w:val="24"/>
          <w:lang w:val="zh-CN"/>
        </w:rPr>
        <w:t>体外诊断产品</w:t>
      </w:r>
      <w:r>
        <w:rPr>
          <w:rFonts w:eastAsia="Times New Roman"/>
          <w:kern w:val="0"/>
          <w:szCs w:val="24"/>
          <w:lang w:val="zh-CN"/>
        </w:rPr>
        <w:t>+</w:t>
      </w:r>
      <w:r>
        <w:rPr>
          <w:rFonts w:hint="eastAsia" w:ascii="宋体" w:hAnsi="宋体" w:cs="宋体"/>
          <w:kern w:val="0"/>
          <w:szCs w:val="24"/>
          <w:lang w:val="zh-CN"/>
        </w:rPr>
        <w:t>体外诊断服务</w:t>
      </w:r>
      <w:r>
        <w:rPr>
          <w:rFonts w:eastAsia="Times New Roman"/>
          <w:kern w:val="0"/>
          <w:szCs w:val="24"/>
          <w:lang w:val="zh-CN"/>
        </w:rPr>
        <w:t>”</w:t>
      </w:r>
      <w:r>
        <w:rPr>
          <w:rFonts w:hint="eastAsia" w:ascii="宋体" w:hAnsi="宋体" w:cs="宋体"/>
          <w:kern w:val="0"/>
          <w:szCs w:val="24"/>
          <w:lang w:val="zh-CN"/>
        </w:rPr>
        <w:t>的协同发展。</w:t>
      </w:r>
      <w:r>
        <w:rPr>
          <w:rFonts w:eastAsia="Times New Roman"/>
          <w:kern w:val="0"/>
          <w:szCs w:val="24"/>
          <w:lang w:val="zh-CN"/>
        </w:rPr>
        <w:t xml:space="preserve"> </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3</w:t>
      </w:r>
      <w:r>
        <w:rPr>
          <w:rFonts w:hint="eastAsia" w:ascii="宋体" w:hAnsi="宋体" w:cs="宋体"/>
          <w:kern w:val="0"/>
          <w:szCs w:val="24"/>
          <w:lang w:val="zh-CN"/>
        </w:rPr>
        <w:t>、市场营销</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年，公司市场部定期组织各区域产品培训，对公司的品牌及重点产品进行有效的宣导。同时，公司参加和组织了多场全国性会展会议，积极举办行业高端论坛、专业研讨会，参加数十个学术及专业展览会等。拥有</w:t>
      </w:r>
      <w:r>
        <w:rPr>
          <w:rFonts w:eastAsia="Times New Roman"/>
          <w:kern w:val="0"/>
          <w:szCs w:val="24"/>
          <w:lang w:val="zh-CN"/>
        </w:rPr>
        <w:t>600</w:t>
      </w:r>
      <w:r>
        <w:rPr>
          <w:rFonts w:hint="eastAsia" w:ascii="宋体" w:hAnsi="宋体" w:cs="宋体"/>
          <w:kern w:val="0"/>
          <w:szCs w:val="24"/>
          <w:lang w:val="zh-CN"/>
        </w:rPr>
        <w:t>多人专家库。并且，公司每年还自主举办各种产品推广会、学术研讨会、品牌宣传等营销活动逾百次。此外，公司还在多家行业主流媒体刊物上发表技术文章、专案，进行技术交流探讨，广告投放等。灵活丰富的营销措施有力地拓展了营销渠道，进一步提升了公司的品牌影响力，为公司的新老客户展现了公司专业完善的医学检验集约化系统供应商企业形象。</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年参加的国内重点展会包括：</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3</w:t>
      </w:r>
      <w:r>
        <w:rPr>
          <w:rFonts w:hint="eastAsia" w:ascii="宋体" w:hAnsi="宋体" w:cs="宋体"/>
          <w:kern w:val="0"/>
          <w:szCs w:val="24"/>
          <w:lang w:val="zh-CN"/>
        </w:rPr>
        <w:t>月</w:t>
      </w:r>
      <w:r>
        <w:rPr>
          <w:rFonts w:eastAsia="Times New Roman"/>
          <w:kern w:val="0"/>
          <w:szCs w:val="24"/>
          <w:lang w:val="zh-CN"/>
        </w:rPr>
        <w:tab/>
      </w:r>
      <w:r>
        <w:rPr>
          <w:rFonts w:hint="eastAsia" w:ascii="宋体" w:hAnsi="宋体" w:cs="宋体"/>
          <w:kern w:val="0"/>
          <w:szCs w:val="24"/>
          <w:lang w:val="zh-CN"/>
        </w:rPr>
        <w:t>南昌</w:t>
      </w:r>
      <w:r>
        <w:rPr>
          <w:rFonts w:eastAsia="Times New Roman"/>
          <w:kern w:val="0"/>
          <w:szCs w:val="24"/>
          <w:lang w:val="zh-CN"/>
        </w:rPr>
        <w:tab/>
      </w:r>
      <w:r>
        <w:rPr>
          <w:rFonts w:eastAsia="Times New Roman"/>
          <w:kern w:val="0"/>
          <w:szCs w:val="24"/>
          <w:lang w:val="zh-CN"/>
        </w:rPr>
        <w:tab/>
      </w:r>
      <w:r>
        <w:rPr>
          <w:rFonts w:hint="eastAsia" w:ascii="宋体" w:hAnsi="宋体" w:cs="宋体"/>
          <w:kern w:val="0"/>
          <w:szCs w:val="24"/>
          <w:lang w:val="zh-CN"/>
        </w:rPr>
        <w:t>第十六届中国（国际）检验医学暨输血仪器试剂博览会</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3</w:t>
      </w:r>
      <w:r>
        <w:rPr>
          <w:rFonts w:hint="eastAsia" w:ascii="宋体" w:hAnsi="宋体" w:cs="宋体"/>
          <w:kern w:val="0"/>
          <w:szCs w:val="24"/>
          <w:lang w:val="zh-CN"/>
        </w:rPr>
        <w:t>月</w:t>
      </w:r>
      <w:r>
        <w:rPr>
          <w:rFonts w:eastAsia="Times New Roman"/>
          <w:kern w:val="0"/>
          <w:szCs w:val="24"/>
          <w:lang w:val="zh-CN"/>
        </w:rPr>
        <w:tab/>
      </w:r>
      <w:r>
        <w:rPr>
          <w:rFonts w:hint="eastAsia" w:ascii="宋体" w:hAnsi="宋体" w:cs="宋体"/>
          <w:kern w:val="0"/>
          <w:szCs w:val="24"/>
          <w:lang w:val="zh-CN"/>
        </w:rPr>
        <w:t>杭州</w:t>
      </w:r>
      <w:r>
        <w:rPr>
          <w:rFonts w:eastAsia="Times New Roman"/>
          <w:kern w:val="0"/>
          <w:szCs w:val="24"/>
          <w:lang w:val="zh-CN"/>
        </w:rPr>
        <w:tab/>
      </w:r>
      <w:r>
        <w:rPr>
          <w:rFonts w:eastAsia="Times New Roman"/>
          <w:kern w:val="0"/>
          <w:szCs w:val="24"/>
          <w:lang w:val="zh-CN"/>
        </w:rPr>
        <w:tab/>
      </w:r>
      <w:r>
        <w:rPr>
          <w:rFonts w:hint="eastAsia" w:ascii="宋体" w:hAnsi="宋体" w:cs="宋体"/>
          <w:kern w:val="0"/>
          <w:szCs w:val="24"/>
          <w:lang w:val="zh-CN"/>
        </w:rPr>
        <w:t>浙江春季医疗仪器设备展览会</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5</w:t>
      </w:r>
      <w:r>
        <w:rPr>
          <w:rFonts w:hint="eastAsia" w:ascii="宋体" w:hAnsi="宋体" w:cs="宋体"/>
          <w:kern w:val="0"/>
          <w:szCs w:val="24"/>
          <w:lang w:val="zh-CN"/>
        </w:rPr>
        <w:t>月</w:t>
      </w:r>
      <w:r>
        <w:rPr>
          <w:rFonts w:eastAsia="Times New Roman"/>
          <w:kern w:val="0"/>
          <w:szCs w:val="24"/>
          <w:lang w:val="zh-CN"/>
        </w:rPr>
        <w:tab/>
      </w:r>
      <w:r>
        <w:rPr>
          <w:rFonts w:hint="eastAsia" w:ascii="宋体" w:hAnsi="宋体" w:cs="宋体"/>
          <w:kern w:val="0"/>
          <w:szCs w:val="24"/>
          <w:lang w:val="zh-CN"/>
        </w:rPr>
        <w:t>上海</w:t>
      </w:r>
      <w:r>
        <w:rPr>
          <w:rFonts w:eastAsia="Times New Roman"/>
          <w:kern w:val="0"/>
          <w:szCs w:val="24"/>
          <w:lang w:val="zh-CN"/>
        </w:rPr>
        <w:tab/>
      </w:r>
      <w:r>
        <w:rPr>
          <w:rFonts w:eastAsia="Times New Roman"/>
          <w:kern w:val="0"/>
          <w:szCs w:val="24"/>
          <w:lang w:val="zh-CN"/>
        </w:rPr>
        <w:tab/>
      </w:r>
      <w:r>
        <w:rPr>
          <w:rFonts w:hint="eastAsia" w:ascii="宋体" w:hAnsi="宋体" w:cs="宋体"/>
          <w:kern w:val="0"/>
          <w:szCs w:val="24"/>
          <w:lang w:val="zh-CN"/>
        </w:rPr>
        <w:t>第</w:t>
      </w:r>
      <w:r>
        <w:rPr>
          <w:rFonts w:eastAsia="Times New Roman"/>
          <w:kern w:val="0"/>
          <w:szCs w:val="24"/>
          <w:lang w:val="zh-CN"/>
        </w:rPr>
        <w:t>81</w:t>
      </w:r>
      <w:r>
        <w:rPr>
          <w:rFonts w:hint="eastAsia" w:ascii="宋体" w:hAnsi="宋体" w:cs="宋体"/>
          <w:kern w:val="0"/>
          <w:szCs w:val="24"/>
          <w:lang w:val="zh-CN"/>
        </w:rPr>
        <w:t>届中国国际医疗器械（春季）博览会</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5</w:t>
      </w:r>
      <w:r>
        <w:rPr>
          <w:rFonts w:hint="eastAsia" w:ascii="宋体" w:hAnsi="宋体" w:cs="宋体"/>
          <w:kern w:val="0"/>
          <w:szCs w:val="24"/>
          <w:lang w:val="zh-CN"/>
        </w:rPr>
        <w:t>月</w:t>
      </w:r>
      <w:r>
        <w:rPr>
          <w:rFonts w:eastAsia="Times New Roman"/>
          <w:kern w:val="0"/>
          <w:szCs w:val="24"/>
          <w:lang w:val="zh-CN"/>
        </w:rPr>
        <w:tab/>
      </w:r>
      <w:r>
        <w:rPr>
          <w:rFonts w:hint="eastAsia" w:ascii="宋体" w:hAnsi="宋体" w:cs="宋体"/>
          <w:kern w:val="0"/>
          <w:szCs w:val="24"/>
          <w:lang w:val="zh-CN"/>
        </w:rPr>
        <w:t>杭州</w:t>
      </w:r>
      <w:r>
        <w:rPr>
          <w:rFonts w:eastAsia="Times New Roman"/>
          <w:kern w:val="0"/>
          <w:szCs w:val="24"/>
          <w:lang w:val="zh-CN"/>
        </w:rPr>
        <w:tab/>
      </w:r>
      <w:r>
        <w:rPr>
          <w:rFonts w:eastAsia="Times New Roman"/>
          <w:kern w:val="0"/>
          <w:szCs w:val="24"/>
          <w:lang w:val="zh-CN"/>
        </w:rPr>
        <w:tab/>
      </w:r>
      <w:r>
        <w:rPr>
          <w:rFonts w:hint="eastAsia" w:ascii="宋体" w:hAnsi="宋体" w:cs="宋体"/>
          <w:kern w:val="0"/>
          <w:szCs w:val="24"/>
          <w:lang w:val="zh-CN"/>
        </w:rPr>
        <w:t>中国医师协会检验医师年会暨第十三届全国检验与临床学术会议</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5</w:t>
      </w:r>
      <w:r>
        <w:rPr>
          <w:rFonts w:hint="eastAsia" w:ascii="宋体" w:hAnsi="宋体" w:cs="宋体"/>
          <w:kern w:val="0"/>
          <w:szCs w:val="24"/>
          <w:lang w:val="zh-CN"/>
        </w:rPr>
        <w:t>月</w:t>
      </w:r>
      <w:r>
        <w:rPr>
          <w:rFonts w:eastAsia="Times New Roman"/>
          <w:kern w:val="0"/>
          <w:szCs w:val="24"/>
          <w:lang w:val="zh-CN"/>
        </w:rPr>
        <w:tab/>
      </w:r>
      <w:r>
        <w:rPr>
          <w:rFonts w:hint="eastAsia" w:ascii="宋体" w:hAnsi="宋体" w:cs="宋体"/>
          <w:kern w:val="0"/>
          <w:szCs w:val="24"/>
          <w:lang w:val="zh-CN"/>
        </w:rPr>
        <w:t>深圳</w:t>
      </w:r>
      <w:r>
        <w:rPr>
          <w:rFonts w:eastAsia="Times New Roman"/>
          <w:kern w:val="0"/>
          <w:szCs w:val="24"/>
          <w:lang w:val="zh-CN"/>
        </w:rPr>
        <w:tab/>
      </w:r>
      <w:r>
        <w:rPr>
          <w:rFonts w:eastAsia="Times New Roman"/>
          <w:kern w:val="0"/>
          <w:szCs w:val="24"/>
          <w:lang w:val="zh-CN"/>
        </w:rPr>
        <w:tab/>
      </w:r>
      <w:r>
        <w:rPr>
          <w:rFonts w:hint="eastAsia" w:ascii="宋体" w:hAnsi="宋体" w:cs="宋体"/>
          <w:kern w:val="0"/>
          <w:szCs w:val="24"/>
          <w:lang w:val="zh-CN"/>
        </w:rPr>
        <w:t>中国研究型医院学会检验医学专业委员会</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6</w:t>
      </w:r>
      <w:r>
        <w:rPr>
          <w:rFonts w:hint="eastAsia" w:ascii="宋体" w:hAnsi="宋体" w:cs="宋体"/>
          <w:kern w:val="0"/>
          <w:szCs w:val="24"/>
          <w:lang w:val="zh-CN"/>
        </w:rPr>
        <w:t>月</w:t>
      </w:r>
      <w:r>
        <w:rPr>
          <w:rFonts w:eastAsia="Times New Roman"/>
          <w:kern w:val="0"/>
          <w:szCs w:val="24"/>
          <w:lang w:val="zh-CN"/>
        </w:rPr>
        <w:tab/>
      </w:r>
      <w:r>
        <w:rPr>
          <w:rFonts w:hint="eastAsia" w:ascii="宋体" w:hAnsi="宋体" w:cs="宋体"/>
          <w:kern w:val="0"/>
          <w:szCs w:val="24"/>
          <w:lang w:val="zh-CN"/>
        </w:rPr>
        <w:t>成都</w:t>
      </w:r>
      <w:r>
        <w:rPr>
          <w:rFonts w:eastAsia="Times New Roman"/>
          <w:kern w:val="0"/>
          <w:szCs w:val="24"/>
          <w:lang w:val="zh-CN"/>
        </w:rPr>
        <w:tab/>
      </w:r>
      <w:r>
        <w:rPr>
          <w:rFonts w:eastAsia="Times New Roman"/>
          <w:kern w:val="0"/>
          <w:szCs w:val="24"/>
          <w:lang w:val="zh-CN"/>
        </w:rPr>
        <w:tab/>
      </w:r>
      <w:r>
        <w:rPr>
          <w:rFonts w:hint="eastAsia" w:ascii="宋体" w:hAnsi="宋体" w:cs="宋体"/>
          <w:kern w:val="0"/>
          <w:szCs w:val="24"/>
          <w:lang w:val="zh-CN"/>
        </w:rPr>
        <w:t>第六次全国中西医结合学会检验医学学术会议</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8</w:t>
      </w:r>
      <w:r>
        <w:rPr>
          <w:rFonts w:hint="eastAsia" w:ascii="宋体" w:hAnsi="宋体" w:cs="宋体"/>
          <w:kern w:val="0"/>
          <w:szCs w:val="24"/>
          <w:lang w:val="zh-CN"/>
        </w:rPr>
        <w:t>月</w:t>
      </w:r>
      <w:r>
        <w:rPr>
          <w:rFonts w:eastAsia="Times New Roman"/>
          <w:kern w:val="0"/>
          <w:szCs w:val="24"/>
          <w:lang w:val="zh-CN"/>
        </w:rPr>
        <w:tab/>
      </w:r>
      <w:r>
        <w:rPr>
          <w:rFonts w:hint="eastAsia" w:ascii="宋体" w:hAnsi="宋体" w:cs="宋体"/>
          <w:kern w:val="0"/>
          <w:szCs w:val="24"/>
          <w:lang w:val="zh-CN"/>
        </w:rPr>
        <w:t>杭州</w:t>
      </w:r>
      <w:r>
        <w:rPr>
          <w:rFonts w:eastAsia="Times New Roman"/>
          <w:kern w:val="0"/>
          <w:szCs w:val="24"/>
          <w:lang w:val="zh-CN"/>
        </w:rPr>
        <w:tab/>
      </w:r>
      <w:r>
        <w:rPr>
          <w:rFonts w:eastAsia="Times New Roman"/>
          <w:kern w:val="0"/>
          <w:szCs w:val="24"/>
          <w:lang w:val="zh-CN"/>
        </w:rPr>
        <w:tab/>
      </w:r>
      <w:r>
        <w:rPr>
          <w:rFonts w:hint="eastAsia" w:ascii="宋体" w:hAnsi="宋体" w:cs="宋体"/>
          <w:kern w:val="0"/>
          <w:szCs w:val="24"/>
          <w:lang w:val="zh-CN"/>
        </w:rPr>
        <w:t>第十六届浙江基层医疗器械展会</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9</w:t>
      </w:r>
      <w:r>
        <w:rPr>
          <w:rFonts w:hint="eastAsia" w:ascii="宋体" w:hAnsi="宋体" w:cs="宋体"/>
          <w:kern w:val="0"/>
          <w:szCs w:val="24"/>
          <w:lang w:val="zh-CN"/>
        </w:rPr>
        <w:t>月</w:t>
      </w:r>
      <w:r>
        <w:rPr>
          <w:rFonts w:eastAsia="Times New Roman"/>
          <w:kern w:val="0"/>
          <w:szCs w:val="24"/>
          <w:lang w:val="zh-CN"/>
        </w:rPr>
        <w:tab/>
      </w:r>
      <w:r>
        <w:rPr>
          <w:rFonts w:hint="eastAsia" w:ascii="宋体" w:hAnsi="宋体" w:cs="宋体"/>
          <w:kern w:val="0"/>
          <w:szCs w:val="24"/>
          <w:lang w:val="zh-CN"/>
        </w:rPr>
        <w:t>青岛</w:t>
      </w:r>
      <w:r>
        <w:rPr>
          <w:rFonts w:eastAsia="Times New Roman"/>
          <w:kern w:val="0"/>
          <w:szCs w:val="24"/>
          <w:lang w:val="zh-CN"/>
        </w:rPr>
        <w:tab/>
      </w:r>
      <w:r>
        <w:rPr>
          <w:rFonts w:eastAsia="Times New Roman"/>
          <w:kern w:val="0"/>
          <w:szCs w:val="24"/>
          <w:lang w:val="zh-CN"/>
        </w:rPr>
        <w:tab/>
      </w:r>
      <w:r>
        <w:rPr>
          <w:rFonts w:hint="eastAsia" w:ascii="宋体" w:hAnsi="宋体" w:cs="宋体"/>
          <w:kern w:val="0"/>
          <w:szCs w:val="24"/>
          <w:lang w:val="zh-CN"/>
        </w:rPr>
        <w:t>世界华人医师年会暨中国智慧医疗高峰论坛</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10</w:t>
      </w:r>
      <w:r>
        <w:rPr>
          <w:rFonts w:hint="eastAsia" w:ascii="宋体" w:hAnsi="宋体" w:cs="宋体"/>
          <w:kern w:val="0"/>
          <w:szCs w:val="24"/>
          <w:lang w:val="zh-CN"/>
        </w:rPr>
        <w:t>月</w:t>
      </w:r>
      <w:r>
        <w:rPr>
          <w:rFonts w:ascii="宋体" w:cs="宋体"/>
          <w:kern w:val="0"/>
          <w:szCs w:val="24"/>
          <w:lang w:val="zh-CN"/>
        </w:rPr>
        <w:tab/>
      </w:r>
      <w:r>
        <w:rPr>
          <w:rFonts w:hint="eastAsia" w:ascii="宋体" w:hAnsi="宋体" w:cs="宋体"/>
          <w:kern w:val="0"/>
          <w:szCs w:val="24"/>
          <w:lang w:val="zh-CN"/>
        </w:rPr>
        <w:t>青岛</w:t>
      </w:r>
      <w:r>
        <w:rPr>
          <w:rFonts w:eastAsia="Times New Roman"/>
          <w:kern w:val="0"/>
          <w:szCs w:val="24"/>
          <w:lang w:val="zh-CN"/>
        </w:rPr>
        <w:tab/>
      </w:r>
      <w:r>
        <w:rPr>
          <w:rFonts w:eastAsia="Times New Roman"/>
          <w:kern w:val="0"/>
          <w:szCs w:val="24"/>
          <w:lang w:val="zh-CN"/>
        </w:rPr>
        <w:tab/>
      </w:r>
      <w:r>
        <w:rPr>
          <w:rFonts w:hint="eastAsia" w:ascii="宋体" w:hAnsi="宋体" w:cs="宋体"/>
          <w:kern w:val="0"/>
          <w:szCs w:val="24"/>
          <w:lang w:val="zh-CN"/>
        </w:rPr>
        <w:t>第</w:t>
      </w:r>
      <w:r>
        <w:rPr>
          <w:rFonts w:eastAsia="Times New Roman"/>
          <w:kern w:val="0"/>
          <w:szCs w:val="24"/>
          <w:lang w:val="zh-CN"/>
        </w:rPr>
        <w:t>82</w:t>
      </w:r>
      <w:r>
        <w:rPr>
          <w:rFonts w:hint="eastAsia" w:ascii="宋体" w:hAnsi="宋体" w:cs="宋体"/>
          <w:kern w:val="0"/>
          <w:szCs w:val="24"/>
          <w:lang w:val="zh-CN"/>
        </w:rPr>
        <w:t>届中国国际医疗器械（秋季）博览会</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11</w:t>
      </w:r>
      <w:r>
        <w:rPr>
          <w:rFonts w:hint="eastAsia" w:ascii="宋体" w:hAnsi="宋体" w:cs="宋体"/>
          <w:kern w:val="0"/>
          <w:szCs w:val="24"/>
          <w:lang w:val="zh-CN"/>
        </w:rPr>
        <w:t>月</w:t>
      </w:r>
      <w:r>
        <w:rPr>
          <w:rFonts w:eastAsia="Times New Roman"/>
          <w:kern w:val="0"/>
          <w:szCs w:val="24"/>
          <w:lang w:val="zh-CN"/>
        </w:rPr>
        <w:tab/>
      </w:r>
      <w:r>
        <w:rPr>
          <w:rFonts w:hint="eastAsia" w:ascii="宋体" w:hAnsi="宋体" w:cs="宋体"/>
          <w:kern w:val="0"/>
          <w:szCs w:val="24"/>
          <w:lang w:val="zh-CN"/>
        </w:rPr>
        <w:t>成都</w:t>
      </w:r>
      <w:r>
        <w:rPr>
          <w:rFonts w:eastAsia="Times New Roman"/>
          <w:kern w:val="0"/>
          <w:szCs w:val="24"/>
          <w:lang w:val="zh-CN"/>
        </w:rPr>
        <w:tab/>
      </w:r>
      <w:r>
        <w:rPr>
          <w:rFonts w:eastAsia="Times New Roman"/>
          <w:kern w:val="0"/>
          <w:szCs w:val="24"/>
          <w:lang w:val="zh-CN"/>
        </w:rPr>
        <w:tab/>
      </w:r>
      <w:r>
        <w:rPr>
          <w:rFonts w:hint="eastAsia" w:ascii="宋体" w:hAnsi="宋体" w:cs="宋体"/>
          <w:kern w:val="0"/>
          <w:szCs w:val="24"/>
          <w:lang w:val="zh-CN"/>
        </w:rPr>
        <w:t>第十一届全国临床实验室管理学术会议</w:t>
      </w:r>
    </w:p>
    <w:p>
      <w:pPr>
        <w:autoSpaceDE w:val="0"/>
        <w:autoSpaceDN w:val="0"/>
        <w:adjustRightInd w:val="0"/>
        <w:spacing w:before="0" w:after="0"/>
        <w:ind w:firstLine="360"/>
        <w:jc w:val="left"/>
        <w:rPr>
          <w:rFonts w:eastAsia="Times New Roman"/>
          <w:kern w:val="0"/>
          <w:szCs w:val="24"/>
          <w:lang w:val="zh-CN"/>
        </w:rPr>
      </w:pPr>
      <w:r>
        <w:rPr>
          <w:rFonts w:hint="eastAsia" w:ascii="宋体" w:hAnsi="宋体" w:cs="宋体"/>
          <w:kern w:val="0"/>
          <w:szCs w:val="24"/>
          <w:lang w:val="zh-CN"/>
        </w:rPr>
        <w:t>同时，公司在</w:t>
      </w:r>
      <w:r>
        <w:rPr>
          <w:rFonts w:eastAsia="Times New Roman"/>
          <w:kern w:val="0"/>
          <w:szCs w:val="24"/>
          <w:lang w:val="zh-CN"/>
        </w:rPr>
        <w:t>2019</w:t>
      </w:r>
      <w:r>
        <w:rPr>
          <w:rFonts w:hint="eastAsia" w:ascii="宋体" w:hAnsi="宋体" w:cs="宋体"/>
          <w:kern w:val="0"/>
          <w:szCs w:val="24"/>
          <w:lang w:val="zh-CN"/>
        </w:rPr>
        <w:t>年积极开拓国际市场，采用区域合作、代理、设立销售代表处等多种方式进入国际市场，寻找商业机会，重点抓住新兴市场国家和发展中国家市场，树立</w:t>
      </w:r>
      <w:r>
        <w:rPr>
          <w:rFonts w:eastAsia="Times New Roman"/>
          <w:kern w:val="0"/>
          <w:szCs w:val="24"/>
          <w:lang w:val="zh-CN"/>
        </w:rPr>
        <w:t>“</w:t>
      </w:r>
      <w:r>
        <w:rPr>
          <w:rFonts w:hint="eastAsia" w:ascii="宋体" w:hAnsi="宋体" w:cs="宋体"/>
          <w:kern w:val="0"/>
          <w:szCs w:val="24"/>
          <w:lang w:val="zh-CN"/>
        </w:rPr>
        <w:t>美康</w:t>
      </w:r>
      <w:r>
        <w:rPr>
          <w:rFonts w:eastAsia="Times New Roman"/>
          <w:kern w:val="0"/>
          <w:szCs w:val="24"/>
          <w:lang w:val="zh-CN"/>
        </w:rPr>
        <w:t>”</w:t>
      </w:r>
      <w:r>
        <w:rPr>
          <w:rFonts w:hint="eastAsia" w:ascii="宋体" w:hAnsi="宋体" w:cs="宋体"/>
          <w:kern w:val="0"/>
          <w:szCs w:val="24"/>
          <w:lang w:val="zh-CN"/>
        </w:rPr>
        <w:t>品牌的国际形象。</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年参加的国际重点展会包括：</w:t>
      </w:r>
    </w:p>
    <w:p>
      <w:pPr>
        <w:autoSpaceDE w:val="0"/>
        <w:autoSpaceDN w:val="0"/>
        <w:adjustRightInd w:val="0"/>
        <w:spacing w:before="0" w:after="0"/>
        <w:ind w:firstLine="360"/>
        <w:rPr>
          <w:rFonts w:eastAsia="Times New Roman"/>
          <w:kern w:val="0"/>
          <w:szCs w:val="24"/>
          <w:lang w:val="zh-CN"/>
        </w:rPr>
      </w:pPr>
      <w:r>
        <w:rPr>
          <w:rFonts w:hint="eastAsia" w:ascii="宋体" w:hAnsi="宋体" w:cs="宋体"/>
          <w:kern w:val="0"/>
          <w:szCs w:val="24"/>
          <w:lang w:val="zh-CN"/>
        </w:rPr>
        <w:t>迪拜</w:t>
      </w:r>
      <w:r>
        <w:rPr>
          <w:rFonts w:eastAsia="Times New Roman"/>
          <w:kern w:val="0"/>
          <w:szCs w:val="24"/>
          <w:lang w:val="zh-CN"/>
        </w:rPr>
        <w:tab/>
      </w:r>
      <w:r>
        <w:rPr>
          <w:rFonts w:eastAsiaTheme="minorEastAsia"/>
          <w:kern w:val="0"/>
          <w:szCs w:val="24"/>
          <w:lang w:val="zh-CN"/>
        </w:rPr>
        <w:tab/>
      </w:r>
      <w:r>
        <w:rPr>
          <w:rFonts w:eastAsiaTheme="minorEastAsia"/>
          <w:kern w:val="0"/>
          <w:szCs w:val="24"/>
          <w:lang w:val="zh-CN"/>
        </w:rPr>
        <w:tab/>
      </w:r>
      <w:r>
        <w:rPr>
          <w:rFonts w:eastAsia="Times New Roman"/>
          <w:kern w:val="0"/>
          <w:szCs w:val="24"/>
          <w:lang w:val="zh-CN"/>
        </w:rPr>
        <w:t>2019</w:t>
      </w:r>
      <w:r>
        <w:rPr>
          <w:rFonts w:hint="eastAsia" w:ascii="宋体" w:hAnsi="宋体" w:cs="宋体"/>
          <w:kern w:val="0"/>
          <w:szCs w:val="24"/>
          <w:lang w:val="zh-CN"/>
        </w:rPr>
        <w:t>年阿联酋迪拜国际医疗器械展览会</w:t>
      </w:r>
      <w:r>
        <w:rPr>
          <w:rFonts w:eastAsia="Times New Roman"/>
          <w:kern w:val="0"/>
          <w:szCs w:val="24"/>
          <w:lang w:val="zh-CN"/>
        </w:rPr>
        <w:t>Arab Health</w:t>
      </w:r>
    </w:p>
    <w:p>
      <w:pPr>
        <w:autoSpaceDE w:val="0"/>
        <w:autoSpaceDN w:val="0"/>
        <w:adjustRightInd w:val="0"/>
        <w:spacing w:before="0" w:after="0"/>
        <w:ind w:firstLine="360"/>
        <w:rPr>
          <w:rFonts w:eastAsia="Times New Roman"/>
          <w:kern w:val="0"/>
          <w:szCs w:val="24"/>
          <w:lang w:val="zh-CN"/>
        </w:rPr>
      </w:pPr>
      <w:r>
        <w:rPr>
          <w:rFonts w:hint="eastAsia" w:ascii="宋体" w:hAnsi="宋体" w:cs="宋体"/>
          <w:kern w:val="0"/>
          <w:szCs w:val="24"/>
          <w:lang w:val="zh-CN"/>
        </w:rPr>
        <w:t>埃及</w:t>
      </w:r>
      <w:r>
        <w:rPr>
          <w:rFonts w:eastAsia="Times New Roman"/>
          <w:kern w:val="0"/>
          <w:szCs w:val="24"/>
          <w:lang w:val="zh-CN"/>
        </w:rPr>
        <w:tab/>
      </w:r>
      <w:r>
        <w:rPr>
          <w:rFonts w:eastAsiaTheme="minorEastAsia"/>
          <w:kern w:val="0"/>
          <w:szCs w:val="24"/>
          <w:lang w:val="zh-CN"/>
        </w:rPr>
        <w:tab/>
      </w:r>
      <w:r>
        <w:rPr>
          <w:rFonts w:eastAsiaTheme="minorEastAsia"/>
          <w:kern w:val="0"/>
          <w:szCs w:val="24"/>
          <w:lang w:val="zh-CN"/>
        </w:rPr>
        <w:tab/>
      </w:r>
      <w:r>
        <w:rPr>
          <w:rFonts w:hint="eastAsia" w:ascii="宋体" w:hAnsi="宋体" w:cs="宋体"/>
          <w:kern w:val="0"/>
          <w:szCs w:val="24"/>
          <w:lang w:val="zh-CN"/>
        </w:rPr>
        <w:t>埃及开罗国际医疗展览会</w:t>
      </w:r>
      <w:r>
        <w:rPr>
          <w:rFonts w:eastAsia="Times New Roman"/>
          <w:kern w:val="0"/>
          <w:szCs w:val="24"/>
          <w:lang w:val="zh-CN"/>
        </w:rPr>
        <w:t>North Africa Health Expo</w:t>
      </w:r>
    </w:p>
    <w:p>
      <w:pPr>
        <w:autoSpaceDE w:val="0"/>
        <w:autoSpaceDN w:val="0"/>
        <w:adjustRightInd w:val="0"/>
        <w:spacing w:before="0" w:after="0"/>
        <w:ind w:firstLine="360"/>
        <w:rPr>
          <w:rFonts w:eastAsia="Times New Roman"/>
          <w:kern w:val="0"/>
          <w:szCs w:val="24"/>
          <w:lang w:val="zh-CN"/>
        </w:rPr>
      </w:pPr>
      <w:r>
        <w:rPr>
          <w:rFonts w:hint="eastAsia" w:ascii="宋体" w:hAnsi="宋体" w:cs="宋体"/>
          <w:kern w:val="0"/>
          <w:szCs w:val="24"/>
          <w:lang w:val="zh-CN"/>
        </w:rPr>
        <w:t>奥兰</w:t>
      </w:r>
      <w:r>
        <w:rPr>
          <w:rFonts w:eastAsia="Times New Roman"/>
          <w:kern w:val="0"/>
          <w:szCs w:val="24"/>
          <w:lang w:val="zh-CN"/>
        </w:rPr>
        <w:tab/>
      </w:r>
      <w:r>
        <w:rPr>
          <w:rFonts w:eastAsiaTheme="minorEastAsia"/>
          <w:kern w:val="0"/>
          <w:szCs w:val="24"/>
          <w:lang w:val="zh-CN"/>
        </w:rPr>
        <w:tab/>
      </w:r>
      <w:r>
        <w:rPr>
          <w:rFonts w:eastAsiaTheme="minorEastAsia"/>
          <w:kern w:val="0"/>
          <w:szCs w:val="24"/>
          <w:lang w:val="zh-CN"/>
        </w:rPr>
        <w:tab/>
      </w:r>
      <w:r>
        <w:rPr>
          <w:rFonts w:hint="eastAsia" w:ascii="宋体" w:hAnsi="宋体" w:cs="宋体"/>
          <w:kern w:val="0"/>
          <w:szCs w:val="24"/>
          <w:lang w:val="zh-CN"/>
        </w:rPr>
        <w:t>阿尔及利亚国际医疗医药展览会</w:t>
      </w:r>
      <w:r>
        <w:rPr>
          <w:rFonts w:eastAsia="Times New Roman"/>
          <w:kern w:val="0"/>
          <w:szCs w:val="24"/>
          <w:lang w:val="zh-CN"/>
        </w:rPr>
        <w:t>Simem</w:t>
      </w:r>
    </w:p>
    <w:p>
      <w:pPr>
        <w:autoSpaceDE w:val="0"/>
        <w:autoSpaceDN w:val="0"/>
        <w:adjustRightInd w:val="0"/>
        <w:spacing w:before="0" w:after="0"/>
        <w:ind w:firstLine="360"/>
        <w:rPr>
          <w:rFonts w:eastAsia="Times New Roman"/>
          <w:kern w:val="0"/>
          <w:szCs w:val="24"/>
          <w:lang w:val="zh-CN"/>
        </w:rPr>
      </w:pPr>
      <w:r>
        <w:rPr>
          <w:rFonts w:hint="eastAsia" w:ascii="宋体" w:hAnsi="宋体" w:cs="宋体"/>
          <w:kern w:val="0"/>
          <w:szCs w:val="24"/>
          <w:lang w:val="zh-CN"/>
        </w:rPr>
        <w:t>杜塞尔多夫</w:t>
      </w:r>
      <w:r>
        <w:rPr>
          <w:rFonts w:eastAsia="Times New Roman"/>
          <w:kern w:val="0"/>
          <w:szCs w:val="24"/>
          <w:lang w:val="zh-CN"/>
        </w:rPr>
        <w:tab/>
      </w:r>
      <w:r>
        <w:rPr>
          <w:rFonts w:eastAsia="Times New Roman"/>
          <w:kern w:val="0"/>
          <w:szCs w:val="24"/>
          <w:lang w:val="zh-CN"/>
        </w:rPr>
        <w:t>2019</w:t>
      </w:r>
      <w:r>
        <w:rPr>
          <w:rFonts w:hint="eastAsia" w:ascii="宋体" w:hAnsi="宋体" w:cs="宋体"/>
          <w:kern w:val="0"/>
          <w:szCs w:val="24"/>
          <w:lang w:val="zh-CN"/>
        </w:rPr>
        <w:t>年德国杜塞尔多夫医疗展</w:t>
      </w:r>
      <w:r>
        <w:rPr>
          <w:rFonts w:eastAsia="Times New Roman"/>
          <w:kern w:val="0"/>
          <w:szCs w:val="24"/>
          <w:lang w:val="zh-CN"/>
        </w:rPr>
        <w:t>MEDICA</w:t>
      </w:r>
    </w:p>
    <w:p>
      <w:pPr>
        <w:autoSpaceDE w:val="0"/>
        <w:autoSpaceDN w:val="0"/>
        <w:adjustRightInd w:val="0"/>
        <w:spacing w:before="0" w:after="0"/>
        <w:ind w:firstLine="360"/>
        <w:rPr>
          <w:rFonts w:eastAsia="Times New Roman"/>
          <w:kern w:val="0"/>
          <w:szCs w:val="24"/>
          <w:lang w:val="zh-CN"/>
        </w:rPr>
      </w:pPr>
      <w:r>
        <w:rPr>
          <w:rFonts w:hint="eastAsia" w:ascii="宋体" w:hAnsi="宋体" w:cs="宋体"/>
          <w:kern w:val="0"/>
          <w:szCs w:val="24"/>
          <w:lang w:val="zh-CN"/>
        </w:rPr>
        <w:t>新德里</w:t>
      </w:r>
      <w:r>
        <w:rPr>
          <w:rFonts w:eastAsia="Times New Roman"/>
          <w:kern w:val="0"/>
          <w:szCs w:val="24"/>
          <w:lang w:val="zh-CN"/>
        </w:rPr>
        <w:tab/>
      </w:r>
      <w:r>
        <w:rPr>
          <w:rFonts w:eastAsiaTheme="minorEastAsia"/>
          <w:kern w:val="0"/>
          <w:szCs w:val="24"/>
          <w:lang w:val="zh-CN"/>
        </w:rPr>
        <w:tab/>
      </w:r>
      <w:r>
        <w:rPr>
          <w:rFonts w:hint="eastAsia" w:ascii="宋体" w:hAnsi="宋体" w:cs="宋体"/>
          <w:kern w:val="0"/>
          <w:szCs w:val="24"/>
          <w:lang w:val="zh-CN"/>
        </w:rPr>
        <w:t>第</w:t>
      </w:r>
      <w:r>
        <w:rPr>
          <w:rFonts w:eastAsia="Times New Roman"/>
          <w:kern w:val="0"/>
          <w:szCs w:val="24"/>
          <w:lang w:val="zh-CN"/>
        </w:rPr>
        <w:t>25</w:t>
      </w:r>
      <w:r>
        <w:rPr>
          <w:rFonts w:hint="eastAsia" w:ascii="宋体" w:hAnsi="宋体" w:cs="宋体"/>
          <w:kern w:val="0"/>
          <w:szCs w:val="24"/>
          <w:lang w:val="zh-CN"/>
        </w:rPr>
        <w:t>届杜塞尔多夫（印度新德里）国际医疗展</w:t>
      </w:r>
    </w:p>
    <w:p>
      <w:pPr>
        <w:autoSpaceDE w:val="0"/>
        <w:autoSpaceDN w:val="0"/>
        <w:adjustRightInd w:val="0"/>
        <w:spacing w:before="0" w:after="0"/>
        <w:ind w:firstLine="360"/>
        <w:rPr>
          <w:rFonts w:eastAsia="Times New Roman"/>
          <w:kern w:val="0"/>
          <w:szCs w:val="24"/>
          <w:lang w:val="zh-CN"/>
        </w:rPr>
      </w:pPr>
      <w:r>
        <w:rPr>
          <w:rFonts w:hint="eastAsia" w:ascii="宋体" w:hAnsi="宋体" w:cs="宋体"/>
          <w:kern w:val="0"/>
          <w:szCs w:val="24"/>
          <w:lang w:val="zh-CN"/>
        </w:rPr>
        <w:t>阿纳海姆</w:t>
      </w:r>
      <w:r>
        <w:rPr>
          <w:rFonts w:eastAsia="Times New Roman"/>
          <w:kern w:val="0"/>
          <w:szCs w:val="24"/>
          <w:lang w:val="zh-CN"/>
        </w:rPr>
        <w:tab/>
      </w:r>
      <w:r>
        <w:rPr>
          <w:rFonts w:eastAsiaTheme="minorEastAsia"/>
          <w:kern w:val="0"/>
          <w:szCs w:val="24"/>
          <w:lang w:val="zh-CN"/>
        </w:rPr>
        <w:tab/>
      </w:r>
      <w:r>
        <w:rPr>
          <w:rFonts w:hint="eastAsia" w:ascii="宋体" w:hAnsi="宋体" w:cs="宋体"/>
          <w:kern w:val="0"/>
          <w:szCs w:val="24"/>
          <w:lang w:val="zh-CN"/>
        </w:rPr>
        <w:t>第</w:t>
      </w:r>
      <w:r>
        <w:rPr>
          <w:rFonts w:eastAsia="Times New Roman"/>
          <w:kern w:val="0"/>
          <w:szCs w:val="24"/>
          <w:lang w:val="zh-CN"/>
        </w:rPr>
        <w:t>71</w:t>
      </w:r>
      <w:r>
        <w:rPr>
          <w:rFonts w:hint="eastAsia" w:ascii="宋体" w:hAnsi="宋体" w:cs="宋体"/>
          <w:kern w:val="0"/>
          <w:szCs w:val="24"/>
          <w:lang w:val="zh-CN"/>
        </w:rPr>
        <w:t>届美国临床化学年会暨临床实验医学博览会</w:t>
      </w:r>
      <w:r>
        <w:rPr>
          <w:rFonts w:eastAsia="Times New Roman"/>
          <w:kern w:val="0"/>
          <w:szCs w:val="24"/>
          <w:lang w:val="zh-CN"/>
        </w:rPr>
        <w:t>AACC</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4</w:t>
      </w:r>
      <w:r>
        <w:rPr>
          <w:rFonts w:hint="eastAsia" w:ascii="宋体" w:hAnsi="宋体" w:cs="宋体"/>
          <w:kern w:val="0"/>
          <w:szCs w:val="24"/>
          <w:lang w:val="zh-CN"/>
        </w:rPr>
        <w:t>、生产和质量管理</w:t>
      </w:r>
    </w:p>
    <w:p>
      <w:pPr>
        <w:autoSpaceDE w:val="0"/>
        <w:autoSpaceDN w:val="0"/>
        <w:adjustRightInd w:val="0"/>
        <w:spacing w:before="0" w:after="0"/>
        <w:ind w:firstLine="360"/>
        <w:jc w:val="left"/>
        <w:rPr>
          <w:rFonts w:eastAsia="Times New Roman"/>
          <w:kern w:val="0"/>
          <w:szCs w:val="24"/>
          <w:lang w:val="zh-CN"/>
        </w:rPr>
      </w:pPr>
      <w:r>
        <w:rPr>
          <w:rFonts w:hint="eastAsia" w:ascii="宋体" w:hAnsi="宋体" w:cs="宋体"/>
          <w:kern w:val="0"/>
          <w:szCs w:val="24"/>
          <w:lang w:val="zh-CN"/>
        </w:rPr>
        <w:t>公司始终坚持</w:t>
      </w:r>
      <w:r>
        <w:rPr>
          <w:rFonts w:eastAsia="Times New Roman"/>
          <w:kern w:val="0"/>
          <w:szCs w:val="24"/>
          <w:lang w:val="zh-CN"/>
        </w:rPr>
        <w:t>“</w:t>
      </w:r>
      <w:r>
        <w:rPr>
          <w:rFonts w:hint="eastAsia" w:ascii="宋体" w:hAnsi="宋体" w:cs="宋体"/>
          <w:kern w:val="0"/>
          <w:szCs w:val="24"/>
          <w:lang w:val="zh-CN"/>
        </w:rPr>
        <w:t>安全第一，质量至上</w:t>
      </w:r>
      <w:r>
        <w:rPr>
          <w:rFonts w:eastAsia="Times New Roman"/>
          <w:kern w:val="0"/>
          <w:szCs w:val="24"/>
          <w:lang w:val="zh-CN"/>
        </w:rPr>
        <w:t>”</w:t>
      </w:r>
      <w:r>
        <w:rPr>
          <w:rFonts w:hint="eastAsia" w:ascii="宋体" w:hAnsi="宋体" w:cs="宋体"/>
          <w:kern w:val="0"/>
          <w:szCs w:val="24"/>
          <w:lang w:val="zh-CN"/>
        </w:rPr>
        <w:t>的原则，以质量为依托，树立品牌形象，满足市场的需求。在生产管理方面，一是重视生产的自动化和信息化建设，提高生产效率；二是严格按照环境和职业健康安全管理体系运行，加强相关生产人员的培训，落实安全生产责任制，为公司快速发展的生产供应提供了有力的保障。</w:t>
      </w:r>
    </w:p>
    <w:p>
      <w:pPr>
        <w:autoSpaceDE w:val="0"/>
        <w:autoSpaceDN w:val="0"/>
        <w:adjustRightInd w:val="0"/>
        <w:spacing w:before="0" w:after="0"/>
        <w:ind w:firstLine="360"/>
        <w:jc w:val="left"/>
        <w:rPr>
          <w:rFonts w:eastAsia="Times New Roman"/>
          <w:kern w:val="0"/>
          <w:szCs w:val="24"/>
          <w:lang w:val="zh-CN"/>
        </w:rPr>
      </w:pPr>
      <w:r>
        <w:rPr>
          <w:rFonts w:hint="eastAsia" w:ascii="宋体" w:hAnsi="宋体" w:cs="宋体"/>
          <w:kern w:val="0"/>
          <w:szCs w:val="24"/>
          <w:lang w:val="zh-CN"/>
        </w:rPr>
        <w:t>在质量管理方面，公司多年连续取得卫生部临床检验中心颁发的</w:t>
      </w:r>
      <w:r>
        <w:rPr>
          <w:rFonts w:eastAsia="Times New Roman"/>
          <w:kern w:val="0"/>
          <w:szCs w:val="24"/>
          <w:lang w:val="zh-CN"/>
        </w:rPr>
        <w:t>“</w:t>
      </w:r>
      <w:r>
        <w:rPr>
          <w:rFonts w:hint="eastAsia" w:ascii="宋体" w:hAnsi="宋体" w:cs="宋体"/>
          <w:kern w:val="0"/>
          <w:szCs w:val="24"/>
          <w:lang w:val="zh-CN"/>
        </w:rPr>
        <w:t>全国常规化学检验室间质评证书</w:t>
      </w:r>
      <w:r>
        <w:rPr>
          <w:rFonts w:eastAsia="Times New Roman"/>
          <w:kern w:val="0"/>
          <w:szCs w:val="24"/>
          <w:lang w:val="zh-CN"/>
        </w:rPr>
        <w:t>”</w:t>
      </w:r>
      <w:r>
        <w:rPr>
          <w:rFonts w:hint="eastAsia" w:ascii="宋体" w:hAnsi="宋体" w:cs="宋体"/>
          <w:kern w:val="0"/>
          <w:szCs w:val="24"/>
          <w:lang w:val="zh-CN"/>
        </w:rPr>
        <w:t>和</w:t>
      </w:r>
      <w:r>
        <w:rPr>
          <w:rFonts w:eastAsia="Times New Roman"/>
          <w:kern w:val="0"/>
          <w:szCs w:val="24"/>
          <w:lang w:val="zh-CN"/>
        </w:rPr>
        <w:t>“</w:t>
      </w:r>
      <w:r>
        <w:rPr>
          <w:rFonts w:hint="eastAsia" w:ascii="宋体" w:hAnsi="宋体" w:cs="宋体"/>
          <w:kern w:val="0"/>
          <w:szCs w:val="24"/>
          <w:lang w:val="zh-CN"/>
        </w:rPr>
        <w:t>全国脂类检验室间质评证书</w:t>
      </w:r>
      <w:r>
        <w:rPr>
          <w:rFonts w:eastAsia="Times New Roman"/>
          <w:kern w:val="0"/>
          <w:szCs w:val="24"/>
          <w:lang w:val="zh-CN"/>
        </w:rPr>
        <w:t>”</w:t>
      </w:r>
      <w:r>
        <w:rPr>
          <w:rFonts w:hint="eastAsia" w:ascii="宋体" w:hAnsi="宋体" w:cs="宋体"/>
          <w:kern w:val="0"/>
          <w:szCs w:val="24"/>
          <w:lang w:val="zh-CN"/>
        </w:rPr>
        <w:t>。</w:t>
      </w:r>
      <w:r>
        <w:rPr>
          <w:rFonts w:eastAsia="Times New Roman"/>
          <w:kern w:val="0"/>
          <w:szCs w:val="24"/>
          <w:lang w:val="zh-CN"/>
        </w:rPr>
        <w:t>2019</w:t>
      </w:r>
      <w:r>
        <w:rPr>
          <w:rFonts w:hint="eastAsia" w:ascii="宋体" w:hAnsi="宋体" w:cs="宋体"/>
          <w:kern w:val="0"/>
          <w:szCs w:val="24"/>
          <w:lang w:val="zh-CN"/>
        </w:rPr>
        <w:t>年参加包括卫生部临检中心等</w:t>
      </w:r>
      <w:r>
        <w:rPr>
          <w:rFonts w:eastAsia="Times New Roman"/>
          <w:kern w:val="0"/>
          <w:szCs w:val="24"/>
          <w:lang w:val="zh-CN"/>
        </w:rPr>
        <w:t>12</w:t>
      </w:r>
      <w:r>
        <w:rPr>
          <w:rFonts w:hint="eastAsia" w:ascii="宋体" w:hAnsi="宋体" w:cs="宋体"/>
          <w:kern w:val="0"/>
          <w:szCs w:val="24"/>
          <w:lang w:val="zh-CN"/>
        </w:rPr>
        <w:t>个机构的</w:t>
      </w:r>
      <w:r>
        <w:rPr>
          <w:rFonts w:eastAsia="Times New Roman"/>
          <w:kern w:val="0"/>
          <w:szCs w:val="24"/>
          <w:lang w:val="zh-CN"/>
        </w:rPr>
        <w:t>457</w:t>
      </w:r>
      <w:r>
        <w:rPr>
          <w:rFonts w:hint="eastAsia" w:ascii="宋体" w:hAnsi="宋体" w:cs="宋体"/>
          <w:kern w:val="0"/>
          <w:szCs w:val="24"/>
          <w:lang w:val="zh-CN"/>
        </w:rPr>
        <w:t>项</w:t>
      </w:r>
      <w:r>
        <w:rPr>
          <w:rFonts w:eastAsia="Times New Roman"/>
          <w:kern w:val="0"/>
          <w:szCs w:val="24"/>
          <w:lang w:val="zh-CN"/>
        </w:rPr>
        <w:t>5327</w:t>
      </w:r>
      <w:r>
        <w:rPr>
          <w:rFonts w:hint="eastAsia" w:ascii="宋体" w:hAnsi="宋体" w:cs="宋体"/>
          <w:kern w:val="0"/>
          <w:szCs w:val="24"/>
          <w:lang w:val="zh-CN"/>
        </w:rPr>
        <w:t>小项室间质评计划，总合格率</w:t>
      </w:r>
      <w:r>
        <w:rPr>
          <w:rFonts w:eastAsia="Times New Roman"/>
          <w:kern w:val="0"/>
          <w:szCs w:val="24"/>
          <w:lang w:val="zh-CN"/>
        </w:rPr>
        <w:t>99.1%</w:t>
      </w:r>
      <w:r>
        <w:rPr>
          <w:rFonts w:hint="eastAsia" w:ascii="宋体" w:hAnsi="宋体" w:cs="宋体"/>
          <w:kern w:val="0"/>
          <w:szCs w:val="24"/>
          <w:lang w:val="zh-CN"/>
        </w:rPr>
        <w:t>。据近</w:t>
      </w:r>
      <w:r>
        <w:rPr>
          <w:rFonts w:eastAsia="Times New Roman"/>
          <w:kern w:val="0"/>
          <w:szCs w:val="24"/>
          <w:lang w:val="zh-CN"/>
        </w:rPr>
        <w:t>2019</w:t>
      </w:r>
      <w:r>
        <w:rPr>
          <w:rFonts w:hint="eastAsia" w:ascii="宋体" w:hAnsi="宋体" w:cs="宋体"/>
          <w:kern w:val="0"/>
          <w:szCs w:val="24"/>
          <w:lang w:val="zh-CN"/>
        </w:rPr>
        <w:t>年参加卫生部组织的室间质评数据分析，参加实验室数量中</w:t>
      </w:r>
      <w:r>
        <w:rPr>
          <w:rFonts w:eastAsia="Times New Roman"/>
          <w:kern w:val="0"/>
          <w:szCs w:val="24"/>
          <w:lang w:val="zh-CN"/>
        </w:rPr>
        <w:t>84.8%</w:t>
      </w:r>
      <w:r>
        <w:rPr>
          <w:rFonts w:hint="eastAsia" w:ascii="宋体" w:hAnsi="宋体" w:cs="宋体"/>
          <w:kern w:val="0"/>
          <w:szCs w:val="24"/>
          <w:lang w:val="zh-CN"/>
        </w:rPr>
        <w:t>的常规生化项目位列前五，国内品牌名列前茅。此外，公司参考实验室运行的酶学、代谢物、电解质等</w:t>
      </w:r>
      <w:r>
        <w:rPr>
          <w:rFonts w:eastAsia="Times New Roman"/>
          <w:kern w:val="0"/>
          <w:szCs w:val="24"/>
          <w:lang w:val="zh-CN"/>
        </w:rPr>
        <w:t>14</w:t>
      </w:r>
      <w:r>
        <w:rPr>
          <w:rFonts w:hint="eastAsia" w:ascii="宋体" w:hAnsi="宋体" w:cs="宋体"/>
          <w:kern w:val="0"/>
          <w:szCs w:val="24"/>
          <w:lang w:val="zh-CN"/>
        </w:rPr>
        <w:t>个参考测量程序进入检验医学溯源联合委员会（</w:t>
      </w:r>
      <w:r>
        <w:rPr>
          <w:rFonts w:eastAsia="Times New Roman"/>
          <w:kern w:val="0"/>
          <w:szCs w:val="24"/>
          <w:lang w:val="zh-CN"/>
        </w:rPr>
        <w:t>JCTLM</w:t>
      </w:r>
      <w:r>
        <w:rPr>
          <w:rFonts w:hint="eastAsia" w:ascii="宋体" w:hAnsi="宋体" w:cs="宋体"/>
          <w:kern w:val="0"/>
          <w:szCs w:val="24"/>
          <w:lang w:val="zh-CN"/>
        </w:rPr>
        <w:t>）参考测量服务列表，可为全球提供参考测量服务。为保证其溯源能力，公司每年都积极参加</w:t>
      </w:r>
      <w:r>
        <w:rPr>
          <w:rFonts w:eastAsia="Times New Roman"/>
          <w:kern w:val="0"/>
          <w:szCs w:val="24"/>
          <w:lang w:val="zh-CN"/>
        </w:rPr>
        <w:t>IFCC-RELA</w:t>
      </w:r>
      <w:r>
        <w:rPr>
          <w:rFonts w:hint="eastAsia" w:ascii="宋体" w:hAnsi="宋体" w:cs="宋体"/>
          <w:kern w:val="0"/>
          <w:szCs w:val="24"/>
          <w:lang w:val="zh-CN"/>
        </w:rPr>
        <w:t>活动，</w:t>
      </w:r>
      <w:r>
        <w:rPr>
          <w:rFonts w:eastAsia="Times New Roman"/>
          <w:kern w:val="0"/>
          <w:szCs w:val="24"/>
          <w:lang w:val="zh-CN"/>
        </w:rPr>
        <w:t>2019</w:t>
      </w:r>
      <w:r>
        <w:rPr>
          <w:rFonts w:hint="eastAsia" w:ascii="宋体" w:hAnsi="宋体" w:cs="宋体"/>
          <w:kern w:val="0"/>
          <w:szCs w:val="24"/>
          <w:lang w:val="zh-CN"/>
        </w:rPr>
        <w:t>年参加</w:t>
      </w:r>
      <w:r>
        <w:rPr>
          <w:rFonts w:eastAsia="Times New Roman"/>
          <w:kern w:val="0"/>
          <w:szCs w:val="24"/>
          <w:lang w:val="zh-CN"/>
        </w:rPr>
        <w:t>24</w:t>
      </w:r>
      <w:r>
        <w:rPr>
          <w:rFonts w:hint="eastAsia" w:ascii="宋体" w:hAnsi="宋体" w:cs="宋体"/>
          <w:kern w:val="0"/>
          <w:szCs w:val="24"/>
          <w:lang w:val="zh-CN"/>
        </w:rPr>
        <w:t>个项目，标准全部符合。</w:t>
      </w:r>
    </w:p>
    <w:p>
      <w:pPr>
        <w:autoSpaceDE w:val="0"/>
        <w:autoSpaceDN w:val="0"/>
        <w:adjustRightInd w:val="0"/>
        <w:spacing w:before="0" w:after="0"/>
        <w:ind w:firstLine="360"/>
        <w:jc w:val="left"/>
        <w:rPr>
          <w:rFonts w:eastAsia="Times New Roman"/>
          <w:kern w:val="0"/>
          <w:szCs w:val="24"/>
          <w:lang w:val="zh-CN"/>
        </w:rPr>
      </w:pPr>
      <w:r>
        <w:rPr>
          <w:rFonts w:hint="eastAsia" w:ascii="宋体" w:hAnsi="宋体" w:cs="宋体"/>
          <w:kern w:val="0"/>
          <w:szCs w:val="24"/>
          <w:lang w:val="zh-CN"/>
        </w:rPr>
        <w:t>在行业标准制定及临床质谱相关国家标准物质研制方面，</w:t>
      </w:r>
      <w:r>
        <w:rPr>
          <w:rFonts w:eastAsia="Times New Roman"/>
          <w:kern w:val="0"/>
          <w:szCs w:val="24"/>
          <w:lang w:val="zh-CN"/>
        </w:rPr>
        <w:t>2019</w:t>
      </w:r>
      <w:r>
        <w:rPr>
          <w:rFonts w:hint="eastAsia" w:ascii="宋体" w:hAnsi="宋体" w:cs="宋体"/>
          <w:kern w:val="0"/>
          <w:szCs w:val="24"/>
          <w:lang w:val="zh-CN"/>
        </w:rPr>
        <w:t>年，公司参与起草了全国医用临床检验实验室和体外诊断系统标准化技术委员会</w:t>
      </w:r>
      <w:r>
        <w:rPr>
          <w:rFonts w:eastAsia="Times New Roman"/>
          <w:kern w:val="0"/>
          <w:szCs w:val="24"/>
          <w:lang w:val="zh-CN"/>
        </w:rPr>
        <w:t>(SAC/TC136)</w:t>
      </w:r>
      <w:r>
        <w:rPr>
          <w:rFonts w:hint="eastAsia" w:ascii="宋体" w:hAnsi="宋体" w:cs="宋体"/>
          <w:kern w:val="0"/>
          <w:szCs w:val="24"/>
          <w:lang w:val="zh-CN"/>
        </w:rPr>
        <w:t>组织的医药行业标准《体外诊断检验系统</w:t>
      </w:r>
      <w:r>
        <w:rPr>
          <w:rFonts w:eastAsia="Times New Roman"/>
          <w:kern w:val="0"/>
          <w:szCs w:val="24"/>
          <w:lang w:val="zh-CN"/>
        </w:rPr>
        <w:t xml:space="preserve"> </w:t>
      </w:r>
      <w:r>
        <w:rPr>
          <w:rFonts w:hint="eastAsia" w:ascii="宋体" w:hAnsi="宋体" w:cs="宋体"/>
          <w:kern w:val="0"/>
          <w:szCs w:val="24"/>
          <w:lang w:val="zh-CN"/>
        </w:rPr>
        <w:t>性能评价方法</w:t>
      </w:r>
      <w:r>
        <w:rPr>
          <w:rFonts w:eastAsia="Times New Roman"/>
          <w:kern w:val="0"/>
          <w:szCs w:val="24"/>
          <w:lang w:val="zh-CN"/>
        </w:rPr>
        <w:t xml:space="preserve"> </w:t>
      </w:r>
      <w:r>
        <w:rPr>
          <w:rFonts w:hint="eastAsia" w:ascii="宋体" w:hAnsi="宋体" w:cs="宋体"/>
          <w:kern w:val="0"/>
          <w:szCs w:val="24"/>
          <w:lang w:val="zh-CN"/>
        </w:rPr>
        <w:t>第</w:t>
      </w:r>
      <w:r>
        <w:rPr>
          <w:rFonts w:eastAsia="Times New Roman"/>
          <w:kern w:val="0"/>
          <w:szCs w:val="24"/>
          <w:lang w:val="zh-CN"/>
        </w:rPr>
        <w:t>1</w:t>
      </w:r>
      <w:r>
        <w:rPr>
          <w:rFonts w:hint="eastAsia" w:ascii="宋体" w:hAnsi="宋体" w:cs="宋体"/>
          <w:kern w:val="0"/>
          <w:szCs w:val="24"/>
          <w:lang w:val="zh-CN"/>
        </w:rPr>
        <w:t>部分：精密度》和《体外诊断检验系统性能评价方法</w:t>
      </w:r>
      <w:r>
        <w:rPr>
          <w:rFonts w:eastAsia="Times New Roman"/>
          <w:kern w:val="0"/>
          <w:szCs w:val="24"/>
          <w:lang w:val="zh-CN"/>
        </w:rPr>
        <w:t xml:space="preserve"> </w:t>
      </w:r>
      <w:r>
        <w:rPr>
          <w:rFonts w:hint="eastAsia" w:ascii="宋体" w:hAnsi="宋体" w:cs="宋体"/>
          <w:kern w:val="0"/>
          <w:szCs w:val="24"/>
          <w:lang w:val="zh-CN"/>
        </w:rPr>
        <w:t>第</w:t>
      </w:r>
      <w:r>
        <w:rPr>
          <w:rFonts w:eastAsia="Times New Roman"/>
          <w:kern w:val="0"/>
          <w:szCs w:val="24"/>
          <w:lang w:val="zh-CN"/>
        </w:rPr>
        <w:t>2</w:t>
      </w:r>
      <w:r>
        <w:rPr>
          <w:rFonts w:hint="eastAsia" w:ascii="宋体" w:hAnsi="宋体" w:cs="宋体"/>
          <w:kern w:val="0"/>
          <w:szCs w:val="24"/>
          <w:lang w:val="zh-CN"/>
        </w:rPr>
        <w:t>部分：正确度》，并参与了</w:t>
      </w:r>
      <w:r>
        <w:rPr>
          <w:rFonts w:eastAsia="Times New Roman"/>
          <w:kern w:val="0"/>
          <w:szCs w:val="24"/>
          <w:lang w:val="zh-CN"/>
        </w:rPr>
        <w:t>IRMM</w:t>
      </w:r>
      <w:r>
        <w:rPr>
          <w:rFonts w:hint="eastAsia" w:ascii="宋体" w:hAnsi="宋体" w:cs="宋体"/>
          <w:kern w:val="0"/>
          <w:szCs w:val="24"/>
          <w:lang w:val="zh-CN"/>
        </w:rPr>
        <w:t>组织的</w:t>
      </w:r>
      <w:r>
        <w:rPr>
          <w:kern w:val="0"/>
          <w:szCs w:val="24"/>
          <w:lang w:val="zh-CN"/>
        </w:rPr>
        <w:t>α-</w:t>
      </w:r>
      <w:r>
        <w:rPr>
          <w:rFonts w:hint="eastAsia" w:ascii="宋体" w:hAnsi="宋体" w:cs="宋体"/>
          <w:kern w:val="0"/>
          <w:szCs w:val="24"/>
          <w:lang w:val="zh-CN"/>
        </w:rPr>
        <w:t>淀粉酶（</w:t>
      </w:r>
      <w:r>
        <w:rPr>
          <w:rFonts w:eastAsia="Times New Roman"/>
          <w:kern w:val="0"/>
          <w:szCs w:val="24"/>
          <w:lang w:val="zh-CN"/>
        </w:rPr>
        <w:t>AMY</w:t>
      </w:r>
      <w:r>
        <w:rPr>
          <w:rFonts w:hint="eastAsia" w:ascii="宋体" w:hAnsi="宋体" w:cs="宋体"/>
          <w:kern w:val="0"/>
          <w:szCs w:val="24"/>
          <w:lang w:val="zh-CN"/>
        </w:rPr>
        <w:t>）国际标准物质赋值工作。</w:t>
      </w:r>
      <w:r>
        <w:rPr>
          <w:rFonts w:eastAsia="Times New Roman"/>
          <w:kern w:val="0"/>
          <w:szCs w:val="24"/>
          <w:lang w:val="zh-CN"/>
        </w:rPr>
        <w:t>2019</w:t>
      </w:r>
      <w:r>
        <w:rPr>
          <w:rFonts w:hint="eastAsia" w:ascii="宋体" w:hAnsi="宋体" w:cs="宋体"/>
          <w:kern w:val="0"/>
          <w:szCs w:val="24"/>
          <w:lang w:val="zh-CN"/>
        </w:rPr>
        <w:t>年，公司成功申报国家重点研发计划</w:t>
      </w:r>
      <w:r>
        <w:rPr>
          <w:rFonts w:eastAsia="Times New Roman"/>
          <w:kern w:val="0"/>
          <w:szCs w:val="24"/>
          <w:lang w:val="zh-CN"/>
        </w:rPr>
        <w:t>“</w:t>
      </w:r>
      <w:r>
        <w:rPr>
          <w:rFonts w:hint="eastAsia" w:ascii="宋体" w:hAnsi="宋体" w:cs="宋体"/>
          <w:kern w:val="0"/>
          <w:szCs w:val="24"/>
          <w:lang w:val="zh-CN"/>
        </w:rPr>
        <w:t>国家质量基础的共性技术研究与应用</w:t>
      </w:r>
      <w:r>
        <w:rPr>
          <w:rFonts w:eastAsia="Times New Roman"/>
          <w:kern w:val="0"/>
          <w:szCs w:val="24"/>
          <w:lang w:val="zh-CN"/>
        </w:rPr>
        <w:t>”</w:t>
      </w:r>
      <w:r>
        <w:rPr>
          <w:rFonts w:hint="eastAsia" w:ascii="宋体" w:hAnsi="宋体" w:cs="宋体"/>
          <w:kern w:val="0"/>
          <w:szCs w:val="24"/>
          <w:lang w:val="zh-CN"/>
        </w:rPr>
        <w:t>重点专项《高端试剂可溯源量值定值技术及质量评价方法研究》，承担课题《临床质谱诊断试剂量值溯源及质量评价研究》（课题编号：</w:t>
      </w:r>
      <w:r>
        <w:rPr>
          <w:rFonts w:eastAsia="Times New Roman"/>
          <w:kern w:val="0"/>
          <w:szCs w:val="24"/>
          <w:lang w:val="zh-CN"/>
        </w:rPr>
        <w:t>2019YFF0216504</w:t>
      </w:r>
      <w:r>
        <w:rPr>
          <w:rFonts w:hint="eastAsia" w:ascii="宋体" w:hAnsi="宋体" w:cs="宋体"/>
          <w:kern w:val="0"/>
          <w:szCs w:val="24"/>
          <w:lang w:val="zh-CN"/>
        </w:rPr>
        <w:t>）。</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5</w:t>
      </w:r>
      <w:r>
        <w:rPr>
          <w:rFonts w:hint="eastAsia" w:ascii="宋体" w:hAnsi="宋体" w:cs="宋体"/>
          <w:kern w:val="0"/>
          <w:szCs w:val="24"/>
          <w:lang w:val="zh-CN"/>
        </w:rPr>
        <w:t>、内部治理</w:t>
      </w:r>
    </w:p>
    <w:p>
      <w:pPr>
        <w:autoSpaceDE w:val="0"/>
        <w:autoSpaceDN w:val="0"/>
        <w:adjustRightInd w:val="0"/>
        <w:ind w:firstLine="360"/>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年，公司一方面稳步推进</w:t>
      </w:r>
      <w:r>
        <w:rPr>
          <w:rFonts w:eastAsia="Times New Roman"/>
          <w:kern w:val="0"/>
          <w:szCs w:val="24"/>
          <w:lang w:val="zh-CN"/>
        </w:rPr>
        <w:t>CRM/</w:t>
      </w:r>
      <w:r>
        <w:rPr>
          <w:rFonts w:hint="eastAsia" w:ascii="宋体" w:hAnsi="宋体" w:cs="宋体"/>
          <w:kern w:val="0"/>
          <w:szCs w:val="24"/>
          <w:lang w:val="zh-CN"/>
        </w:rPr>
        <w:t>供应链</w:t>
      </w:r>
      <w:r>
        <w:rPr>
          <w:rFonts w:eastAsia="Times New Roman"/>
          <w:kern w:val="0"/>
          <w:szCs w:val="24"/>
          <w:lang w:val="zh-CN"/>
        </w:rPr>
        <w:t>/PLM/BPM/E-HR</w:t>
      </w:r>
      <w:r>
        <w:rPr>
          <w:rFonts w:hint="eastAsia" w:ascii="宋体" w:hAnsi="宋体" w:cs="宋体"/>
          <w:kern w:val="0"/>
          <w:szCs w:val="24"/>
          <w:lang w:val="zh-CN"/>
        </w:rPr>
        <w:t>等信息化项目并取得初步成效，进一步规范了管理和业务流程，提升管理效率；同时，公司各部门围绕控制成本、优化结构、促进增长和控制风险的目标，贯彻执行全面预算并取得初步成效；另一方面，结合公司销售、研发、生产等不同体系各具个性的人力资源管理特质，设立六大中心，进一步完善包括组织管理、干部管理、人才培养、人才梯队、薪酬体系、绩效考核体系、激励机制等内容的人力资源体系；继续加强对子公司管理，完善子公司管控体系，实现财务、业务、人力资源、内控及风险的综合管控，以达到高效运营，提高协同效应，保障经营业绩稳定发展。</w:t>
      </w:r>
    </w:p>
    <w:p>
      <w:pPr>
        <w:pStyle w:val="13"/>
        <w:outlineLvl w:val="1"/>
        <w:rPr>
          <w:bCs w:val="0"/>
        </w:rPr>
      </w:pPr>
      <w:r>
        <w:rPr>
          <w:rFonts w:hint="eastAsia"/>
          <w:bCs w:val="0"/>
        </w:rPr>
        <w:t>二、主营业务分析</w:t>
      </w:r>
    </w:p>
    <w:p>
      <w:pPr>
        <w:pStyle w:val="14"/>
        <w:outlineLvl w:val="2"/>
        <w:rPr>
          <w:bCs w:val="0"/>
          <w:szCs w:val="24"/>
        </w:rPr>
      </w:pPr>
      <w:r>
        <w:rPr>
          <w:bCs w:val="0"/>
          <w:szCs w:val="24"/>
        </w:rPr>
        <w:t>1</w:t>
      </w:r>
      <w:r>
        <w:rPr>
          <w:rFonts w:hint="eastAsia"/>
          <w:bCs w:val="0"/>
          <w:szCs w:val="24"/>
        </w:rPr>
        <w:t>、概述</w:t>
      </w:r>
    </w:p>
    <w:p>
      <w:pPr>
        <w:jc w:val="left"/>
        <w:rPr>
          <w:szCs w:val="24"/>
        </w:rPr>
      </w:pPr>
      <w:r>
        <w:rPr>
          <w:rFonts w:hint="eastAsia"/>
          <w:szCs w:val="24"/>
        </w:rPr>
        <w:t>参见</w:t>
      </w:r>
      <w:r>
        <w:rPr>
          <w:szCs w:val="24"/>
        </w:rPr>
        <w:t>“</w:t>
      </w:r>
      <w:r>
        <w:rPr>
          <w:rFonts w:hint="eastAsia"/>
          <w:szCs w:val="24"/>
        </w:rPr>
        <w:t>经营情况讨论与分析</w:t>
      </w:r>
      <w:r>
        <w:rPr>
          <w:szCs w:val="24"/>
        </w:rPr>
        <w:t>”</w:t>
      </w:r>
      <w:r>
        <w:rPr>
          <w:rFonts w:hint="eastAsia"/>
          <w:szCs w:val="24"/>
        </w:rPr>
        <w:t>中的</w:t>
      </w:r>
      <w:r>
        <w:rPr>
          <w:szCs w:val="24"/>
        </w:rPr>
        <w:t>“</w:t>
      </w:r>
      <w:r>
        <w:rPr>
          <w:rFonts w:hint="eastAsia"/>
          <w:szCs w:val="24"/>
        </w:rPr>
        <w:t>一、概述</w:t>
      </w:r>
      <w:r>
        <w:rPr>
          <w:szCs w:val="24"/>
        </w:rPr>
        <w:t>”</w:t>
      </w:r>
      <w:r>
        <w:rPr>
          <w:rFonts w:hint="eastAsia"/>
          <w:szCs w:val="24"/>
        </w:rPr>
        <w:t>相关内容。</w:t>
      </w:r>
    </w:p>
    <w:p>
      <w:pPr>
        <w:pStyle w:val="14"/>
        <w:outlineLvl w:val="2"/>
        <w:rPr>
          <w:bCs w:val="0"/>
          <w:szCs w:val="24"/>
        </w:rPr>
      </w:pPr>
      <w:r>
        <w:rPr>
          <w:bCs w:val="0"/>
          <w:szCs w:val="24"/>
        </w:rPr>
        <w:t>2</w:t>
      </w:r>
      <w:r>
        <w:rPr>
          <w:rFonts w:hint="eastAsia"/>
          <w:bCs w:val="0"/>
          <w:szCs w:val="24"/>
        </w:rPr>
        <w:t>、收入与成本</w:t>
      </w:r>
    </w:p>
    <w:p>
      <w:pPr>
        <w:pStyle w:val="14"/>
        <w:outlineLvl w:val="3"/>
        <w:rPr>
          <w:bCs w:val="0"/>
          <w:szCs w:val="24"/>
        </w:rPr>
      </w:pPr>
      <w:r>
        <w:rPr>
          <w:rFonts w:hint="eastAsia"/>
          <w:bCs w:val="0"/>
          <w:szCs w:val="24"/>
        </w:rPr>
        <w:t>（</w:t>
      </w:r>
      <w:r>
        <w:rPr>
          <w:bCs w:val="0"/>
          <w:szCs w:val="24"/>
        </w:rPr>
        <w:t>1</w:t>
      </w:r>
      <w:r>
        <w:rPr>
          <w:rFonts w:hint="eastAsia"/>
          <w:bCs w:val="0"/>
          <w:szCs w:val="24"/>
        </w:rPr>
        <w:t>）营业收入构成</w:t>
      </w:r>
    </w:p>
    <w:p>
      <w:pPr>
        <w:jc w:val="left"/>
        <w:rPr>
          <w:szCs w:val="24"/>
        </w:rPr>
      </w:pPr>
      <w:r>
        <w:rPr>
          <w:rFonts w:hint="eastAsia"/>
          <w:szCs w:val="24"/>
        </w:rPr>
        <w:t>营业收入整体情况</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1596"/>
        <w:gridCol w:w="1594"/>
        <w:gridCol w:w="1594"/>
        <w:gridCol w:w="1594"/>
        <w:gridCol w:w="1594"/>
        <w:gridCol w:w="1594"/>
      </w:tblGrid>
      <w:tr>
        <w:tblPrEx>
          <w:tblCellMar>
            <w:top w:w="0" w:type="dxa"/>
            <w:left w:w="28" w:type="dxa"/>
            <w:bottom w:w="0" w:type="dxa"/>
            <w:right w:w="28" w:type="dxa"/>
          </w:tblCellMar>
        </w:tblPrEx>
        <w:tc>
          <w:tcPr>
            <w:tcW w:w="159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318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2019</w:t>
            </w:r>
            <w:r>
              <w:rPr>
                <w:rFonts w:hint="eastAsia"/>
                <w:szCs w:val="24"/>
              </w:rPr>
              <w:t>年</w:t>
            </w:r>
          </w:p>
        </w:tc>
        <w:tc>
          <w:tcPr>
            <w:tcW w:w="318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2018</w:t>
            </w:r>
            <w:r>
              <w:rPr>
                <w:rFonts w:hint="eastAsia"/>
                <w:szCs w:val="24"/>
              </w:rPr>
              <w:t>年</w:t>
            </w:r>
          </w:p>
        </w:tc>
        <w:tc>
          <w:tcPr>
            <w:tcW w:w="159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同比增减</w:t>
            </w:r>
          </w:p>
        </w:tc>
      </w:tr>
      <w:tr>
        <w:tblPrEx>
          <w:tblCellMar>
            <w:top w:w="0" w:type="dxa"/>
            <w:left w:w="28" w:type="dxa"/>
            <w:bottom w:w="0" w:type="dxa"/>
            <w:right w:w="28" w:type="dxa"/>
          </w:tblCellMar>
        </w:tblPrEx>
        <w:tc>
          <w:tcPr>
            <w:tcW w:w="159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占营业收入比重</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占营业收入比重</w:t>
            </w:r>
          </w:p>
        </w:tc>
        <w:tc>
          <w:tcPr>
            <w:tcW w:w="1594"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营业收入合计</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3,133,447,697.27</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right"/>
              <w:rPr>
                <w:szCs w:val="24"/>
              </w:rPr>
            </w:pPr>
            <w:r>
              <w:rPr>
                <w:szCs w:val="24"/>
              </w:rPr>
              <w:t>100%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3,135,122,919.82</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right"/>
              <w:rPr>
                <w:szCs w:val="24"/>
              </w:rPr>
            </w:pPr>
            <w:r>
              <w:rPr>
                <w:szCs w:val="24"/>
              </w:rPr>
              <w:t>100%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-0.05%</w:t>
            </w:r>
          </w:p>
        </w:tc>
      </w:tr>
      <w:tr>
        <w:tblPrEx>
          <w:tblCellMar>
            <w:top w:w="0" w:type="dxa"/>
            <w:left w:w="28" w:type="dxa"/>
            <w:bottom w:w="0" w:type="dxa"/>
            <w:right w:w="28" w:type="dxa"/>
          </w:tblCellMar>
        </w:tblPrEx>
        <w:tc>
          <w:tcPr>
            <w:tcW w:w="9566" w:type="dxa"/>
            <w:gridSpan w:val="6"/>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分行业</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医疗器械行业</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3,133,447,697.27</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3,135,122,919.82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-0.05%</w:t>
            </w:r>
          </w:p>
        </w:tc>
      </w:tr>
      <w:tr>
        <w:tblPrEx>
          <w:tblCellMar>
            <w:top w:w="0" w:type="dxa"/>
            <w:left w:w="28" w:type="dxa"/>
            <w:bottom w:w="0" w:type="dxa"/>
            <w:right w:w="28" w:type="dxa"/>
          </w:tblCellMar>
        </w:tblPrEx>
        <w:tc>
          <w:tcPr>
            <w:tcW w:w="9566" w:type="dxa"/>
            <w:gridSpan w:val="6"/>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分产品</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体外诊断试剂</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2,405,654,511.49</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76.77%</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2,421,704,234.85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77.24%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-0.66%</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体外诊断仪器</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170,156,624.86</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5.43%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198,652,795.61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6.34%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-14.34%</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医学诊断服务</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497,887,454.27</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15.89%</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462,246,962.05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14.74%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7.71%</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体外诊断试剂原料</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7,269,209.19</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0.23%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7,115,154.71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0.23%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2.17%</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其他业务收入</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52,479,897.46</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1.67%</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45,403,772.60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15.58%</w:t>
            </w:r>
          </w:p>
        </w:tc>
      </w:tr>
      <w:tr>
        <w:tblPrEx>
          <w:tblCellMar>
            <w:top w:w="0" w:type="dxa"/>
            <w:left w:w="28" w:type="dxa"/>
            <w:bottom w:w="0" w:type="dxa"/>
            <w:right w:w="28" w:type="dxa"/>
          </w:tblCellMar>
        </w:tblPrEx>
        <w:tc>
          <w:tcPr>
            <w:tcW w:w="9566" w:type="dxa"/>
            <w:gridSpan w:val="6"/>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分地区</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东北</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46,086,929.21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1.47%</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69,975,916.60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-34.14%</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华北</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285,386,833.75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9.11%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305,331,770.78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9.74%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-6.53%</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华东</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1,614,381,703.57</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51.52%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1,607,146,858.28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51.26%</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0.45%</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华南</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165,540,252.44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169,848,662.33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-2.54%</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华中</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542,992,862.99</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17.33%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459,468,179.80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14.66%</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18.18%</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西北</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174,846,258.70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191,221,505.20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-8.56%</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西南</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296,922,357.37</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9.48%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311,670,222.99</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9.94%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-4.73%</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国外</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7,290,499.24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0.23%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20,459,803.84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0.65%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-64.37%</w:t>
            </w:r>
          </w:p>
        </w:tc>
      </w:tr>
    </w:tbl>
    <w:p>
      <w:pPr>
        <w:pStyle w:val="14"/>
        <w:outlineLvl w:val="3"/>
        <w:rPr>
          <w:bCs w:val="0"/>
          <w:szCs w:val="24"/>
        </w:rPr>
      </w:pPr>
      <w:r>
        <w:rPr>
          <w:rFonts w:hint="eastAsia"/>
          <w:bCs w:val="0"/>
          <w:szCs w:val="24"/>
        </w:rPr>
        <w:t>（</w:t>
      </w:r>
      <w:r>
        <w:rPr>
          <w:bCs w:val="0"/>
          <w:szCs w:val="24"/>
        </w:rPr>
        <w:t>2</w:t>
      </w:r>
      <w:r>
        <w:rPr>
          <w:rFonts w:hint="eastAsia"/>
          <w:bCs w:val="0"/>
          <w:szCs w:val="24"/>
        </w:rPr>
        <w:t>）占公司营业收入或营业利润</w:t>
      </w:r>
      <w:r>
        <w:rPr>
          <w:bCs w:val="0"/>
          <w:szCs w:val="24"/>
        </w:rPr>
        <w:t>10%</w:t>
      </w:r>
      <w:r>
        <w:rPr>
          <w:rFonts w:hint="eastAsia"/>
          <w:bCs w:val="0"/>
          <w:szCs w:val="24"/>
        </w:rPr>
        <w:t>以上的行业、产品或地区情况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1367"/>
        <w:gridCol w:w="1366"/>
        <w:gridCol w:w="1366"/>
        <w:gridCol w:w="1367"/>
        <w:gridCol w:w="1367"/>
        <w:gridCol w:w="1367"/>
        <w:gridCol w:w="1371"/>
      </w:tblGrid>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营业收入</w:t>
            </w:r>
          </w:p>
        </w:tc>
        <w:tc>
          <w:tcPr>
            <w:tcW w:w="136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营业成本</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毛利率</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营业收入比上年同期增减</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营业成本比上年同期增减</w:t>
            </w:r>
          </w:p>
        </w:tc>
        <w:tc>
          <w:tcPr>
            <w:tcW w:w="137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毛利率比上年同期增减</w:t>
            </w:r>
          </w:p>
        </w:tc>
      </w:tr>
      <w:tr>
        <w:tblPrEx>
          <w:tblCellMar>
            <w:top w:w="0" w:type="dxa"/>
            <w:left w:w="28" w:type="dxa"/>
            <w:bottom w:w="0" w:type="dxa"/>
            <w:right w:w="28" w:type="dxa"/>
          </w:tblCellMar>
        </w:tblPrEx>
        <w:tc>
          <w:tcPr>
            <w:tcW w:w="9571" w:type="dxa"/>
            <w:gridSpan w:val="7"/>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分行业</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医疗器械行业</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3,133,447,697.27</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2,055,878,787.38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34.39%</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0.79%</w:t>
            </w:r>
          </w:p>
        </w:tc>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-0.55%</w:t>
            </w:r>
          </w:p>
        </w:tc>
      </w:tr>
      <w:tr>
        <w:tblPrEx>
          <w:tblCellMar>
            <w:top w:w="0" w:type="dxa"/>
            <w:left w:w="28" w:type="dxa"/>
            <w:bottom w:w="0" w:type="dxa"/>
            <w:right w:w="28" w:type="dxa"/>
          </w:tblCellMar>
        </w:tblPrEx>
        <w:tc>
          <w:tcPr>
            <w:tcW w:w="9571" w:type="dxa"/>
            <w:gridSpan w:val="7"/>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分产品</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体外诊断试剂</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2,405,654,511.49</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1,490,927,249.77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38.02%</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-0.66%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-0.51%</w:t>
            </w:r>
          </w:p>
        </w:tc>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-0.10%</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体外诊断仪器</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170,156,624.86</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149,662,914.64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12.04%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-14.34%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-13.04%</w:t>
            </w:r>
          </w:p>
        </w:tc>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-1.32%</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医学诊断服务</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497,887,454.27</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377</w:t>
            </w:r>
            <w:r>
              <w:rPr>
                <w:rFonts w:hint="eastAsia"/>
                <w:szCs w:val="24"/>
              </w:rPr>
              <w:t>,7</w:t>
            </w:r>
            <w:r>
              <w:rPr>
                <w:szCs w:val="24"/>
              </w:rPr>
              <w:t>68</w:t>
            </w:r>
            <w:r>
              <w:rPr>
                <w:rFonts w:hint="eastAsia"/>
                <w:szCs w:val="24"/>
              </w:rPr>
              <w:t>,4</w:t>
            </w:r>
            <w:r>
              <w:rPr>
                <w:szCs w:val="24"/>
              </w:rPr>
              <w:t>69.28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24.13%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7.71%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8.83%</w:t>
            </w:r>
          </w:p>
        </w:tc>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-0.78%</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体外诊断试剂原料</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7,269,209.19</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5,185,250.95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28.67%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2.17%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18.84%</w:t>
            </w:r>
          </w:p>
        </w:tc>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-10.01%</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52,479,897.46</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32,334,902.74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38.39%</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15.58%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82.92%</w:t>
            </w:r>
          </w:p>
        </w:tc>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-22.68%</w:t>
            </w:r>
          </w:p>
        </w:tc>
      </w:tr>
      <w:tr>
        <w:tblPrEx>
          <w:tblCellMar>
            <w:top w:w="0" w:type="dxa"/>
            <w:left w:w="28" w:type="dxa"/>
            <w:bottom w:w="0" w:type="dxa"/>
            <w:right w:w="28" w:type="dxa"/>
          </w:tblCellMar>
        </w:tblPrEx>
        <w:tc>
          <w:tcPr>
            <w:tcW w:w="9571" w:type="dxa"/>
            <w:gridSpan w:val="7"/>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分地区</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东北</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46,086,929.21</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18,315,859.84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60.26%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-34.14%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-17.37%</w:t>
            </w:r>
          </w:p>
        </w:tc>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-8.06%</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华北</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285,386,833.75</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140,488,969.51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50.77%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-6.53%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-13.08%</w:t>
            </w:r>
          </w:p>
        </w:tc>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3.71%</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华东</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1,614,381,703.57</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1,230,770,301.52</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23.76%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0.45%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-0.68%</w:t>
            </w:r>
          </w:p>
        </w:tc>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0.87%</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华南</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165,540,252.44</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63,754,349.27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61.49%</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1.72%</w:t>
            </w:r>
          </w:p>
        </w:tc>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-1.61%</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华中</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542,992,862.99</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362,335,417.95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33.27%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18.18%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39.14%</w:t>
            </w:r>
          </w:p>
        </w:tc>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-10.05%</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西北</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174,846,258.70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86,210,977.92</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50.69%</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-6.58%</w:t>
            </w:r>
          </w:p>
        </w:tc>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-1.04%</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西南</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296,922,357.37</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149,031,198.54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49.81%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-17.58%</w:t>
            </w:r>
          </w:p>
        </w:tc>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7.83%</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国外</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7,290,499.24</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4,971,712.83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31.81%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-64.37%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-75.82%</w:t>
            </w:r>
          </w:p>
        </w:tc>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32.30%</w:t>
            </w:r>
          </w:p>
        </w:tc>
      </w:tr>
    </w:tbl>
    <w:p>
      <w:pPr>
        <w:jc w:val="left"/>
        <w:rPr>
          <w:szCs w:val="24"/>
        </w:rPr>
      </w:pPr>
      <w:r>
        <w:rPr>
          <w:rFonts w:hint="eastAsia"/>
          <w:szCs w:val="24"/>
        </w:rPr>
        <w:t>公司主营业务数据统计口径在报告期发生调整的情况下，公司最近</w:t>
      </w:r>
      <w:r>
        <w:rPr>
          <w:szCs w:val="24"/>
        </w:rPr>
        <w:t>1</w:t>
      </w:r>
      <w:r>
        <w:rPr>
          <w:rFonts w:hint="eastAsia"/>
          <w:szCs w:val="24"/>
        </w:rPr>
        <w:t>年按报告期末口径调整后的主营业务数据</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3"/>
        <w:rPr>
          <w:bCs w:val="0"/>
          <w:szCs w:val="24"/>
        </w:rPr>
      </w:pPr>
      <w:r>
        <w:rPr>
          <w:rFonts w:hint="eastAsia"/>
          <w:bCs w:val="0"/>
          <w:szCs w:val="24"/>
        </w:rPr>
        <w:t>（</w:t>
      </w:r>
      <w:r>
        <w:rPr>
          <w:bCs w:val="0"/>
          <w:szCs w:val="24"/>
        </w:rPr>
        <w:t>3</w:t>
      </w:r>
      <w:r>
        <w:rPr>
          <w:rFonts w:hint="eastAsia"/>
          <w:bCs w:val="0"/>
          <w:szCs w:val="24"/>
        </w:rPr>
        <w:t>）公司实物销售收入是否大于劳务收入</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tbl>
      <w:tblPr>
        <w:tblStyle w:val="9"/>
        <w:tblW w:w="0" w:type="auto"/>
        <w:tblInd w:w="28" w:type="dxa"/>
        <w:tblLayout w:type="fixed"/>
        <w:tblCellMar>
          <w:top w:w="0" w:type="dxa"/>
          <w:left w:w="28" w:type="dxa"/>
          <w:bottom w:w="0" w:type="dxa"/>
          <w:right w:w="28" w:type="dxa"/>
        </w:tblCellMar>
      </w:tblPr>
      <w:tblGrid>
        <w:gridCol w:w="1596"/>
        <w:gridCol w:w="1594"/>
        <w:gridCol w:w="1594"/>
        <w:gridCol w:w="1594"/>
        <w:gridCol w:w="1594"/>
        <w:gridCol w:w="1594"/>
      </w:tblGrid>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行业分类</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单位</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2019</w:t>
            </w:r>
            <w:r>
              <w:rPr>
                <w:rFonts w:hint="eastAsia"/>
                <w:szCs w:val="24"/>
              </w:rPr>
              <w:t>年</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2018</w:t>
            </w:r>
            <w:r>
              <w:rPr>
                <w:rFonts w:hint="eastAsia"/>
                <w:szCs w:val="24"/>
              </w:rPr>
              <w:t>年</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同比增减</w:t>
            </w:r>
          </w:p>
        </w:tc>
      </w:tr>
      <w:tr>
        <w:tblPrEx>
          <w:tblCellMar>
            <w:top w:w="0" w:type="dxa"/>
            <w:left w:w="28" w:type="dxa"/>
            <w:bottom w:w="0" w:type="dxa"/>
            <w:right w:w="28" w:type="dxa"/>
          </w:tblCellMar>
        </w:tblPrEx>
        <w:tc>
          <w:tcPr>
            <w:tcW w:w="159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试剂</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销售量</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ml</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510,591,284.50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399,689,327.75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27.75%</w:t>
            </w:r>
          </w:p>
        </w:tc>
      </w:tr>
      <w:tr>
        <w:tblPrEx>
          <w:tblCellMar>
            <w:top w:w="0" w:type="dxa"/>
            <w:left w:w="28" w:type="dxa"/>
            <w:bottom w:w="0" w:type="dxa"/>
            <w:right w:w="28" w:type="dxa"/>
          </w:tblCellMar>
        </w:tblPrEx>
        <w:tc>
          <w:tcPr>
            <w:tcW w:w="1596" w:type="dxa"/>
            <w:vMerge w:val="continue"/>
            <w:tcBorders>
              <w:top w:val="single" w:color="auto" w:sz="4" w:space="0"/>
              <w:left w:val="single" w:color="auto" w:sz="4" w:space="0"/>
              <w:bottom w:val="single" w:color="auto" w:sz="4" w:space="0"/>
              <w:right w:val="single" w:color="auto" w:sz="4" w:space="0"/>
            </w:tcBorders>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生产量</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ml</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528,728,382.22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427,145,947.40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23.78%</w:t>
            </w:r>
          </w:p>
        </w:tc>
      </w:tr>
      <w:tr>
        <w:tblPrEx>
          <w:tblCellMar>
            <w:top w:w="0" w:type="dxa"/>
            <w:left w:w="28" w:type="dxa"/>
            <w:bottom w:w="0" w:type="dxa"/>
            <w:right w:w="28" w:type="dxa"/>
          </w:tblCellMar>
        </w:tblPrEx>
        <w:tc>
          <w:tcPr>
            <w:tcW w:w="1596" w:type="dxa"/>
            <w:vMerge w:val="continue"/>
            <w:tcBorders>
              <w:top w:val="single" w:color="auto" w:sz="4" w:space="0"/>
              <w:left w:val="single" w:color="auto" w:sz="4" w:space="0"/>
              <w:bottom w:val="single" w:color="auto" w:sz="4" w:space="0"/>
              <w:right w:val="single" w:color="auto" w:sz="4" w:space="0"/>
            </w:tcBorders>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库存量</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ml</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68,817,494.10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50,680,396.38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35.79%</w:t>
            </w:r>
          </w:p>
        </w:tc>
      </w:tr>
    </w:tbl>
    <w:p>
      <w:pPr>
        <w:jc w:val="left"/>
        <w:rPr>
          <w:szCs w:val="24"/>
        </w:rPr>
      </w:pPr>
      <w:r>
        <w:rPr>
          <w:rFonts w:hint="eastAsia"/>
          <w:szCs w:val="24"/>
        </w:rPr>
        <w:t>相关数据同比发生变动</w:t>
      </w:r>
      <w:r>
        <w:rPr>
          <w:szCs w:val="24"/>
        </w:rPr>
        <w:t>30%</w:t>
      </w:r>
      <w:r>
        <w:rPr>
          <w:rFonts w:hint="eastAsia"/>
          <w:szCs w:val="24"/>
        </w:rPr>
        <w:t>以上的原因说明</w:t>
      </w:r>
    </w:p>
    <w:p>
      <w:pPr>
        <w:jc w:val="left"/>
      </w:pPr>
      <w:r>
        <w:t xml:space="preserve">√ 适用 □ 不适用 </w:t>
      </w:r>
    </w:p>
    <w:p>
      <w:pPr>
        <w:autoSpaceDE w:val="0"/>
        <w:autoSpaceDN w:val="0"/>
        <w:adjustRightInd w:val="0"/>
        <w:spacing w:before="0" w:after="0"/>
        <w:jc w:val="left"/>
        <w:rPr>
          <w:rFonts w:eastAsiaTheme="minorEastAsia"/>
          <w:kern w:val="0"/>
          <w:lang w:val="zh-CN"/>
        </w:rPr>
      </w:pPr>
      <w:r>
        <w:rPr>
          <w:rFonts w:hint="eastAsia" w:ascii="宋体" w:hAnsi="宋体" w:cs="宋体"/>
          <w:kern w:val="0"/>
          <w:lang w:val="zh-CN"/>
        </w:rPr>
        <w:t>因公司产品结构调整，血球试剂销售毫升数比</w:t>
      </w:r>
      <w:r>
        <w:rPr>
          <w:rFonts w:eastAsia="Times New Roman"/>
          <w:kern w:val="0"/>
          <w:lang w:val="zh-CN"/>
        </w:rPr>
        <w:t>2018</w:t>
      </w:r>
      <w:r>
        <w:rPr>
          <w:rFonts w:hint="eastAsia" w:ascii="宋体" w:hAnsi="宋体" w:cs="宋体"/>
          <w:kern w:val="0"/>
          <w:lang w:val="zh-CN"/>
        </w:rPr>
        <w:t>年增加</w:t>
      </w:r>
      <w:r>
        <w:rPr>
          <w:rFonts w:eastAsia="Times New Roman"/>
          <w:kern w:val="0"/>
          <w:lang w:val="zh-CN"/>
        </w:rPr>
        <w:t>118%</w:t>
      </w:r>
      <w:r>
        <w:rPr>
          <w:rFonts w:hint="eastAsia" w:ascii="宋体" w:hAnsi="宋体" w:cs="宋体"/>
          <w:kern w:val="0"/>
          <w:lang w:val="zh-CN"/>
        </w:rPr>
        <w:t>，但是血球试剂每毫升价格低，对收入影响小。</w:t>
      </w:r>
    </w:p>
    <w:p>
      <w:pPr>
        <w:pStyle w:val="14"/>
        <w:outlineLvl w:val="3"/>
        <w:rPr>
          <w:bCs w:val="0"/>
          <w:szCs w:val="24"/>
        </w:rPr>
      </w:pPr>
      <w:r>
        <w:rPr>
          <w:rFonts w:hint="eastAsia"/>
          <w:bCs w:val="0"/>
          <w:szCs w:val="24"/>
        </w:rPr>
        <w:t>（</w:t>
      </w:r>
      <w:r>
        <w:rPr>
          <w:bCs w:val="0"/>
          <w:szCs w:val="24"/>
        </w:rPr>
        <w:t>4</w:t>
      </w:r>
      <w:r>
        <w:rPr>
          <w:rFonts w:hint="eastAsia"/>
          <w:bCs w:val="0"/>
          <w:szCs w:val="24"/>
        </w:rPr>
        <w:t>）公司已签订的重大销售合同截至本报告期的履行情况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3"/>
        <w:rPr>
          <w:bCs w:val="0"/>
          <w:szCs w:val="24"/>
        </w:rPr>
      </w:pPr>
      <w:r>
        <w:rPr>
          <w:rFonts w:hint="eastAsia"/>
          <w:bCs w:val="0"/>
          <w:szCs w:val="24"/>
        </w:rPr>
        <w:t>（</w:t>
      </w:r>
      <w:r>
        <w:rPr>
          <w:bCs w:val="0"/>
          <w:szCs w:val="24"/>
        </w:rPr>
        <w:t>5</w:t>
      </w:r>
      <w:r>
        <w:rPr>
          <w:rFonts w:hint="eastAsia"/>
          <w:bCs w:val="0"/>
          <w:szCs w:val="24"/>
        </w:rPr>
        <w:t>）营业成本构成</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1369"/>
        <w:gridCol w:w="1367"/>
        <w:gridCol w:w="1367"/>
        <w:gridCol w:w="1367"/>
        <w:gridCol w:w="1367"/>
        <w:gridCol w:w="1367"/>
        <w:gridCol w:w="1367"/>
      </w:tblGrid>
      <w:tr>
        <w:tc>
          <w:tcPr>
            <w:tcW w:w="1369"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产品分类</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2734"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2019</w:t>
            </w:r>
            <w:r>
              <w:rPr>
                <w:rFonts w:hint="eastAsia"/>
                <w:szCs w:val="24"/>
              </w:rPr>
              <w:t>年</w:t>
            </w:r>
          </w:p>
        </w:tc>
        <w:tc>
          <w:tcPr>
            <w:tcW w:w="2734"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2018</w:t>
            </w:r>
            <w:r>
              <w:rPr>
                <w:rFonts w:hint="eastAsia"/>
                <w:szCs w:val="24"/>
              </w:rPr>
              <w:t>年</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同比增减</w:t>
            </w:r>
          </w:p>
        </w:tc>
      </w:tr>
      <w:tr>
        <w:tc>
          <w:tcPr>
            <w:tcW w:w="1369"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占营业成本比重</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占营业成本比重</w:t>
            </w: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体外诊断试剂</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原材料</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1,380,065,628.39</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92.56%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1,442,417,538.81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96.26%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-3.39%</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体外诊断仪器</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原材料</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134</w:t>
            </w:r>
            <w:r>
              <w:rPr>
                <w:rFonts w:hint="eastAsia"/>
                <w:szCs w:val="24"/>
              </w:rPr>
              <w:t>,1</w:t>
            </w:r>
            <w:r>
              <w:rPr>
                <w:szCs w:val="24"/>
              </w:rPr>
              <w:t>26</w:t>
            </w:r>
            <w:r>
              <w:rPr>
                <w:rFonts w:hint="eastAsia"/>
                <w:szCs w:val="24"/>
              </w:rPr>
              <w:t>,5</w:t>
            </w:r>
            <w:r>
              <w:rPr>
                <w:szCs w:val="24"/>
              </w:rPr>
              <w:t>30.17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89.62%</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160,531,912.92</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93.27%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-3.65%</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医学诊断服务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材料成本</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325,804,197.78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86.24%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295,878,599.73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85.24%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w:t>
            </w:r>
          </w:p>
        </w:tc>
      </w:tr>
    </w:tbl>
    <w:p>
      <w:pPr>
        <w:pStyle w:val="14"/>
        <w:outlineLvl w:val="3"/>
        <w:rPr>
          <w:bCs w:val="0"/>
          <w:szCs w:val="24"/>
        </w:rPr>
      </w:pPr>
      <w:r>
        <w:rPr>
          <w:rFonts w:hint="eastAsia"/>
          <w:bCs w:val="0"/>
          <w:szCs w:val="24"/>
        </w:rPr>
        <w:t>（</w:t>
      </w:r>
      <w:r>
        <w:rPr>
          <w:bCs w:val="0"/>
          <w:szCs w:val="24"/>
        </w:rPr>
        <w:t>6</w:t>
      </w:r>
      <w:r>
        <w:rPr>
          <w:rFonts w:hint="eastAsia"/>
          <w:bCs w:val="0"/>
          <w:szCs w:val="24"/>
        </w:rPr>
        <w:t>）报告期内合并范围是否发生变动</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autoSpaceDE w:val="0"/>
        <w:autoSpaceDN w:val="0"/>
        <w:adjustRightInd w:val="0"/>
        <w:spacing w:before="0" w:after="0"/>
        <w:rPr>
          <w:rFonts w:ascii="宋体" w:cs="宋体"/>
          <w:b/>
          <w:kern w:val="0"/>
          <w:sz w:val="21"/>
          <w:szCs w:val="24"/>
          <w:lang w:val="zh-CN"/>
        </w:rPr>
      </w:pPr>
      <w:r>
        <w:rPr>
          <w:rFonts w:hint="eastAsia" w:asciiTheme="minorEastAsia" w:hAnsiTheme="minorEastAsia" w:eastAsiaTheme="minorEastAsia"/>
          <w:b/>
          <w:kern w:val="0"/>
          <w:sz w:val="21"/>
          <w:szCs w:val="24"/>
          <w:lang w:val="zh-CN"/>
        </w:rPr>
        <w:t>一、</w:t>
      </w:r>
      <w:r>
        <w:rPr>
          <w:rFonts w:hint="eastAsia" w:ascii="宋体" w:hAnsi="宋体" w:cs="宋体"/>
          <w:b/>
          <w:kern w:val="0"/>
          <w:sz w:val="21"/>
          <w:szCs w:val="24"/>
          <w:lang w:val="zh-CN"/>
        </w:rPr>
        <w:t>处置子公司</w:t>
      </w:r>
    </w:p>
    <w:p>
      <w:pPr>
        <w:autoSpaceDE w:val="0"/>
        <w:autoSpaceDN w:val="0"/>
        <w:adjustRightInd w:val="0"/>
        <w:spacing w:before="0" w:after="0"/>
        <w:rPr>
          <w:rFonts w:ascii="宋体" w:cs="宋体"/>
          <w:b/>
          <w:kern w:val="0"/>
          <w:sz w:val="21"/>
          <w:szCs w:val="24"/>
          <w:lang w:val="zh-CN"/>
        </w:rPr>
      </w:pPr>
      <w:r>
        <w:rPr>
          <w:rFonts w:hint="eastAsia"/>
        </w:rPr>
        <w:t>单次处置对子公司投资即丧失控制权的情形</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 w:type="dxa"/>
          <w:left w:w="10" w:type="dxa"/>
          <w:bottom w:w="10" w:type="dxa"/>
          <w:right w:w="10" w:type="dxa"/>
        </w:tblCellMar>
      </w:tblPr>
      <w:tblGrid>
        <w:gridCol w:w="820"/>
        <w:gridCol w:w="1020"/>
        <w:gridCol w:w="622"/>
        <w:gridCol w:w="523"/>
        <w:gridCol w:w="767"/>
        <w:gridCol w:w="622"/>
        <w:gridCol w:w="940"/>
        <w:gridCol w:w="500"/>
        <w:gridCol w:w="940"/>
        <w:gridCol w:w="940"/>
        <w:gridCol w:w="860"/>
        <w:gridCol w:w="482"/>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460" w:type="pct"/>
            <w:shd w:val="clear" w:color="auto" w:fill="D8D8D8" w:themeFill="background1" w:themeFillShade="D9"/>
          </w:tcPr>
          <w:p>
            <w:pPr>
              <w:autoSpaceDE w:val="0"/>
              <w:autoSpaceDN w:val="0"/>
              <w:adjustRightInd w:val="0"/>
              <w:spacing w:before="0" w:after="0"/>
              <w:jc w:val="center"/>
              <w:rPr>
                <w:rFonts w:eastAsia="Times New Roman"/>
                <w:kern w:val="0"/>
                <w:sz w:val="16"/>
                <w:szCs w:val="24"/>
                <w:lang w:val="zh-CN"/>
              </w:rPr>
            </w:pPr>
            <w:r>
              <w:rPr>
                <w:rFonts w:hint="eastAsia" w:ascii="宋体" w:hAnsi="宋体" w:cs="宋体"/>
                <w:kern w:val="0"/>
                <w:sz w:val="16"/>
                <w:szCs w:val="24"/>
                <w:lang w:val="zh-CN"/>
              </w:rPr>
              <w:t>子公司名称</w:t>
            </w:r>
          </w:p>
        </w:tc>
        <w:tc>
          <w:tcPr>
            <w:tcW w:w="459" w:type="pct"/>
            <w:shd w:val="clear" w:color="auto" w:fill="D8D8D8" w:themeFill="background1" w:themeFillShade="D9"/>
          </w:tcPr>
          <w:p>
            <w:pPr>
              <w:autoSpaceDE w:val="0"/>
              <w:autoSpaceDN w:val="0"/>
              <w:adjustRightInd w:val="0"/>
              <w:spacing w:before="0" w:after="0"/>
              <w:jc w:val="center"/>
              <w:rPr>
                <w:rFonts w:eastAsia="Times New Roman"/>
                <w:kern w:val="0"/>
                <w:sz w:val="16"/>
                <w:szCs w:val="24"/>
                <w:lang w:val="zh-CN"/>
              </w:rPr>
            </w:pPr>
            <w:r>
              <w:rPr>
                <w:rFonts w:hint="eastAsia" w:ascii="宋体" w:hAnsi="宋体" w:cs="宋体"/>
                <w:kern w:val="0"/>
                <w:sz w:val="16"/>
                <w:szCs w:val="24"/>
                <w:lang w:val="zh-CN"/>
              </w:rPr>
              <w:t>股权处置价款</w:t>
            </w:r>
          </w:p>
        </w:tc>
        <w:tc>
          <w:tcPr>
            <w:tcW w:w="357" w:type="pct"/>
            <w:shd w:val="clear" w:color="auto" w:fill="D8D8D8" w:themeFill="background1" w:themeFillShade="D9"/>
          </w:tcPr>
          <w:p>
            <w:pPr>
              <w:autoSpaceDE w:val="0"/>
              <w:autoSpaceDN w:val="0"/>
              <w:adjustRightInd w:val="0"/>
              <w:spacing w:before="0" w:after="0"/>
              <w:jc w:val="center"/>
              <w:rPr>
                <w:rFonts w:eastAsia="Times New Roman"/>
                <w:kern w:val="0"/>
                <w:sz w:val="16"/>
                <w:szCs w:val="24"/>
                <w:lang w:val="zh-CN"/>
              </w:rPr>
            </w:pPr>
            <w:r>
              <w:rPr>
                <w:rFonts w:hint="eastAsia" w:ascii="宋体" w:hAnsi="宋体" w:cs="宋体"/>
                <w:kern w:val="0"/>
                <w:sz w:val="16"/>
                <w:szCs w:val="24"/>
                <w:lang w:val="zh-CN"/>
              </w:rPr>
              <w:t>股权处置比例（</w:t>
            </w:r>
            <w:r>
              <w:rPr>
                <w:rFonts w:eastAsia="Times New Roman"/>
                <w:kern w:val="0"/>
                <w:sz w:val="16"/>
                <w:szCs w:val="24"/>
                <w:lang w:val="zh-CN"/>
              </w:rPr>
              <w:t>%</w:t>
            </w:r>
            <w:r>
              <w:rPr>
                <w:rFonts w:hint="eastAsia" w:ascii="宋体" w:hAnsi="宋体" w:cs="宋体"/>
                <w:kern w:val="0"/>
                <w:sz w:val="16"/>
                <w:szCs w:val="24"/>
                <w:lang w:val="zh-CN"/>
              </w:rPr>
              <w:t>）</w:t>
            </w:r>
          </w:p>
        </w:tc>
        <w:tc>
          <w:tcPr>
            <w:tcW w:w="306" w:type="pct"/>
            <w:shd w:val="clear" w:color="auto" w:fill="D8D8D8" w:themeFill="background1" w:themeFillShade="D9"/>
          </w:tcPr>
          <w:p>
            <w:pPr>
              <w:autoSpaceDE w:val="0"/>
              <w:autoSpaceDN w:val="0"/>
              <w:adjustRightInd w:val="0"/>
              <w:spacing w:before="0" w:after="0"/>
              <w:jc w:val="center"/>
              <w:rPr>
                <w:rFonts w:eastAsia="Times New Roman"/>
                <w:kern w:val="0"/>
                <w:sz w:val="16"/>
                <w:szCs w:val="24"/>
                <w:lang w:val="zh-CN"/>
              </w:rPr>
            </w:pPr>
            <w:r>
              <w:rPr>
                <w:rFonts w:hint="eastAsia" w:ascii="宋体" w:hAnsi="宋体" w:cs="宋体"/>
                <w:kern w:val="0"/>
                <w:sz w:val="16"/>
                <w:szCs w:val="24"/>
                <w:lang w:val="zh-CN"/>
              </w:rPr>
              <w:t>股权处置方式</w:t>
            </w:r>
          </w:p>
        </w:tc>
        <w:tc>
          <w:tcPr>
            <w:tcW w:w="357" w:type="pct"/>
            <w:shd w:val="clear" w:color="auto" w:fill="D8D8D8" w:themeFill="background1" w:themeFillShade="D9"/>
          </w:tcPr>
          <w:p>
            <w:pPr>
              <w:autoSpaceDE w:val="0"/>
              <w:autoSpaceDN w:val="0"/>
              <w:adjustRightInd w:val="0"/>
              <w:spacing w:before="0" w:after="0"/>
              <w:jc w:val="center"/>
              <w:rPr>
                <w:rFonts w:eastAsia="Times New Roman"/>
                <w:kern w:val="0"/>
                <w:sz w:val="16"/>
                <w:szCs w:val="24"/>
                <w:lang w:val="zh-CN"/>
              </w:rPr>
            </w:pPr>
            <w:r>
              <w:rPr>
                <w:rFonts w:hint="eastAsia" w:ascii="宋体" w:hAnsi="宋体" w:cs="宋体"/>
                <w:kern w:val="0"/>
                <w:sz w:val="16"/>
                <w:szCs w:val="24"/>
                <w:lang w:val="zh-CN"/>
              </w:rPr>
              <w:t>丧失控制权的时点</w:t>
            </w:r>
          </w:p>
        </w:tc>
        <w:tc>
          <w:tcPr>
            <w:tcW w:w="357" w:type="pct"/>
            <w:shd w:val="clear" w:color="auto" w:fill="D8D8D8" w:themeFill="background1" w:themeFillShade="D9"/>
          </w:tcPr>
          <w:p>
            <w:pPr>
              <w:autoSpaceDE w:val="0"/>
              <w:autoSpaceDN w:val="0"/>
              <w:adjustRightInd w:val="0"/>
              <w:spacing w:before="0" w:after="0"/>
              <w:jc w:val="center"/>
              <w:rPr>
                <w:rFonts w:eastAsia="Times New Roman"/>
                <w:kern w:val="0"/>
                <w:sz w:val="16"/>
                <w:szCs w:val="24"/>
                <w:lang w:val="zh-CN"/>
              </w:rPr>
            </w:pPr>
            <w:r>
              <w:rPr>
                <w:rFonts w:hint="eastAsia" w:ascii="宋体" w:hAnsi="宋体" w:cs="宋体"/>
                <w:kern w:val="0"/>
                <w:sz w:val="16"/>
                <w:szCs w:val="24"/>
                <w:lang w:val="zh-CN"/>
              </w:rPr>
              <w:t>丧失控制权时点的确定依据</w:t>
            </w:r>
          </w:p>
        </w:tc>
        <w:tc>
          <w:tcPr>
            <w:tcW w:w="510" w:type="pct"/>
            <w:shd w:val="clear" w:color="auto" w:fill="D8D8D8" w:themeFill="background1" w:themeFillShade="D9"/>
          </w:tcPr>
          <w:p>
            <w:pPr>
              <w:autoSpaceDE w:val="0"/>
              <w:autoSpaceDN w:val="0"/>
              <w:adjustRightInd w:val="0"/>
              <w:spacing w:before="0" w:after="0"/>
              <w:jc w:val="center"/>
              <w:rPr>
                <w:rFonts w:eastAsia="Times New Roman"/>
                <w:kern w:val="0"/>
                <w:sz w:val="16"/>
                <w:szCs w:val="24"/>
                <w:lang w:val="zh-CN"/>
              </w:rPr>
            </w:pPr>
            <w:r>
              <w:rPr>
                <w:rFonts w:hint="eastAsia" w:ascii="宋体" w:hAnsi="宋体" w:cs="宋体"/>
                <w:kern w:val="0"/>
                <w:sz w:val="16"/>
                <w:szCs w:val="24"/>
                <w:lang w:val="zh-CN"/>
              </w:rPr>
              <w:t>处置价款与处置投资对应的合并财务报表层面享有该子公司净资产份额的差额</w:t>
            </w:r>
          </w:p>
        </w:tc>
        <w:tc>
          <w:tcPr>
            <w:tcW w:w="306" w:type="pct"/>
            <w:shd w:val="clear" w:color="auto" w:fill="D8D8D8" w:themeFill="background1" w:themeFillShade="D9"/>
          </w:tcPr>
          <w:p>
            <w:pPr>
              <w:autoSpaceDE w:val="0"/>
              <w:autoSpaceDN w:val="0"/>
              <w:adjustRightInd w:val="0"/>
              <w:spacing w:before="0" w:after="0"/>
              <w:jc w:val="center"/>
              <w:rPr>
                <w:rFonts w:eastAsia="Times New Roman"/>
                <w:kern w:val="0"/>
                <w:sz w:val="16"/>
                <w:szCs w:val="24"/>
                <w:lang w:val="zh-CN"/>
              </w:rPr>
            </w:pPr>
            <w:r>
              <w:rPr>
                <w:rFonts w:hint="eastAsia" w:ascii="宋体" w:hAnsi="宋体" w:cs="宋体"/>
                <w:kern w:val="0"/>
                <w:sz w:val="16"/>
                <w:szCs w:val="24"/>
                <w:lang w:val="zh-CN"/>
              </w:rPr>
              <w:t>丧失控制权之日剩余股权的比例（</w:t>
            </w:r>
            <w:r>
              <w:rPr>
                <w:rFonts w:eastAsia="Times New Roman"/>
                <w:kern w:val="0"/>
                <w:sz w:val="16"/>
                <w:szCs w:val="24"/>
                <w:lang w:val="zh-CN"/>
              </w:rPr>
              <w:t>%</w:t>
            </w:r>
            <w:r>
              <w:rPr>
                <w:rFonts w:hint="eastAsia" w:ascii="宋体" w:hAnsi="宋体" w:cs="宋体"/>
                <w:kern w:val="0"/>
                <w:sz w:val="16"/>
                <w:szCs w:val="24"/>
                <w:lang w:val="zh-CN"/>
              </w:rPr>
              <w:t>）</w:t>
            </w:r>
          </w:p>
        </w:tc>
        <w:tc>
          <w:tcPr>
            <w:tcW w:w="408" w:type="pct"/>
            <w:shd w:val="clear" w:color="auto" w:fill="D8D8D8" w:themeFill="background1" w:themeFillShade="D9"/>
          </w:tcPr>
          <w:p>
            <w:pPr>
              <w:autoSpaceDE w:val="0"/>
              <w:autoSpaceDN w:val="0"/>
              <w:adjustRightInd w:val="0"/>
              <w:spacing w:before="0" w:after="0"/>
              <w:jc w:val="center"/>
              <w:rPr>
                <w:rFonts w:eastAsia="Times New Roman"/>
                <w:kern w:val="0"/>
                <w:sz w:val="16"/>
                <w:szCs w:val="24"/>
                <w:lang w:val="zh-CN"/>
              </w:rPr>
            </w:pPr>
            <w:r>
              <w:rPr>
                <w:rFonts w:hint="eastAsia" w:ascii="宋体" w:hAnsi="宋体" w:cs="宋体"/>
                <w:kern w:val="0"/>
                <w:sz w:val="16"/>
                <w:szCs w:val="24"/>
                <w:lang w:val="zh-CN"/>
              </w:rPr>
              <w:t>丧失控制权之日剩余股权的账面价值</w:t>
            </w:r>
          </w:p>
        </w:tc>
        <w:tc>
          <w:tcPr>
            <w:tcW w:w="357" w:type="pct"/>
            <w:shd w:val="clear" w:color="auto" w:fill="D8D8D8" w:themeFill="background1" w:themeFillShade="D9"/>
          </w:tcPr>
          <w:p>
            <w:pPr>
              <w:autoSpaceDE w:val="0"/>
              <w:autoSpaceDN w:val="0"/>
              <w:adjustRightInd w:val="0"/>
              <w:spacing w:before="0" w:after="0"/>
              <w:jc w:val="center"/>
              <w:rPr>
                <w:rFonts w:eastAsia="Times New Roman"/>
                <w:kern w:val="0"/>
                <w:sz w:val="16"/>
                <w:szCs w:val="24"/>
                <w:lang w:val="zh-CN"/>
              </w:rPr>
            </w:pPr>
            <w:r>
              <w:rPr>
                <w:rFonts w:hint="eastAsia" w:ascii="宋体" w:hAnsi="宋体" w:cs="宋体"/>
                <w:kern w:val="0"/>
                <w:sz w:val="16"/>
                <w:szCs w:val="24"/>
                <w:lang w:val="zh-CN"/>
              </w:rPr>
              <w:t>丧失控制权之日剩余股权的公允价值</w:t>
            </w:r>
          </w:p>
        </w:tc>
        <w:tc>
          <w:tcPr>
            <w:tcW w:w="459" w:type="pct"/>
            <w:shd w:val="clear" w:color="auto" w:fill="D8D8D8" w:themeFill="background1" w:themeFillShade="D9"/>
          </w:tcPr>
          <w:p>
            <w:pPr>
              <w:autoSpaceDE w:val="0"/>
              <w:autoSpaceDN w:val="0"/>
              <w:adjustRightInd w:val="0"/>
              <w:spacing w:before="0" w:after="0"/>
              <w:jc w:val="center"/>
              <w:rPr>
                <w:rFonts w:eastAsia="Times New Roman"/>
                <w:kern w:val="0"/>
                <w:sz w:val="16"/>
                <w:szCs w:val="24"/>
                <w:lang w:val="zh-CN"/>
              </w:rPr>
            </w:pPr>
            <w:r>
              <w:rPr>
                <w:rFonts w:hint="eastAsia" w:ascii="宋体" w:hAnsi="宋体" w:cs="宋体"/>
                <w:kern w:val="0"/>
                <w:sz w:val="16"/>
                <w:szCs w:val="24"/>
                <w:lang w:val="zh-CN"/>
              </w:rPr>
              <w:t>按照公允价值重新计量剩余股权产生的利得或损失</w:t>
            </w:r>
          </w:p>
        </w:tc>
        <w:tc>
          <w:tcPr>
            <w:tcW w:w="306" w:type="pct"/>
            <w:shd w:val="clear" w:color="auto" w:fill="D8D8D8" w:themeFill="background1" w:themeFillShade="D9"/>
          </w:tcPr>
          <w:p>
            <w:pPr>
              <w:autoSpaceDE w:val="0"/>
              <w:autoSpaceDN w:val="0"/>
              <w:adjustRightInd w:val="0"/>
              <w:spacing w:before="0" w:after="0"/>
              <w:jc w:val="center"/>
              <w:rPr>
                <w:rFonts w:eastAsia="Times New Roman"/>
                <w:kern w:val="0"/>
                <w:sz w:val="16"/>
                <w:szCs w:val="24"/>
                <w:lang w:val="zh-CN"/>
              </w:rPr>
            </w:pPr>
            <w:r>
              <w:rPr>
                <w:rFonts w:hint="eastAsia" w:ascii="宋体" w:hAnsi="宋体" w:cs="宋体"/>
                <w:kern w:val="0"/>
                <w:sz w:val="16"/>
                <w:szCs w:val="24"/>
                <w:lang w:val="zh-CN"/>
              </w:rPr>
              <w:t>丧失控制权之日剩余股权公允价值的确定方法及主要假设</w:t>
            </w:r>
          </w:p>
        </w:tc>
        <w:tc>
          <w:tcPr>
            <w:tcW w:w="357" w:type="pct"/>
            <w:shd w:val="clear" w:color="auto" w:fill="D8D8D8" w:themeFill="background1" w:themeFillShade="D9"/>
          </w:tcPr>
          <w:p>
            <w:pPr>
              <w:autoSpaceDE w:val="0"/>
              <w:autoSpaceDN w:val="0"/>
              <w:adjustRightInd w:val="0"/>
              <w:spacing w:before="0" w:after="0"/>
              <w:jc w:val="center"/>
              <w:rPr>
                <w:rFonts w:eastAsia="Times New Roman"/>
                <w:kern w:val="0"/>
                <w:sz w:val="16"/>
                <w:szCs w:val="24"/>
                <w:lang w:val="zh-CN"/>
              </w:rPr>
            </w:pPr>
            <w:r>
              <w:rPr>
                <w:rFonts w:hint="eastAsia" w:ascii="宋体" w:hAnsi="宋体" w:cs="宋体"/>
                <w:kern w:val="0"/>
                <w:sz w:val="16"/>
                <w:szCs w:val="24"/>
                <w:lang w:val="zh-CN"/>
              </w:rPr>
              <w:t>与原子公司股权投资相关的其他综合收益转入投资损益的金额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460" w:type="pct"/>
          </w:tcPr>
          <w:p>
            <w:pPr>
              <w:autoSpaceDE w:val="0"/>
              <w:autoSpaceDN w:val="0"/>
              <w:adjustRightInd w:val="0"/>
              <w:spacing w:before="0" w:after="0"/>
              <w:jc w:val="left"/>
              <w:rPr>
                <w:rFonts w:eastAsia="Times New Roman"/>
                <w:kern w:val="0"/>
                <w:sz w:val="16"/>
                <w:szCs w:val="24"/>
                <w:lang w:val="zh-CN"/>
              </w:rPr>
            </w:pPr>
            <w:r>
              <w:rPr>
                <w:rFonts w:hint="eastAsia" w:ascii="宋体" w:hAnsi="宋体" w:cs="宋体"/>
                <w:kern w:val="0"/>
                <w:sz w:val="16"/>
                <w:szCs w:val="24"/>
                <w:lang w:val="zh-CN"/>
              </w:rPr>
              <w:t>赣州美康盛德医学检验所有限公司</w:t>
            </w:r>
          </w:p>
        </w:tc>
        <w:tc>
          <w:tcPr>
            <w:tcW w:w="459" w:type="pct"/>
          </w:tcPr>
          <w:p>
            <w:pPr>
              <w:autoSpaceDE w:val="0"/>
              <w:autoSpaceDN w:val="0"/>
              <w:adjustRightInd w:val="0"/>
              <w:spacing w:before="0" w:after="0"/>
              <w:jc w:val="right"/>
              <w:rPr>
                <w:rFonts w:eastAsia="Times New Roman"/>
                <w:kern w:val="0"/>
                <w:sz w:val="16"/>
                <w:szCs w:val="24"/>
                <w:lang w:val="zh-CN"/>
              </w:rPr>
            </w:pP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35.00</w:t>
            </w:r>
          </w:p>
        </w:tc>
        <w:tc>
          <w:tcPr>
            <w:tcW w:w="306" w:type="pct"/>
          </w:tcPr>
          <w:p>
            <w:pPr>
              <w:autoSpaceDE w:val="0"/>
              <w:autoSpaceDN w:val="0"/>
              <w:adjustRightInd w:val="0"/>
              <w:spacing w:before="0" w:after="0"/>
              <w:jc w:val="right"/>
              <w:rPr>
                <w:rFonts w:eastAsia="Times New Roman"/>
                <w:kern w:val="0"/>
                <w:sz w:val="16"/>
                <w:szCs w:val="24"/>
                <w:lang w:val="zh-CN"/>
              </w:rPr>
            </w:pPr>
            <w:r>
              <w:rPr>
                <w:rFonts w:hint="eastAsia" w:ascii="宋体" w:hAnsi="宋体" w:cs="宋体"/>
                <w:kern w:val="0"/>
                <w:sz w:val="16"/>
                <w:szCs w:val="24"/>
                <w:lang w:val="zh-CN"/>
              </w:rPr>
              <w:t>转让</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2019-4-16</w:t>
            </w:r>
          </w:p>
        </w:tc>
        <w:tc>
          <w:tcPr>
            <w:tcW w:w="357" w:type="pct"/>
          </w:tcPr>
          <w:p>
            <w:pPr>
              <w:autoSpaceDE w:val="0"/>
              <w:autoSpaceDN w:val="0"/>
              <w:adjustRightInd w:val="0"/>
              <w:spacing w:before="0" w:after="0"/>
              <w:jc w:val="right"/>
              <w:rPr>
                <w:rFonts w:eastAsia="Times New Roman"/>
                <w:kern w:val="0"/>
                <w:sz w:val="16"/>
                <w:szCs w:val="24"/>
                <w:lang w:val="zh-CN"/>
              </w:rPr>
            </w:pPr>
            <w:r>
              <w:rPr>
                <w:rFonts w:hint="eastAsia" w:ascii="宋体" w:hAnsi="宋体" w:cs="宋体"/>
                <w:kern w:val="0"/>
                <w:sz w:val="16"/>
                <w:szCs w:val="24"/>
                <w:lang w:val="zh-CN"/>
              </w:rPr>
              <w:t>办妥工商变更</w:t>
            </w:r>
          </w:p>
        </w:tc>
        <w:tc>
          <w:tcPr>
            <w:tcW w:w="510" w:type="pct"/>
          </w:tcPr>
          <w:p>
            <w:pPr>
              <w:autoSpaceDE w:val="0"/>
              <w:autoSpaceDN w:val="0"/>
              <w:adjustRightInd w:val="0"/>
              <w:spacing w:before="0" w:after="0"/>
              <w:jc w:val="right"/>
              <w:rPr>
                <w:rFonts w:eastAsia="Times New Roman"/>
                <w:kern w:val="0"/>
                <w:sz w:val="16"/>
                <w:szCs w:val="24"/>
                <w:lang w:val="zh-CN"/>
              </w:rPr>
            </w:pPr>
          </w:p>
        </w:tc>
        <w:tc>
          <w:tcPr>
            <w:tcW w:w="306"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20.00</w:t>
            </w:r>
          </w:p>
        </w:tc>
        <w:tc>
          <w:tcPr>
            <w:tcW w:w="408" w:type="pct"/>
          </w:tcPr>
          <w:p>
            <w:pPr>
              <w:autoSpaceDE w:val="0"/>
              <w:autoSpaceDN w:val="0"/>
              <w:adjustRightInd w:val="0"/>
              <w:spacing w:before="0" w:after="0"/>
              <w:jc w:val="right"/>
              <w:rPr>
                <w:rFonts w:eastAsia="Times New Roman"/>
                <w:kern w:val="0"/>
                <w:sz w:val="16"/>
                <w:szCs w:val="24"/>
                <w:lang w:val="zh-CN"/>
              </w:rPr>
            </w:pPr>
          </w:p>
        </w:tc>
        <w:tc>
          <w:tcPr>
            <w:tcW w:w="357" w:type="pct"/>
          </w:tcPr>
          <w:p>
            <w:pPr>
              <w:autoSpaceDE w:val="0"/>
              <w:autoSpaceDN w:val="0"/>
              <w:adjustRightInd w:val="0"/>
              <w:spacing w:before="0" w:after="0"/>
              <w:jc w:val="right"/>
              <w:rPr>
                <w:rFonts w:eastAsia="Times New Roman"/>
                <w:kern w:val="0"/>
                <w:sz w:val="16"/>
                <w:szCs w:val="24"/>
                <w:lang w:val="zh-CN"/>
              </w:rPr>
            </w:pPr>
          </w:p>
        </w:tc>
        <w:tc>
          <w:tcPr>
            <w:tcW w:w="459" w:type="pct"/>
          </w:tcPr>
          <w:p>
            <w:pPr>
              <w:autoSpaceDE w:val="0"/>
              <w:autoSpaceDN w:val="0"/>
              <w:adjustRightInd w:val="0"/>
              <w:spacing w:before="0" w:after="0"/>
              <w:jc w:val="right"/>
              <w:rPr>
                <w:rFonts w:eastAsia="Times New Roman"/>
                <w:kern w:val="0"/>
                <w:sz w:val="16"/>
                <w:szCs w:val="24"/>
                <w:lang w:val="zh-CN"/>
              </w:rPr>
            </w:pPr>
          </w:p>
        </w:tc>
        <w:tc>
          <w:tcPr>
            <w:tcW w:w="306" w:type="pct"/>
          </w:tcPr>
          <w:p>
            <w:pPr>
              <w:autoSpaceDE w:val="0"/>
              <w:autoSpaceDN w:val="0"/>
              <w:adjustRightInd w:val="0"/>
              <w:spacing w:before="0" w:after="0"/>
              <w:jc w:val="right"/>
              <w:rPr>
                <w:rFonts w:eastAsia="Times New Roman"/>
                <w:kern w:val="0"/>
                <w:sz w:val="16"/>
                <w:szCs w:val="24"/>
                <w:lang w:val="zh-CN"/>
              </w:rPr>
            </w:pPr>
          </w:p>
        </w:tc>
        <w:tc>
          <w:tcPr>
            <w:tcW w:w="357" w:type="pct"/>
          </w:tcPr>
          <w:p>
            <w:pPr>
              <w:autoSpaceDE w:val="0"/>
              <w:autoSpaceDN w:val="0"/>
              <w:adjustRightInd w:val="0"/>
              <w:spacing w:before="0" w:after="0"/>
              <w:jc w:val="right"/>
              <w:rPr>
                <w:rFonts w:eastAsia="Times New Roman"/>
                <w:kern w:val="0"/>
                <w:sz w:val="16"/>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460" w:type="pct"/>
          </w:tcPr>
          <w:p>
            <w:pPr>
              <w:autoSpaceDE w:val="0"/>
              <w:autoSpaceDN w:val="0"/>
              <w:adjustRightInd w:val="0"/>
              <w:spacing w:before="0" w:after="0"/>
              <w:jc w:val="left"/>
              <w:rPr>
                <w:rFonts w:eastAsia="Times New Roman"/>
                <w:kern w:val="0"/>
                <w:sz w:val="16"/>
                <w:szCs w:val="24"/>
                <w:lang w:val="zh-CN"/>
              </w:rPr>
            </w:pPr>
            <w:r>
              <w:rPr>
                <w:rFonts w:hint="eastAsia" w:ascii="宋体" w:hAnsi="宋体" w:cs="宋体"/>
                <w:kern w:val="0"/>
                <w:sz w:val="16"/>
                <w:szCs w:val="24"/>
                <w:lang w:val="zh-CN"/>
              </w:rPr>
              <w:t>江西省美康医疗器械有限公司</w:t>
            </w:r>
          </w:p>
        </w:tc>
        <w:tc>
          <w:tcPr>
            <w:tcW w:w="459"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6,000,000.00</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52.00</w:t>
            </w:r>
          </w:p>
        </w:tc>
        <w:tc>
          <w:tcPr>
            <w:tcW w:w="306" w:type="pct"/>
          </w:tcPr>
          <w:p>
            <w:pPr>
              <w:autoSpaceDE w:val="0"/>
              <w:autoSpaceDN w:val="0"/>
              <w:adjustRightInd w:val="0"/>
              <w:spacing w:before="0" w:after="0"/>
              <w:jc w:val="right"/>
              <w:rPr>
                <w:rFonts w:eastAsia="Times New Roman"/>
                <w:kern w:val="0"/>
                <w:sz w:val="16"/>
                <w:szCs w:val="24"/>
                <w:lang w:val="zh-CN"/>
              </w:rPr>
            </w:pPr>
            <w:r>
              <w:rPr>
                <w:rFonts w:hint="eastAsia" w:ascii="宋体" w:hAnsi="宋体" w:cs="宋体"/>
                <w:kern w:val="0"/>
                <w:sz w:val="16"/>
                <w:szCs w:val="24"/>
                <w:lang w:val="zh-CN"/>
              </w:rPr>
              <w:t>转让</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2019-2-21</w:t>
            </w:r>
          </w:p>
        </w:tc>
        <w:tc>
          <w:tcPr>
            <w:tcW w:w="357" w:type="pct"/>
          </w:tcPr>
          <w:p>
            <w:pPr>
              <w:autoSpaceDE w:val="0"/>
              <w:autoSpaceDN w:val="0"/>
              <w:adjustRightInd w:val="0"/>
              <w:spacing w:before="0" w:after="0"/>
              <w:jc w:val="right"/>
              <w:rPr>
                <w:rFonts w:eastAsia="Times New Roman"/>
                <w:kern w:val="0"/>
                <w:sz w:val="16"/>
                <w:szCs w:val="24"/>
                <w:lang w:val="zh-CN"/>
              </w:rPr>
            </w:pPr>
            <w:r>
              <w:rPr>
                <w:rFonts w:hint="eastAsia" w:ascii="宋体" w:hAnsi="宋体" w:cs="宋体"/>
                <w:kern w:val="0"/>
                <w:sz w:val="16"/>
                <w:szCs w:val="24"/>
                <w:lang w:val="zh-CN"/>
              </w:rPr>
              <w:t>办妥工商变更</w:t>
            </w:r>
          </w:p>
        </w:tc>
        <w:tc>
          <w:tcPr>
            <w:tcW w:w="510"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2,228,540.32</w:t>
            </w:r>
          </w:p>
        </w:tc>
        <w:tc>
          <w:tcPr>
            <w:tcW w:w="306" w:type="pct"/>
          </w:tcPr>
          <w:p>
            <w:pPr>
              <w:autoSpaceDE w:val="0"/>
              <w:autoSpaceDN w:val="0"/>
              <w:adjustRightInd w:val="0"/>
              <w:spacing w:before="0" w:after="0"/>
              <w:jc w:val="right"/>
              <w:rPr>
                <w:rFonts w:eastAsia="Times New Roman"/>
                <w:kern w:val="0"/>
                <w:sz w:val="16"/>
                <w:szCs w:val="24"/>
                <w:lang w:val="zh-CN"/>
              </w:rPr>
            </w:pPr>
          </w:p>
        </w:tc>
        <w:tc>
          <w:tcPr>
            <w:tcW w:w="408" w:type="pct"/>
          </w:tcPr>
          <w:p>
            <w:pPr>
              <w:autoSpaceDE w:val="0"/>
              <w:autoSpaceDN w:val="0"/>
              <w:adjustRightInd w:val="0"/>
              <w:spacing w:before="0" w:after="0"/>
              <w:jc w:val="right"/>
              <w:rPr>
                <w:rFonts w:eastAsia="Times New Roman"/>
                <w:kern w:val="0"/>
                <w:sz w:val="16"/>
                <w:szCs w:val="24"/>
                <w:lang w:val="zh-CN"/>
              </w:rPr>
            </w:pPr>
          </w:p>
        </w:tc>
        <w:tc>
          <w:tcPr>
            <w:tcW w:w="357" w:type="pct"/>
          </w:tcPr>
          <w:p>
            <w:pPr>
              <w:autoSpaceDE w:val="0"/>
              <w:autoSpaceDN w:val="0"/>
              <w:adjustRightInd w:val="0"/>
              <w:spacing w:before="0" w:after="0"/>
              <w:jc w:val="right"/>
              <w:rPr>
                <w:rFonts w:eastAsia="Times New Roman"/>
                <w:kern w:val="0"/>
                <w:sz w:val="16"/>
                <w:szCs w:val="24"/>
                <w:lang w:val="zh-CN"/>
              </w:rPr>
            </w:pPr>
          </w:p>
        </w:tc>
        <w:tc>
          <w:tcPr>
            <w:tcW w:w="459" w:type="pct"/>
          </w:tcPr>
          <w:p>
            <w:pPr>
              <w:autoSpaceDE w:val="0"/>
              <w:autoSpaceDN w:val="0"/>
              <w:adjustRightInd w:val="0"/>
              <w:spacing w:before="0" w:after="0"/>
              <w:jc w:val="right"/>
              <w:rPr>
                <w:rFonts w:eastAsia="Times New Roman"/>
                <w:kern w:val="0"/>
                <w:sz w:val="16"/>
                <w:szCs w:val="24"/>
                <w:lang w:val="zh-CN"/>
              </w:rPr>
            </w:pPr>
          </w:p>
        </w:tc>
        <w:tc>
          <w:tcPr>
            <w:tcW w:w="306" w:type="pct"/>
          </w:tcPr>
          <w:p>
            <w:pPr>
              <w:autoSpaceDE w:val="0"/>
              <w:autoSpaceDN w:val="0"/>
              <w:adjustRightInd w:val="0"/>
              <w:spacing w:before="0" w:after="0"/>
              <w:jc w:val="right"/>
              <w:rPr>
                <w:rFonts w:eastAsia="Times New Roman"/>
                <w:kern w:val="0"/>
                <w:sz w:val="16"/>
                <w:szCs w:val="24"/>
                <w:lang w:val="zh-CN"/>
              </w:rPr>
            </w:pPr>
          </w:p>
        </w:tc>
        <w:tc>
          <w:tcPr>
            <w:tcW w:w="357" w:type="pct"/>
          </w:tcPr>
          <w:p>
            <w:pPr>
              <w:autoSpaceDE w:val="0"/>
              <w:autoSpaceDN w:val="0"/>
              <w:adjustRightInd w:val="0"/>
              <w:spacing w:before="0" w:after="0"/>
              <w:jc w:val="right"/>
              <w:rPr>
                <w:rFonts w:eastAsia="Times New Roman"/>
                <w:kern w:val="0"/>
                <w:sz w:val="16"/>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460" w:type="pct"/>
          </w:tcPr>
          <w:p>
            <w:pPr>
              <w:autoSpaceDE w:val="0"/>
              <w:autoSpaceDN w:val="0"/>
              <w:adjustRightInd w:val="0"/>
              <w:spacing w:before="0" w:after="0"/>
              <w:jc w:val="left"/>
              <w:rPr>
                <w:rFonts w:eastAsia="Times New Roman"/>
                <w:kern w:val="0"/>
                <w:sz w:val="16"/>
                <w:szCs w:val="24"/>
                <w:lang w:val="zh-CN"/>
              </w:rPr>
            </w:pPr>
            <w:r>
              <w:rPr>
                <w:rFonts w:hint="eastAsia" w:ascii="宋体" w:hAnsi="宋体" w:cs="宋体"/>
                <w:kern w:val="0"/>
                <w:sz w:val="16"/>
                <w:szCs w:val="24"/>
                <w:lang w:val="zh-CN"/>
              </w:rPr>
              <w:t>上饶美康盛德医学检验所有限公司</w:t>
            </w:r>
          </w:p>
        </w:tc>
        <w:tc>
          <w:tcPr>
            <w:tcW w:w="459"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11,000,000.00</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52.00</w:t>
            </w:r>
          </w:p>
        </w:tc>
        <w:tc>
          <w:tcPr>
            <w:tcW w:w="306" w:type="pct"/>
          </w:tcPr>
          <w:p>
            <w:pPr>
              <w:autoSpaceDE w:val="0"/>
              <w:autoSpaceDN w:val="0"/>
              <w:adjustRightInd w:val="0"/>
              <w:spacing w:before="0" w:after="0"/>
              <w:jc w:val="right"/>
              <w:rPr>
                <w:rFonts w:eastAsia="Times New Roman"/>
                <w:kern w:val="0"/>
                <w:sz w:val="16"/>
                <w:szCs w:val="24"/>
                <w:lang w:val="zh-CN"/>
              </w:rPr>
            </w:pPr>
            <w:r>
              <w:rPr>
                <w:rFonts w:hint="eastAsia" w:ascii="宋体" w:hAnsi="宋体" w:cs="宋体"/>
                <w:kern w:val="0"/>
                <w:sz w:val="16"/>
                <w:szCs w:val="24"/>
                <w:lang w:val="zh-CN"/>
              </w:rPr>
              <w:t>转让</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2019-2-21</w:t>
            </w:r>
          </w:p>
        </w:tc>
        <w:tc>
          <w:tcPr>
            <w:tcW w:w="357" w:type="pct"/>
          </w:tcPr>
          <w:p>
            <w:pPr>
              <w:autoSpaceDE w:val="0"/>
              <w:autoSpaceDN w:val="0"/>
              <w:adjustRightInd w:val="0"/>
              <w:spacing w:before="0" w:after="0"/>
              <w:jc w:val="right"/>
              <w:rPr>
                <w:rFonts w:eastAsia="Times New Roman"/>
                <w:kern w:val="0"/>
                <w:sz w:val="16"/>
                <w:szCs w:val="24"/>
                <w:lang w:val="zh-CN"/>
              </w:rPr>
            </w:pPr>
            <w:r>
              <w:rPr>
                <w:rFonts w:hint="eastAsia" w:ascii="宋体" w:hAnsi="宋体" w:cs="宋体"/>
                <w:kern w:val="0"/>
                <w:sz w:val="16"/>
                <w:szCs w:val="24"/>
                <w:lang w:val="zh-CN"/>
              </w:rPr>
              <w:t>办妥工商变更</w:t>
            </w:r>
          </w:p>
        </w:tc>
        <w:tc>
          <w:tcPr>
            <w:tcW w:w="510"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3,088,645.14</w:t>
            </w:r>
          </w:p>
        </w:tc>
        <w:tc>
          <w:tcPr>
            <w:tcW w:w="306" w:type="pct"/>
          </w:tcPr>
          <w:p>
            <w:pPr>
              <w:autoSpaceDE w:val="0"/>
              <w:autoSpaceDN w:val="0"/>
              <w:adjustRightInd w:val="0"/>
              <w:spacing w:before="0" w:after="0"/>
              <w:jc w:val="right"/>
              <w:rPr>
                <w:rFonts w:eastAsia="Times New Roman"/>
                <w:kern w:val="0"/>
                <w:sz w:val="16"/>
                <w:szCs w:val="24"/>
                <w:lang w:val="zh-CN"/>
              </w:rPr>
            </w:pPr>
          </w:p>
        </w:tc>
        <w:tc>
          <w:tcPr>
            <w:tcW w:w="408" w:type="pct"/>
          </w:tcPr>
          <w:p>
            <w:pPr>
              <w:autoSpaceDE w:val="0"/>
              <w:autoSpaceDN w:val="0"/>
              <w:adjustRightInd w:val="0"/>
              <w:spacing w:before="0" w:after="0"/>
              <w:jc w:val="right"/>
              <w:rPr>
                <w:rFonts w:eastAsia="Times New Roman"/>
                <w:kern w:val="0"/>
                <w:sz w:val="16"/>
                <w:szCs w:val="24"/>
                <w:lang w:val="zh-CN"/>
              </w:rPr>
            </w:pPr>
          </w:p>
        </w:tc>
        <w:tc>
          <w:tcPr>
            <w:tcW w:w="357" w:type="pct"/>
          </w:tcPr>
          <w:p>
            <w:pPr>
              <w:autoSpaceDE w:val="0"/>
              <w:autoSpaceDN w:val="0"/>
              <w:adjustRightInd w:val="0"/>
              <w:spacing w:before="0" w:after="0"/>
              <w:jc w:val="right"/>
              <w:rPr>
                <w:rFonts w:eastAsia="Times New Roman"/>
                <w:kern w:val="0"/>
                <w:sz w:val="16"/>
                <w:szCs w:val="24"/>
                <w:lang w:val="zh-CN"/>
              </w:rPr>
            </w:pPr>
          </w:p>
        </w:tc>
        <w:tc>
          <w:tcPr>
            <w:tcW w:w="459" w:type="pct"/>
          </w:tcPr>
          <w:p>
            <w:pPr>
              <w:autoSpaceDE w:val="0"/>
              <w:autoSpaceDN w:val="0"/>
              <w:adjustRightInd w:val="0"/>
              <w:spacing w:before="0" w:after="0"/>
              <w:jc w:val="right"/>
              <w:rPr>
                <w:rFonts w:eastAsia="Times New Roman"/>
                <w:kern w:val="0"/>
                <w:sz w:val="16"/>
                <w:szCs w:val="24"/>
                <w:lang w:val="zh-CN"/>
              </w:rPr>
            </w:pPr>
          </w:p>
        </w:tc>
        <w:tc>
          <w:tcPr>
            <w:tcW w:w="306" w:type="pct"/>
          </w:tcPr>
          <w:p>
            <w:pPr>
              <w:autoSpaceDE w:val="0"/>
              <w:autoSpaceDN w:val="0"/>
              <w:adjustRightInd w:val="0"/>
              <w:spacing w:before="0" w:after="0"/>
              <w:jc w:val="right"/>
              <w:rPr>
                <w:rFonts w:eastAsia="Times New Roman"/>
                <w:kern w:val="0"/>
                <w:sz w:val="16"/>
                <w:szCs w:val="24"/>
                <w:lang w:val="zh-CN"/>
              </w:rPr>
            </w:pPr>
          </w:p>
        </w:tc>
        <w:tc>
          <w:tcPr>
            <w:tcW w:w="357" w:type="pct"/>
          </w:tcPr>
          <w:p>
            <w:pPr>
              <w:autoSpaceDE w:val="0"/>
              <w:autoSpaceDN w:val="0"/>
              <w:adjustRightInd w:val="0"/>
              <w:spacing w:before="0" w:after="0"/>
              <w:jc w:val="right"/>
              <w:rPr>
                <w:rFonts w:eastAsia="Times New Roman"/>
                <w:kern w:val="0"/>
                <w:sz w:val="16"/>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460" w:type="pct"/>
          </w:tcPr>
          <w:p>
            <w:pPr>
              <w:autoSpaceDE w:val="0"/>
              <w:autoSpaceDN w:val="0"/>
              <w:adjustRightInd w:val="0"/>
              <w:spacing w:before="0" w:after="0"/>
              <w:jc w:val="left"/>
              <w:rPr>
                <w:rFonts w:eastAsia="Times New Roman"/>
                <w:kern w:val="0"/>
                <w:sz w:val="16"/>
                <w:szCs w:val="24"/>
                <w:lang w:val="zh-CN"/>
              </w:rPr>
            </w:pPr>
            <w:r>
              <w:rPr>
                <w:rFonts w:hint="eastAsia" w:ascii="宋体" w:hAnsi="宋体" w:cs="宋体"/>
                <w:kern w:val="0"/>
                <w:sz w:val="16"/>
                <w:szCs w:val="24"/>
                <w:lang w:val="zh-CN"/>
              </w:rPr>
              <w:t>美康生物科技</w:t>
            </w:r>
            <w:r>
              <w:rPr>
                <w:rFonts w:eastAsia="Times New Roman"/>
                <w:kern w:val="0"/>
                <w:sz w:val="16"/>
                <w:szCs w:val="24"/>
                <w:lang w:val="zh-CN"/>
              </w:rPr>
              <w:t>(</w:t>
            </w:r>
            <w:r>
              <w:rPr>
                <w:rFonts w:hint="eastAsia" w:ascii="宋体" w:hAnsi="宋体" w:cs="宋体"/>
                <w:kern w:val="0"/>
                <w:sz w:val="16"/>
                <w:szCs w:val="24"/>
                <w:lang w:val="zh-CN"/>
              </w:rPr>
              <w:t>陕西</w:t>
            </w:r>
            <w:r>
              <w:rPr>
                <w:rFonts w:eastAsia="Times New Roman"/>
                <w:kern w:val="0"/>
                <w:sz w:val="16"/>
                <w:szCs w:val="24"/>
                <w:lang w:val="zh-CN"/>
              </w:rPr>
              <w:t>)</w:t>
            </w:r>
            <w:r>
              <w:rPr>
                <w:rFonts w:hint="eastAsia" w:ascii="宋体" w:hAnsi="宋体" w:cs="宋体"/>
                <w:kern w:val="0"/>
                <w:sz w:val="16"/>
                <w:szCs w:val="24"/>
                <w:lang w:val="zh-CN"/>
              </w:rPr>
              <w:t>有限公司</w:t>
            </w:r>
          </w:p>
        </w:tc>
        <w:tc>
          <w:tcPr>
            <w:tcW w:w="459"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6,720,000.00</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100.00</w:t>
            </w:r>
          </w:p>
        </w:tc>
        <w:tc>
          <w:tcPr>
            <w:tcW w:w="306" w:type="pct"/>
          </w:tcPr>
          <w:p>
            <w:pPr>
              <w:autoSpaceDE w:val="0"/>
              <w:autoSpaceDN w:val="0"/>
              <w:adjustRightInd w:val="0"/>
              <w:spacing w:before="0" w:after="0"/>
              <w:jc w:val="right"/>
              <w:rPr>
                <w:rFonts w:eastAsia="Times New Roman"/>
                <w:kern w:val="0"/>
                <w:sz w:val="16"/>
                <w:szCs w:val="24"/>
                <w:lang w:val="zh-CN"/>
              </w:rPr>
            </w:pPr>
            <w:r>
              <w:rPr>
                <w:rFonts w:hint="eastAsia" w:ascii="宋体" w:hAnsi="宋体" w:cs="宋体"/>
                <w:kern w:val="0"/>
                <w:sz w:val="16"/>
                <w:szCs w:val="24"/>
                <w:lang w:val="zh-CN"/>
              </w:rPr>
              <w:t>转让</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2019-4-28</w:t>
            </w:r>
          </w:p>
        </w:tc>
        <w:tc>
          <w:tcPr>
            <w:tcW w:w="357" w:type="pct"/>
          </w:tcPr>
          <w:p>
            <w:pPr>
              <w:autoSpaceDE w:val="0"/>
              <w:autoSpaceDN w:val="0"/>
              <w:adjustRightInd w:val="0"/>
              <w:spacing w:before="0" w:after="0"/>
              <w:jc w:val="right"/>
              <w:rPr>
                <w:rFonts w:eastAsia="Times New Roman"/>
                <w:kern w:val="0"/>
                <w:sz w:val="16"/>
                <w:szCs w:val="24"/>
                <w:lang w:val="zh-CN"/>
              </w:rPr>
            </w:pPr>
            <w:r>
              <w:rPr>
                <w:rFonts w:hint="eastAsia" w:ascii="宋体" w:hAnsi="宋体" w:cs="宋体"/>
                <w:kern w:val="0"/>
                <w:sz w:val="16"/>
                <w:szCs w:val="24"/>
                <w:lang w:val="zh-CN"/>
              </w:rPr>
              <w:t>办妥工商变更</w:t>
            </w:r>
          </w:p>
        </w:tc>
        <w:tc>
          <w:tcPr>
            <w:tcW w:w="510"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-4,013,981.30</w:t>
            </w:r>
          </w:p>
        </w:tc>
        <w:tc>
          <w:tcPr>
            <w:tcW w:w="306" w:type="pct"/>
          </w:tcPr>
          <w:p>
            <w:pPr>
              <w:autoSpaceDE w:val="0"/>
              <w:autoSpaceDN w:val="0"/>
              <w:adjustRightInd w:val="0"/>
              <w:spacing w:before="0" w:after="0"/>
              <w:jc w:val="right"/>
              <w:rPr>
                <w:rFonts w:eastAsia="Times New Roman"/>
                <w:kern w:val="0"/>
                <w:sz w:val="16"/>
                <w:szCs w:val="24"/>
                <w:lang w:val="zh-CN"/>
              </w:rPr>
            </w:pPr>
          </w:p>
        </w:tc>
        <w:tc>
          <w:tcPr>
            <w:tcW w:w="408" w:type="pct"/>
          </w:tcPr>
          <w:p>
            <w:pPr>
              <w:autoSpaceDE w:val="0"/>
              <w:autoSpaceDN w:val="0"/>
              <w:adjustRightInd w:val="0"/>
              <w:spacing w:before="0" w:after="0"/>
              <w:jc w:val="right"/>
              <w:rPr>
                <w:rFonts w:eastAsia="Times New Roman"/>
                <w:kern w:val="0"/>
                <w:sz w:val="16"/>
                <w:szCs w:val="24"/>
                <w:lang w:val="zh-CN"/>
              </w:rPr>
            </w:pPr>
          </w:p>
        </w:tc>
        <w:tc>
          <w:tcPr>
            <w:tcW w:w="357" w:type="pct"/>
          </w:tcPr>
          <w:p>
            <w:pPr>
              <w:autoSpaceDE w:val="0"/>
              <w:autoSpaceDN w:val="0"/>
              <w:adjustRightInd w:val="0"/>
              <w:spacing w:before="0" w:after="0"/>
              <w:jc w:val="right"/>
              <w:rPr>
                <w:rFonts w:eastAsia="Times New Roman"/>
                <w:kern w:val="0"/>
                <w:sz w:val="16"/>
                <w:szCs w:val="24"/>
                <w:lang w:val="zh-CN"/>
              </w:rPr>
            </w:pPr>
          </w:p>
        </w:tc>
        <w:tc>
          <w:tcPr>
            <w:tcW w:w="459" w:type="pct"/>
          </w:tcPr>
          <w:p>
            <w:pPr>
              <w:autoSpaceDE w:val="0"/>
              <w:autoSpaceDN w:val="0"/>
              <w:adjustRightInd w:val="0"/>
              <w:spacing w:before="0" w:after="0"/>
              <w:jc w:val="right"/>
              <w:rPr>
                <w:rFonts w:eastAsia="Times New Roman"/>
                <w:kern w:val="0"/>
                <w:sz w:val="16"/>
                <w:szCs w:val="24"/>
                <w:lang w:val="zh-CN"/>
              </w:rPr>
            </w:pPr>
          </w:p>
        </w:tc>
        <w:tc>
          <w:tcPr>
            <w:tcW w:w="306" w:type="pct"/>
          </w:tcPr>
          <w:p>
            <w:pPr>
              <w:autoSpaceDE w:val="0"/>
              <w:autoSpaceDN w:val="0"/>
              <w:adjustRightInd w:val="0"/>
              <w:spacing w:before="0" w:after="0"/>
              <w:jc w:val="right"/>
              <w:rPr>
                <w:rFonts w:eastAsia="Times New Roman"/>
                <w:kern w:val="0"/>
                <w:sz w:val="16"/>
                <w:szCs w:val="24"/>
                <w:lang w:val="zh-CN"/>
              </w:rPr>
            </w:pPr>
          </w:p>
        </w:tc>
        <w:tc>
          <w:tcPr>
            <w:tcW w:w="357" w:type="pct"/>
          </w:tcPr>
          <w:p>
            <w:pPr>
              <w:autoSpaceDE w:val="0"/>
              <w:autoSpaceDN w:val="0"/>
              <w:adjustRightInd w:val="0"/>
              <w:spacing w:before="0" w:after="0"/>
              <w:jc w:val="right"/>
              <w:rPr>
                <w:rFonts w:eastAsia="Times New Roman"/>
                <w:kern w:val="0"/>
                <w:sz w:val="16"/>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460" w:type="pct"/>
          </w:tcPr>
          <w:p>
            <w:pPr>
              <w:autoSpaceDE w:val="0"/>
              <w:autoSpaceDN w:val="0"/>
              <w:adjustRightInd w:val="0"/>
              <w:spacing w:before="0" w:after="0"/>
              <w:jc w:val="left"/>
              <w:rPr>
                <w:rFonts w:eastAsia="Times New Roman"/>
                <w:kern w:val="0"/>
                <w:sz w:val="16"/>
                <w:szCs w:val="24"/>
                <w:lang w:val="zh-CN"/>
              </w:rPr>
            </w:pPr>
            <w:r>
              <w:rPr>
                <w:rFonts w:hint="eastAsia" w:ascii="宋体" w:hAnsi="宋体" w:cs="宋体"/>
                <w:kern w:val="0"/>
                <w:sz w:val="16"/>
                <w:szCs w:val="24"/>
                <w:lang w:val="zh-CN"/>
              </w:rPr>
              <w:t>宁波美康股权投资基金合伙企业</w:t>
            </w:r>
            <w:r>
              <w:rPr>
                <w:rFonts w:eastAsia="Times New Roman"/>
                <w:kern w:val="0"/>
                <w:sz w:val="16"/>
                <w:szCs w:val="24"/>
                <w:lang w:val="zh-CN"/>
              </w:rPr>
              <w:t>(</w:t>
            </w:r>
            <w:r>
              <w:rPr>
                <w:rFonts w:hint="eastAsia" w:ascii="宋体" w:hAnsi="宋体" w:cs="宋体"/>
                <w:kern w:val="0"/>
                <w:sz w:val="16"/>
                <w:szCs w:val="24"/>
                <w:lang w:val="zh-CN"/>
              </w:rPr>
              <w:t>有限合伙</w:t>
            </w:r>
            <w:r>
              <w:rPr>
                <w:rFonts w:eastAsia="Times New Roman"/>
                <w:kern w:val="0"/>
                <w:sz w:val="16"/>
                <w:szCs w:val="24"/>
                <w:lang w:val="zh-CN"/>
              </w:rPr>
              <w:t>)</w:t>
            </w:r>
          </w:p>
        </w:tc>
        <w:tc>
          <w:tcPr>
            <w:tcW w:w="459"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472,374,889.27</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67.56</w:t>
            </w:r>
          </w:p>
        </w:tc>
        <w:tc>
          <w:tcPr>
            <w:tcW w:w="306" w:type="pct"/>
          </w:tcPr>
          <w:p>
            <w:pPr>
              <w:autoSpaceDE w:val="0"/>
              <w:autoSpaceDN w:val="0"/>
              <w:adjustRightInd w:val="0"/>
              <w:spacing w:before="0" w:after="0"/>
              <w:jc w:val="right"/>
              <w:rPr>
                <w:rFonts w:eastAsia="Times New Roman"/>
                <w:kern w:val="0"/>
                <w:sz w:val="16"/>
                <w:szCs w:val="24"/>
                <w:lang w:val="zh-CN"/>
              </w:rPr>
            </w:pPr>
            <w:r>
              <w:rPr>
                <w:rFonts w:hint="eastAsia" w:ascii="宋体" w:hAnsi="宋体" w:cs="宋体"/>
                <w:kern w:val="0"/>
                <w:sz w:val="16"/>
                <w:szCs w:val="24"/>
                <w:lang w:val="zh-CN"/>
              </w:rPr>
              <w:t>退伙</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2019-3-22</w:t>
            </w:r>
          </w:p>
        </w:tc>
        <w:tc>
          <w:tcPr>
            <w:tcW w:w="357" w:type="pct"/>
          </w:tcPr>
          <w:p>
            <w:pPr>
              <w:autoSpaceDE w:val="0"/>
              <w:autoSpaceDN w:val="0"/>
              <w:adjustRightInd w:val="0"/>
              <w:spacing w:before="0" w:after="0"/>
              <w:jc w:val="right"/>
              <w:rPr>
                <w:rFonts w:eastAsia="Times New Roman"/>
                <w:kern w:val="0"/>
                <w:sz w:val="16"/>
                <w:szCs w:val="24"/>
                <w:lang w:val="zh-CN"/>
              </w:rPr>
            </w:pPr>
            <w:r>
              <w:rPr>
                <w:rFonts w:hint="eastAsia" w:ascii="宋体" w:hAnsi="宋体" w:cs="宋体"/>
                <w:kern w:val="0"/>
                <w:sz w:val="16"/>
                <w:szCs w:val="24"/>
                <w:lang w:val="zh-CN"/>
              </w:rPr>
              <w:t>办妥工商变更</w:t>
            </w:r>
          </w:p>
        </w:tc>
        <w:tc>
          <w:tcPr>
            <w:tcW w:w="510" w:type="pct"/>
          </w:tcPr>
          <w:p>
            <w:pPr>
              <w:autoSpaceDE w:val="0"/>
              <w:autoSpaceDN w:val="0"/>
              <w:adjustRightInd w:val="0"/>
              <w:spacing w:before="0" w:after="0"/>
              <w:jc w:val="right"/>
              <w:rPr>
                <w:rFonts w:eastAsia="Times New Roman"/>
                <w:kern w:val="0"/>
                <w:sz w:val="16"/>
                <w:szCs w:val="24"/>
                <w:lang w:val="zh-CN"/>
              </w:rPr>
            </w:pPr>
          </w:p>
        </w:tc>
        <w:tc>
          <w:tcPr>
            <w:tcW w:w="306" w:type="pct"/>
          </w:tcPr>
          <w:p>
            <w:pPr>
              <w:autoSpaceDE w:val="0"/>
              <w:autoSpaceDN w:val="0"/>
              <w:adjustRightInd w:val="0"/>
              <w:spacing w:before="0" w:after="0"/>
              <w:jc w:val="right"/>
              <w:rPr>
                <w:rFonts w:eastAsia="Times New Roman"/>
                <w:kern w:val="0"/>
                <w:sz w:val="16"/>
                <w:szCs w:val="24"/>
                <w:lang w:val="zh-CN"/>
              </w:rPr>
            </w:pPr>
          </w:p>
        </w:tc>
        <w:tc>
          <w:tcPr>
            <w:tcW w:w="408" w:type="pct"/>
          </w:tcPr>
          <w:p>
            <w:pPr>
              <w:autoSpaceDE w:val="0"/>
              <w:autoSpaceDN w:val="0"/>
              <w:adjustRightInd w:val="0"/>
              <w:spacing w:before="0" w:after="0"/>
              <w:jc w:val="right"/>
              <w:rPr>
                <w:rFonts w:eastAsia="Times New Roman"/>
                <w:kern w:val="0"/>
                <w:sz w:val="16"/>
                <w:szCs w:val="24"/>
                <w:lang w:val="zh-CN"/>
              </w:rPr>
            </w:pPr>
          </w:p>
        </w:tc>
        <w:tc>
          <w:tcPr>
            <w:tcW w:w="357" w:type="pct"/>
          </w:tcPr>
          <w:p>
            <w:pPr>
              <w:autoSpaceDE w:val="0"/>
              <w:autoSpaceDN w:val="0"/>
              <w:adjustRightInd w:val="0"/>
              <w:spacing w:before="0" w:after="0"/>
              <w:jc w:val="right"/>
              <w:rPr>
                <w:rFonts w:eastAsia="Times New Roman"/>
                <w:kern w:val="0"/>
                <w:sz w:val="16"/>
                <w:szCs w:val="24"/>
                <w:lang w:val="zh-CN"/>
              </w:rPr>
            </w:pPr>
          </w:p>
        </w:tc>
        <w:tc>
          <w:tcPr>
            <w:tcW w:w="459" w:type="pct"/>
          </w:tcPr>
          <w:p>
            <w:pPr>
              <w:autoSpaceDE w:val="0"/>
              <w:autoSpaceDN w:val="0"/>
              <w:adjustRightInd w:val="0"/>
              <w:spacing w:before="0" w:after="0"/>
              <w:jc w:val="right"/>
              <w:rPr>
                <w:rFonts w:eastAsia="Times New Roman"/>
                <w:kern w:val="0"/>
                <w:sz w:val="16"/>
                <w:szCs w:val="24"/>
                <w:lang w:val="zh-CN"/>
              </w:rPr>
            </w:pPr>
          </w:p>
        </w:tc>
        <w:tc>
          <w:tcPr>
            <w:tcW w:w="306" w:type="pct"/>
          </w:tcPr>
          <w:p>
            <w:pPr>
              <w:autoSpaceDE w:val="0"/>
              <w:autoSpaceDN w:val="0"/>
              <w:adjustRightInd w:val="0"/>
              <w:spacing w:before="0" w:after="0"/>
              <w:jc w:val="right"/>
              <w:rPr>
                <w:rFonts w:eastAsia="Times New Roman"/>
                <w:kern w:val="0"/>
                <w:sz w:val="16"/>
                <w:szCs w:val="24"/>
                <w:lang w:val="zh-CN"/>
              </w:rPr>
            </w:pPr>
          </w:p>
        </w:tc>
        <w:tc>
          <w:tcPr>
            <w:tcW w:w="357" w:type="pct"/>
          </w:tcPr>
          <w:p>
            <w:pPr>
              <w:autoSpaceDE w:val="0"/>
              <w:autoSpaceDN w:val="0"/>
              <w:adjustRightInd w:val="0"/>
              <w:spacing w:before="0" w:after="0"/>
              <w:jc w:val="right"/>
              <w:rPr>
                <w:rFonts w:eastAsia="Times New Roman"/>
                <w:kern w:val="0"/>
                <w:sz w:val="16"/>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460" w:type="pct"/>
          </w:tcPr>
          <w:p>
            <w:pPr>
              <w:autoSpaceDE w:val="0"/>
              <w:autoSpaceDN w:val="0"/>
              <w:adjustRightInd w:val="0"/>
              <w:spacing w:before="0" w:after="0"/>
              <w:jc w:val="left"/>
              <w:rPr>
                <w:rFonts w:eastAsia="Times New Roman"/>
                <w:kern w:val="0"/>
                <w:sz w:val="16"/>
                <w:szCs w:val="24"/>
                <w:lang w:val="zh-CN"/>
              </w:rPr>
            </w:pPr>
            <w:r>
              <w:rPr>
                <w:rFonts w:hint="eastAsia" w:ascii="宋体" w:hAnsi="宋体" w:cs="宋体"/>
                <w:kern w:val="0"/>
                <w:sz w:val="16"/>
                <w:szCs w:val="24"/>
                <w:lang w:val="zh-CN"/>
              </w:rPr>
              <w:t>金华市美康盛德医学检验所有限公司</w:t>
            </w:r>
          </w:p>
        </w:tc>
        <w:tc>
          <w:tcPr>
            <w:tcW w:w="459"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300,000.00</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50.00</w:t>
            </w:r>
          </w:p>
        </w:tc>
        <w:tc>
          <w:tcPr>
            <w:tcW w:w="306"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 </w:t>
            </w:r>
            <w:r>
              <w:rPr>
                <w:rFonts w:hint="eastAsia" w:ascii="宋体" w:hAnsi="宋体" w:cs="宋体"/>
                <w:kern w:val="0"/>
                <w:sz w:val="16"/>
                <w:szCs w:val="24"/>
                <w:lang w:val="zh-CN"/>
              </w:rPr>
              <w:t>转让</w:t>
            </w:r>
            <w:r>
              <w:rPr>
                <w:rFonts w:eastAsia="Times New Roman"/>
                <w:kern w:val="0"/>
                <w:sz w:val="16"/>
                <w:szCs w:val="24"/>
                <w:lang w:val="zh-CN"/>
              </w:rPr>
              <w:t xml:space="preserve"> </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2019-7-25</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 </w:t>
            </w:r>
            <w:r>
              <w:rPr>
                <w:rFonts w:hint="eastAsia" w:ascii="宋体" w:hAnsi="宋体" w:cs="宋体"/>
                <w:kern w:val="0"/>
                <w:sz w:val="16"/>
                <w:szCs w:val="24"/>
                <w:lang w:val="zh-CN"/>
              </w:rPr>
              <w:t>办妥工商变更</w:t>
            </w:r>
            <w:r>
              <w:rPr>
                <w:rFonts w:eastAsia="Times New Roman"/>
                <w:kern w:val="0"/>
                <w:sz w:val="16"/>
                <w:szCs w:val="24"/>
                <w:lang w:val="zh-CN"/>
              </w:rPr>
              <w:t xml:space="preserve"> </w:t>
            </w:r>
          </w:p>
        </w:tc>
        <w:tc>
          <w:tcPr>
            <w:tcW w:w="510"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10,664,661.72 </w:t>
            </w:r>
          </w:p>
        </w:tc>
        <w:tc>
          <w:tcPr>
            <w:tcW w:w="306"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1.00 </w:t>
            </w:r>
          </w:p>
        </w:tc>
        <w:tc>
          <w:tcPr>
            <w:tcW w:w="408"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-207,293.23 </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6,000.00 </w:t>
            </w:r>
          </w:p>
        </w:tc>
        <w:tc>
          <w:tcPr>
            <w:tcW w:w="459"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213,293.23 </w:t>
            </w:r>
          </w:p>
        </w:tc>
        <w:tc>
          <w:tcPr>
            <w:tcW w:w="306" w:type="pct"/>
          </w:tcPr>
          <w:p>
            <w:pPr>
              <w:autoSpaceDE w:val="0"/>
              <w:autoSpaceDN w:val="0"/>
              <w:adjustRightInd w:val="0"/>
              <w:spacing w:before="0" w:after="0"/>
              <w:jc w:val="right"/>
              <w:rPr>
                <w:rFonts w:eastAsia="Times New Roman"/>
                <w:kern w:val="0"/>
                <w:sz w:val="16"/>
                <w:szCs w:val="24"/>
                <w:lang w:val="zh-CN"/>
              </w:rPr>
            </w:pPr>
          </w:p>
        </w:tc>
        <w:tc>
          <w:tcPr>
            <w:tcW w:w="357" w:type="pct"/>
          </w:tcPr>
          <w:p>
            <w:pPr>
              <w:autoSpaceDE w:val="0"/>
              <w:autoSpaceDN w:val="0"/>
              <w:adjustRightInd w:val="0"/>
              <w:spacing w:before="0" w:after="0"/>
              <w:jc w:val="right"/>
              <w:rPr>
                <w:rFonts w:eastAsia="Times New Roman"/>
                <w:kern w:val="0"/>
                <w:sz w:val="16"/>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460" w:type="pct"/>
          </w:tcPr>
          <w:p>
            <w:pPr>
              <w:autoSpaceDE w:val="0"/>
              <w:autoSpaceDN w:val="0"/>
              <w:adjustRightInd w:val="0"/>
              <w:spacing w:before="0" w:after="0"/>
              <w:jc w:val="left"/>
              <w:rPr>
                <w:rFonts w:eastAsia="Times New Roman"/>
                <w:kern w:val="0"/>
                <w:sz w:val="16"/>
                <w:szCs w:val="24"/>
                <w:lang w:val="zh-CN"/>
              </w:rPr>
            </w:pPr>
            <w:r>
              <w:rPr>
                <w:rFonts w:hint="eastAsia" w:ascii="宋体" w:hAnsi="宋体" w:cs="宋体"/>
                <w:kern w:val="0"/>
                <w:sz w:val="16"/>
                <w:szCs w:val="24"/>
                <w:lang w:val="zh-CN"/>
              </w:rPr>
              <w:t>重庆和盛医疗器械有限公司</w:t>
            </w:r>
          </w:p>
        </w:tc>
        <w:tc>
          <w:tcPr>
            <w:tcW w:w="459"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 37,800,000.00 </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 21.00 </w:t>
            </w:r>
          </w:p>
        </w:tc>
        <w:tc>
          <w:tcPr>
            <w:tcW w:w="306"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 </w:t>
            </w:r>
            <w:r>
              <w:rPr>
                <w:rFonts w:hint="eastAsia" w:ascii="宋体" w:hAnsi="宋体" w:cs="宋体"/>
                <w:kern w:val="0"/>
                <w:sz w:val="16"/>
                <w:szCs w:val="24"/>
                <w:lang w:val="zh-CN"/>
              </w:rPr>
              <w:t>转让</w:t>
            </w:r>
            <w:r>
              <w:rPr>
                <w:rFonts w:eastAsia="Times New Roman"/>
                <w:kern w:val="0"/>
                <w:sz w:val="16"/>
                <w:szCs w:val="24"/>
                <w:lang w:val="zh-CN"/>
              </w:rPr>
              <w:t xml:space="preserve"> </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2019-9-11</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 </w:t>
            </w:r>
            <w:r>
              <w:rPr>
                <w:rFonts w:hint="eastAsia" w:ascii="宋体" w:hAnsi="宋体" w:cs="宋体"/>
                <w:kern w:val="0"/>
                <w:sz w:val="16"/>
                <w:szCs w:val="24"/>
                <w:lang w:val="zh-CN"/>
              </w:rPr>
              <w:t>办妥工商变更</w:t>
            </w:r>
            <w:r>
              <w:rPr>
                <w:rFonts w:eastAsia="Times New Roman"/>
                <w:kern w:val="0"/>
                <w:sz w:val="16"/>
                <w:szCs w:val="24"/>
                <w:lang w:val="zh-CN"/>
              </w:rPr>
              <w:t xml:space="preserve"> </w:t>
            </w:r>
          </w:p>
        </w:tc>
        <w:tc>
          <w:tcPr>
            <w:tcW w:w="510"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-680,756.28   </w:t>
            </w:r>
          </w:p>
        </w:tc>
        <w:tc>
          <w:tcPr>
            <w:tcW w:w="306"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30.00 </w:t>
            </w:r>
          </w:p>
        </w:tc>
        <w:tc>
          <w:tcPr>
            <w:tcW w:w="408"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54,972,508.98  </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54,000,000.00 </w:t>
            </w:r>
          </w:p>
        </w:tc>
        <w:tc>
          <w:tcPr>
            <w:tcW w:w="459"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-972,508.98</w:t>
            </w:r>
          </w:p>
        </w:tc>
        <w:tc>
          <w:tcPr>
            <w:tcW w:w="306" w:type="pct"/>
          </w:tcPr>
          <w:p>
            <w:pPr>
              <w:autoSpaceDE w:val="0"/>
              <w:autoSpaceDN w:val="0"/>
              <w:adjustRightInd w:val="0"/>
              <w:spacing w:before="0" w:after="0"/>
              <w:jc w:val="right"/>
              <w:rPr>
                <w:rFonts w:eastAsia="Times New Roman"/>
                <w:kern w:val="0"/>
                <w:sz w:val="16"/>
                <w:szCs w:val="24"/>
                <w:lang w:val="zh-CN"/>
              </w:rPr>
            </w:pPr>
          </w:p>
        </w:tc>
        <w:tc>
          <w:tcPr>
            <w:tcW w:w="357" w:type="pct"/>
          </w:tcPr>
          <w:p>
            <w:pPr>
              <w:autoSpaceDE w:val="0"/>
              <w:autoSpaceDN w:val="0"/>
              <w:adjustRightInd w:val="0"/>
              <w:spacing w:before="0" w:after="0"/>
              <w:jc w:val="right"/>
              <w:rPr>
                <w:rFonts w:eastAsia="Times New Roman"/>
                <w:kern w:val="0"/>
                <w:sz w:val="16"/>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460" w:type="pct"/>
          </w:tcPr>
          <w:p>
            <w:pPr>
              <w:autoSpaceDE w:val="0"/>
              <w:autoSpaceDN w:val="0"/>
              <w:adjustRightInd w:val="0"/>
              <w:spacing w:before="0" w:after="0"/>
              <w:jc w:val="left"/>
              <w:rPr>
                <w:rFonts w:eastAsia="Times New Roman"/>
                <w:kern w:val="0"/>
                <w:sz w:val="16"/>
                <w:szCs w:val="24"/>
              </w:rPr>
            </w:pPr>
            <w:r>
              <w:rPr>
                <w:rFonts w:hint="eastAsia" w:ascii="宋体" w:hAnsi="宋体" w:cs="宋体"/>
                <w:kern w:val="0"/>
                <w:sz w:val="16"/>
                <w:szCs w:val="24"/>
                <w:lang w:val="zh-CN"/>
              </w:rPr>
              <w:t>美康生物科技</w:t>
            </w:r>
            <w:r>
              <w:rPr>
                <w:rFonts w:hint="eastAsia" w:ascii="宋体" w:hAnsi="宋体" w:cs="宋体"/>
                <w:kern w:val="0"/>
                <w:sz w:val="16"/>
                <w:szCs w:val="24"/>
              </w:rPr>
              <w:t>（</w:t>
            </w:r>
            <w:r>
              <w:rPr>
                <w:rFonts w:hint="eastAsia" w:ascii="宋体" w:hAnsi="宋体" w:cs="宋体"/>
                <w:kern w:val="0"/>
                <w:sz w:val="16"/>
                <w:szCs w:val="24"/>
                <w:lang w:val="zh-CN"/>
              </w:rPr>
              <w:t>舟山</w:t>
            </w:r>
            <w:r>
              <w:rPr>
                <w:rFonts w:hint="eastAsia" w:ascii="宋体" w:hAnsi="宋体" w:cs="宋体"/>
                <w:kern w:val="0"/>
                <w:sz w:val="16"/>
                <w:szCs w:val="24"/>
              </w:rPr>
              <w:t>）</w:t>
            </w:r>
            <w:r>
              <w:rPr>
                <w:rFonts w:hint="eastAsia" w:ascii="宋体" w:hAnsi="宋体" w:cs="宋体"/>
                <w:kern w:val="0"/>
                <w:sz w:val="16"/>
                <w:szCs w:val="24"/>
                <w:lang w:val="zh-CN"/>
              </w:rPr>
              <w:t>有限公司</w:t>
            </w:r>
          </w:p>
        </w:tc>
        <w:tc>
          <w:tcPr>
            <w:tcW w:w="459"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rPr>
              <w:t xml:space="preserve"> </w:t>
            </w:r>
            <w:r>
              <w:rPr>
                <w:rFonts w:eastAsia="Times New Roman"/>
                <w:kern w:val="0"/>
                <w:sz w:val="16"/>
                <w:szCs w:val="24"/>
                <w:lang w:val="zh-CN"/>
              </w:rPr>
              <w:t xml:space="preserve">35,500,000.00 </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 71.00 </w:t>
            </w:r>
          </w:p>
        </w:tc>
        <w:tc>
          <w:tcPr>
            <w:tcW w:w="306"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 </w:t>
            </w:r>
            <w:r>
              <w:rPr>
                <w:rFonts w:hint="eastAsia" w:ascii="宋体" w:hAnsi="宋体" w:cs="宋体"/>
                <w:kern w:val="0"/>
                <w:sz w:val="16"/>
                <w:szCs w:val="24"/>
                <w:lang w:val="zh-CN"/>
              </w:rPr>
              <w:t>转让</w:t>
            </w:r>
            <w:r>
              <w:rPr>
                <w:rFonts w:eastAsia="Times New Roman"/>
                <w:kern w:val="0"/>
                <w:sz w:val="16"/>
                <w:szCs w:val="24"/>
                <w:lang w:val="zh-CN"/>
              </w:rPr>
              <w:t xml:space="preserve"> </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2019-10-18</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 </w:t>
            </w:r>
            <w:r>
              <w:rPr>
                <w:rFonts w:hint="eastAsia" w:ascii="宋体" w:hAnsi="宋体" w:cs="宋体"/>
                <w:kern w:val="0"/>
                <w:sz w:val="16"/>
                <w:szCs w:val="24"/>
                <w:lang w:val="zh-CN"/>
              </w:rPr>
              <w:t>办妥工商变更</w:t>
            </w:r>
            <w:r>
              <w:rPr>
                <w:rFonts w:eastAsia="Times New Roman"/>
                <w:kern w:val="0"/>
                <w:sz w:val="16"/>
                <w:szCs w:val="24"/>
                <w:lang w:val="zh-CN"/>
              </w:rPr>
              <w:t xml:space="preserve"> </w:t>
            </w:r>
          </w:p>
        </w:tc>
        <w:tc>
          <w:tcPr>
            <w:tcW w:w="510"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2,613,288.79 </w:t>
            </w:r>
          </w:p>
        </w:tc>
        <w:tc>
          <w:tcPr>
            <w:tcW w:w="306"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29.00 </w:t>
            </w:r>
          </w:p>
        </w:tc>
        <w:tc>
          <w:tcPr>
            <w:tcW w:w="408"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13,432,600.36 </w:t>
            </w:r>
          </w:p>
        </w:tc>
        <w:tc>
          <w:tcPr>
            <w:tcW w:w="357"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14,500,000.00 </w:t>
            </w:r>
          </w:p>
        </w:tc>
        <w:tc>
          <w:tcPr>
            <w:tcW w:w="459" w:type="pct"/>
          </w:tcPr>
          <w:p>
            <w:pPr>
              <w:autoSpaceDE w:val="0"/>
              <w:autoSpaceDN w:val="0"/>
              <w:adjustRightInd w:val="0"/>
              <w:spacing w:before="0" w:after="0"/>
              <w:jc w:val="right"/>
              <w:rPr>
                <w:rFonts w:eastAsia="Times New Roman"/>
                <w:kern w:val="0"/>
                <w:sz w:val="16"/>
                <w:szCs w:val="24"/>
                <w:lang w:val="zh-CN"/>
              </w:rPr>
            </w:pPr>
            <w:r>
              <w:rPr>
                <w:rFonts w:eastAsia="Times New Roman"/>
                <w:kern w:val="0"/>
                <w:sz w:val="16"/>
                <w:szCs w:val="24"/>
                <w:lang w:val="zh-CN"/>
              </w:rPr>
              <w:t xml:space="preserve">1,067,399.64 </w:t>
            </w:r>
          </w:p>
        </w:tc>
        <w:tc>
          <w:tcPr>
            <w:tcW w:w="306" w:type="pct"/>
          </w:tcPr>
          <w:p>
            <w:pPr>
              <w:autoSpaceDE w:val="0"/>
              <w:autoSpaceDN w:val="0"/>
              <w:adjustRightInd w:val="0"/>
              <w:spacing w:before="0" w:after="0"/>
              <w:jc w:val="right"/>
              <w:rPr>
                <w:rFonts w:eastAsia="Times New Roman"/>
                <w:kern w:val="0"/>
                <w:sz w:val="16"/>
                <w:szCs w:val="24"/>
                <w:lang w:val="zh-CN"/>
              </w:rPr>
            </w:pPr>
          </w:p>
        </w:tc>
        <w:tc>
          <w:tcPr>
            <w:tcW w:w="357" w:type="pct"/>
          </w:tcPr>
          <w:p>
            <w:pPr>
              <w:autoSpaceDE w:val="0"/>
              <w:autoSpaceDN w:val="0"/>
              <w:adjustRightInd w:val="0"/>
              <w:spacing w:before="0" w:after="0"/>
              <w:jc w:val="right"/>
              <w:rPr>
                <w:rFonts w:eastAsia="Times New Roman"/>
                <w:kern w:val="0"/>
                <w:sz w:val="16"/>
                <w:szCs w:val="24"/>
                <w:lang w:val="zh-CN"/>
              </w:rPr>
            </w:pPr>
          </w:p>
        </w:tc>
      </w:tr>
    </w:tbl>
    <w:p>
      <w:pPr>
        <w:autoSpaceDE w:val="0"/>
        <w:autoSpaceDN w:val="0"/>
        <w:adjustRightInd w:val="0"/>
        <w:spacing w:before="0" w:after="0"/>
        <w:rPr>
          <w:rFonts w:eastAsia="Times New Roman"/>
          <w:kern w:val="0"/>
          <w:lang w:val="zh-CN"/>
        </w:rPr>
      </w:pPr>
      <w:r>
        <w:rPr>
          <w:rFonts w:hint="eastAsia" w:ascii="宋体" w:hAnsi="宋体" w:cs="宋体"/>
          <w:kern w:val="0"/>
          <w:lang w:val="zh-CN"/>
        </w:rPr>
        <w:t>其他说明：</w:t>
      </w:r>
    </w:p>
    <w:p>
      <w:pPr>
        <w:autoSpaceDE w:val="0"/>
        <w:autoSpaceDN w:val="0"/>
        <w:adjustRightInd w:val="0"/>
        <w:spacing w:before="0" w:after="0"/>
        <w:rPr>
          <w:rFonts w:ascii="宋体" w:cs="宋体" w:hAnsiTheme="minorHAnsi"/>
          <w:color w:val="000000"/>
          <w:kern w:val="0"/>
        </w:rPr>
      </w:pPr>
      <w:r>
        <w:rPr>
          <w:rFonts w:hint="eastAsia" w:ascii="宋体" w:cs="宋体" w:hAnsiTheme="minorHAnsi"/>
          <w:color w:val="000000"/>
          <w:kern w:val="0"/>
          <w:lang w:val="zh-CN"/>
        </w:rPr>
        <w:t>（</w:t>
      </w:r>
      <w:r>
        <w:rPr>
          <w:rFonts w:ascii="宋体" w:cs="宋体" w:hAnsiTheme="minorHAnsi"/>
          <w:color w:val="000000"/>
          <w:kern w:val="0"/>
          <w:lang w:val="zh-CN"/>
        </w:rPr>
        <w:t>1</w:t>
      </w:r>
      <w:r>
        <w:rPr>
          <w:rFonts w:hint="eastAsia" w:ascii="宋体" w:cs="宋体" w:hAnsiTheme="minorHAnsi"/>
          <w:color w:val="000000"/>
          <w:kern w:val="0"/>
          <w:lang w:val="zh-CN"/>
        </w:rPr>
        <w:t>）赣州美康盛德医学检验所有限公司股权转让事项：</w:t>
      </w:r>
    </w:p>
    <w:p>
      <w:pPr>
        <w:autoSpaceDE w:val="0"/>
        <w:autoSpaceDN w:val="0"/>
        <w:adjustRightInd w:val="0"/>
        <w:spacing w:before="0" w:after="0"/>
        <w:ind w:firstLine="420"/>
        <w:rPr>
          <w:rFonts w:ascii="宋体" w:cs="宋体" w:hAnsiTheme="minorHAnsi"/>
          <w:color w:val="000000"/>
          <w:kern w:val="0"/>
        </w:rPr>
      </w:pP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4</w:t>
      </w:r>
      <w:r>
        <w:rPr>
          <w:rFonts w:hint="eastAsia" w:ascii="宋体" w:cs="宋体" w:hAnsiTheme="minorHAnsi"/>
          <w:color w:val="000000"/>
          <w:kern w:val="0"/>
          <w:lang w:val="zh-CN"/>
        </w:rPr>
        <w:t>月，公司与北京天羔医疗科技有限公司签订《股权转让协议》，公司将持有的赣州医检所</w:t>
      </w:r>
      <w:r>
        <w:rPr>
          <w:rFonts w:ascii="宋体" w:cs="宋体" w:hAnsiTheme="minorHAnsi"/>
          <w:color w:val="000000"/>
          <w:kern w:val="0"/>
          <w:lang w:val="zh-CN"/>
        </w:rPr>
        <w:t>35%</w:t>
      </w:r>
      <w:r>
        <w:rPr>
          <w:rFonts w:hint="eastAsia" w:ascii="宋体" w:cs="宋体" w:hAnsiTheme="minorHAnsi"/>
          <w:color w:val="000000"/>
          <w:kern w:val="0"/>
          <w:lang w:val="zh-CN"/>
        </w:rPr>
        <w:t>的股权转让给北京天羔医疗科技有限公司，由于实缴出资额为</w:t>
      </w:r>
      <w:r>
        <w:rPr>
          <w:rFonts w:ascii="宋体" w:cs="宋体" w:hAnsiTheme="minorHAnsi"/>
          <w:color w:val="000000"/>
          <w:kern w:val="0"/>
          <w:lang w:val="zh-CN"/>
        </w:rPr>
        <w:t>0</w:t>
      </w:r>
      <w:r>
        <w:rPr>
          <w:rFonts w:hint="eastAsia" w:ascii="宋体" w:cs="宋体" w:hAnsiTheme="minorHAnsi"/>
          <w:color w:val="000000"/>
          <w:kern w:val="0"/>
          <w:lang w:val="zh-CN"/>
        </w:rPr>
        <w:t>，双方同意转让价格为</w:t>
      </w:r>
      <w:r>
        <w:rPr>
          <w:rFonts w:ascii="宋体" w:cs="宋体" w:hAnsiTheme="minorHAnsi"/>
          <w:color w:val="000000"/>
          <w:kern w:val="0"/>
          <w:lang w:val="zh-CN"/>
        </w:rPr>
        <w:t>0</w:t>
      </w:r>
      <w:r>
        <w:rPr>
          <w:rFonts w:hint="eastAsia" w:ascii="宋体" w:cs="宋体" w:hAnsiTheme="minorHAnsi"/>
          <w:color w:val="000000"/>
          <w:kern w:val="0"/>
          <w:lang w:val="zh-CN"/>
        </w:rPr>
        <w:t>元，转让完成后，公司仍然持有赣州医检所</w:t>
      </w:r>
      <w:r>
        <w:rPr>
          <w:rFonts w:ascii="宋体" w:cs="宋体" w:hAnsiTheme="minorHAnsi"/>
          <w:color w:val="000000"/>
          <w:kern w:val="0"/>
          <w:lang w:val="zh-CN"/>
        </w:rPr>
        <w:t>20%</w:t>
      </w:r>
      <w:r>
        <w:rPr>
          <w:rFonts w:hint="eastAsia" w:ascii="宋体" w:cs="宋体" w:hAnsiTheme="minorHAnsi"/>
          <w:color w:val="000000"/>
          <w:kern w:val="0"/>
          <w:lang w:val="zh-CN"/>
        </w:rPr>
        <w:t>的股权。同月，公司与子公司盛德医检所签订《股权转让协议》，公司将持有的赣州医检所剩余</w:t>
      </w:r>
      <w:r>
        <w:rPr>
          <w:rFonts w:ascii="宋体" w:cs="宋体" w:hAnsiTheme="minorHAnsi"/>
          <w:color w:val="000000"/>
          <w:kern w:val="0"/>
          <w:lang w:val="zh-CN"/>
        </w:rPr>
        <w:t>20%</w:t>
      </w:r>
      <w:r>
        <w:rPr>
          <w:rFonts w:hint="eastAsia" w:ascii="宋体" w:cs="宋体" w:hAnsiTheme="minorHAnsi"/>
          <w:color w:val="000000"/>
          <w:kern w:val="0"/>
          <w:lang w:val="zh-CN"/>
        </w:rPr>
        <w:t>的股权转让给盛德医检所，由于实缴出资额为</w:t>
      </w:r>
      <w:r>
        <w:rPr>
          <w:rFonts w:ascii="宋体" w:cs="宋体" w:hAnsiTheme="minorHAnsi"/>
          <w:color w:val="000000"/>
          <w:kern w:val="0"/>
          <w:lang w:val="zh-CN"/>
        </w:rPr>
        <w:t>0</w:t>
      </w:r>
      <w:r>
        <w:rPr>
          <w:rFonts w:hint="eastAsia" w:ascii="宋体" w:cs="宋体" w:hAnsiTheme="minorHAnsi"/>
          <w:color w:val="000000"/>
          <w:kern w:val="0"/>
          <w:lang w:val="zh-CN"/>
        </w:rPr>
        <w:t>，双方同意转让价格为</w:t>
      </w:r>
      <w:r>
        <w:rPr>
          <w:rFonts w:ascii="宋体" w:cs="宋体" w:hAnsiTheme="minorHAnsi"/>
          <w:color w:val="000000"/>
          <w:kern w:val="0"/>
          <w:lang w:val="zh-CN"/>
        </w:rPr>
        <w:t>0</w:t>
      </w:r>
      <w:r>
        <w:rPr>
          <w:rFonts w:hint="eastAsia" w:ascii="宋体" w:cs="宋体" w:hAnsiTheme="minorHAnsi"/>
          <w:color w:val="000000"/>
          <w:kern w:val="0"/>
          <w:lang w:val="zh-CN"/>
        </w:rPr>
        <w:t>元，转让完成后，公司不再持有赣州医检所的股权，由子公司盛德医检所持有赣州医检所</w:t>
      </w:r>
      <w:r>
        <w:rPr>
          <w:rFonts w:ascii="宋体" w:cs="宋体" w:hAnsiTheme="minorHAnsi"/>
          <w:color w:val="000000"/>
          <w:kern w:val="0"/>
          <w:lang w:val="zh-CN"/>
        </w:rPr>
        <w:t>20%</w:t>
      </w:r>
      <w:r>
        <w:rPr>
          <w:rFonts w:hint="eastAsia" w:ascii="宋体" w:cs="宋体" w:hAnsiTheme="minorHAnsi"/>
          <w:color w:val="000000"/>
          <w:kern w:val="0"/>
          <w:lang w:val="zh-CN"/>
        </w:rPr>
        <w:t>的股权。上述事项已于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4</w:t>
      </w:r>
      <w:r>
        <w:rPr>
          <w:rFonts w:hint="eastAsia" w:ascii="宋体" w:cs="宋体" w:hAnsiTheme="minorHAnsi"/>
          <w:color w:val="000000"/>
          <w:kern w:val="0"/>
          <w:lang w:val="zh-CN"/>
        </w:rPr>
        <w:t>月</w:t>
      </w:r>
      <w:r>
        <w:rPr>
          <w:rFonts w:ascii="宋体" w:cs="宋体" w:hAnsiTheme="minorHAnsi"/>
          <w:color w:val="000000"/>
          <w:kern w:val="0"/>
          <w:lang w:val="zh-CN"/>
        </w:rPr>
        <w:t>16</w:t>
      </w:r>
      <w:r>
        <w:rPr>
          <w:rFonts w:hint="eastAsia" w:ascii="宋体" w:cs="宋体" w:hAnsiTheme="minorHAnsi"/>
          <w:color w:val="000000"/>
          <w:kern w:val="0"/>
          <w:lang w:val="zh-CN"/>
        </w:rPr>
        <w:t>日办妥工商变更手续。</w:t>
      </w:r>
    </w:p>
    <w:p>
      <w:pPr>
        <w:autoSpaceDE w:val="0"/>
        <w:autoSpaceDN w:val="0"/>
        <w:adjustRightInd w:val="0"/>
        <w:spacing w:before="0" w:after="0"/>
        <w:rPr>
          <w:rFonts w:ascii="宋体" w:cs="宋体" w:hAnsiTheme="minorHAnsi"/>
          <w:color w:val="000000"/>
          <w:kern w:val="0"/>
        </w:rPr>
      </w:pPr>
      <w:r>
        <w:rPr>
          <w:rFonts w:hint="eastAsia" w:ascii="宋体" w:cs="宋体" w:hAnsiTheme="minorHAnsi"/>
          <w:color w:val="000000"/>
          <w:kern w:val="0"/>
          <w:lang w:val="zh-CN"/>
        </w:rPr>
        <w:t>（</w:t>
      </w:r>
      <w:r>
        <w:rPr>
          <w:rFonts w:ascii="宋体" w:cs="宋体" w:hAnsiTheme="minorHAnsi"/>
          <w:color w:val="000000"/>
          <w:kern w:val="0"/>
          <w:lang w:val="zh-CN"/>
        </w:rPr>
        <w:t>2</w:t>
      </w:r>
      <w:r>
        <w:rPr>
          <w:rFonts w:hint="eastAsia" w:ascii="宋体" w:cs="宋体" w:hAnsiTheme="minorHAnsi"/>
          <w:color w:val="000000"/>
          <w:kern w:val="0"/>
          <w:lang w:val="zh-CN"/>
        </w:rPr>
        <w:t>）江西省美康医疗器械有限公司和上饶美康盛德医学检验所有限公司股权转让事项：</w:t>
      </w:r>
    </w:p>
    <w:p>
      <w:pPr>
        <w:autoSpaceDE w:val="0"/>
        <w:autoSpaceDN w:val="0"/>
        <w:adjustRightInd w:val="0"/>
        <w:spacing w:before="0" w:after="0"/>
        <w:ind w:firstLine="420"/>
        <w:rPr>
          <w:rFonts w:ascii="宋体" w:cs="宋体" w:hAnsiTheme="minorHAnsi"/>
          <w:color w:val="000000"/>
          <w:kern w:val="0"/>
        </w:rPr>
      </w:pP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1</w:t>
      </w:r>
      <w:r>
        <w:rPr>
          <w:rFonts w:hint="eastAsia" w:ascii="宋体" w:cs="宋体" w:hAnsiTheme="minorHAnsi"/>
          <w:color w:val="000000"/>
          <w:kern w:val="0"/>
          <w:lang w:val="zh-CN"/>
        </w:rPr>
        <w:t>月</w:t>
      </w:r>
      <w:r>
        <w:rPr>
          <w:rFonts w:ascii="宋体" w:cs="宋体" w:hAnsiTheme="minorHAnsi"/>
          <w:color w:val="000000"/>
          <w:kern w:val="0"/>
          <w:lang w:val="zh-CN"/>
        </w:rPr>
        <w:t>25</w:t>
      </w:r>
      <w:r>
        <w:rPr>
          <w:rFonts w:hint="eastAsia" w:ascii="宋体" w:cs="宋体" w:hAnsiTheme="minorHAnsi"/>
          <w:color w:val="000000"/>
          <w:kern w:val="0"/>
          <w:lang w:val="zh-CN"/>
        </w:rPr>
        <w:t>日，公司与江西省美康医疗器械有限公司、上饶美康盛德医学检验所有限公司、郑绍军、胡容花共同签署了《关于终止履行</w:t>
      </w:r>
      <w:r>
        <w:rPr>
          <w:rFonts w:ascii="宋体" w:cs="宋体" w:hAnsiTheme="minorHAnsi"/>
          <w:color w:val="000000"/>
          <w:kern w:val="0"/>
          <w:lang w:val="zh-CN"/>
        </w:rPr>
        <w:t>&lt;</w:t>
      </w:r>
      <w:r>
        <w:rPr>
          <w:rFonts w:hint="eastAsia" w:ascii="宋体" w:cs="宋体" w:hAnsiTheme="minorHAnsi"/>
          <w:color w:val="000000"/>
          <w:kern w:val="0"/>
          <w:lang w:val="zh-CN"/>
        </w:rPr>
        <w:t>投资合作协议</w:t>
      </w:r>
      <w:r>
        <w:rPr>
          <w:rFonts w:ascii="宋体" w:cs="宋体" w:hAnsiTheme="minorHAnsi"/>
          <w:color w:val="000000"/>
          <w:kern w:val="0"/>
          <w:lang w:val="zh-CN"/>
        </w:rPr>
        <w:t>&gt;</w:t>
      </w:r>
      <w:r>
        <w:rPr>
          <w:rFonts w:hint="eastAsia" w:ascii="宋体" w:cs="宋体" w:hAnsiTheme="minorHAnsi"/>
          <w:color w:val="000000"/>
          <w:kern w:val="0"/>
          <w:lang w:val="zh-CN"/>
        </w:rPr>
        <w:t>之协议》，各方一致同意公司将所持有的江西美康</w:t>
      </w:r>
      <w:r>
        <w:rPr>
          <w:rFonts w:ascii="宋体" w:cs="宋体" w:hAnsiTheme="minorHAnsi"/>
          <w:color w:val="000000"/>
          <w:kern w:val="0"/>
          <w:lang w:val="zh-CN"/>
        </w:rPr>
        <w:t>31%</w:t>
      </w:r>
      <w:r>
        <w:rPr>
          <w:rFonts w:hint="eastAsia" w:ascii="宋体" w:cs="宋体" w:hAnsiTheme="minorHAnsi"/>
          <w:color w:val="000000"/>
          <w:kern w:val="0"/>
          <w:lang w:val="zh-CN"/>
        </w:rPr>
        <w:t>的股权作价人民币</w:t>
      </w:r>
      <w:r>
        <w:rPr>
          <w:rFonts w:ascii="宋体" w:cs="宋体" w:hAnsiTheme="minorHAnsi"/>
          <w:color w:val="000000"/>
          <w:kern w:val="0"/>
          <w:lang w:val="zh-CN"/>
        </w:rPr>
        <w:t>358.00</w:t>
      </w:r>
      <w:r>
        <w:rPr>
          <w:rFonts w:hint="eastAsia" w:ascii="宋体" w:cs="宋体" w:hAnsiTheme="minorHAnsi"/>
          <w:color w:val="000000"/>
          <w:kern w:val="0"/>
          <w:lang w:val="zh-CN"/>
        </w:rPr>
        <w:t>万元转让给郑绍军；将所持有的江西美康</w:t>
      </w:r>
      <w:r>
        <w:rPr>
          <w:rFonts w:ascii="宋体" w:cs="宋体" w:hAnsiTheme="minorHAnsi"/>
          <w:color w:val="000000"/>
          <w:kern w:val="0"/>
          <w:lang w:val="zh-CN"/>
        </w:rPr>
        <w:t>21%</w:t>
      </w:r>
      <w:r>
        <w:rPr>
          <w:rFonts w:hint="eastAsia" w:ascii="宋体" w:cs="宋体" w:hAnsiTheme="minorHAnsi"/>
          <w:color w:val="000000"/>
          <w:kern w:val="0"/>
          <w:lang w:val="zh-CN"/>
        </w:rPr>
        <w:t>的股权作价人民币</w:t>
      </w:r>
      <w:r>
        <w:rPr>
          <w:rFonts w:ascii="宋体" w:cs="宋体" w:hAnsiTheme="minorHAnsi"/>
          <w:color w:val="000000"/>
          <w:kern w:val="0"/>
          <w:lang w:val="zh-CN"/>
        </w:rPr>
        <w:t>242.00</w:t>
      </w:r>
      <w:r>
        <w:rPr>
          <w:rFonts w:hint="eastAsia" w:ascii="宋体" w:cs="宋体" w:hAnsiTheme="minorHAnsi"/>
          <w:color w:val="000000"/>
          <w:kern w:val="0"/>
          <w:lang w:val="zh-CN"/>
        </w:rPr>
        <w:t>万元转让给胡容花；公司将所持有的上饶医检所</w:t>
      </w:r>
      <w:r>
        <w:rPr>
          <w:rFonts w:ascii="宋体" w:cs="宋体" w:hAnsiTheme="minorHAnsi"/>
          <w:color w:val="000000"/>
          <w:kern w:val="0"/>
          <w:lang w:val="zh-CN"/>
        </w:rPr>
        <w:t>31%</w:t>
      </w:r>
      <w:r>
        <w:rPr>
          <w:rFonts w:hint="eastAsia" w:ascii="宋体" w:cs="宋体" w:hAnsiTheme="minorHAnsi"/>
          <w:color w:val="000000"/>
          <w:kern w:val="0"/>
          <w:lang w:val="zh-CN"/>
        </w:rPr>
        <w:t>的股权作价人民币</w:t>
      </w:r>
      <w:r>
        <w:rPr>
          <w:rFonts w:ascii="宋体" w:cs="宋体" w:hAnsiTheme="minorHAnsi"/>
          <w:color w:val="000000"/>
          <w:kern w:val="0"/>
          <w:lang w:val="zh-CN"/>
        </w:rPr>
        <w:t>656.00</w:t>
      </w:r>
      <w:r>
        <w:rPr>
          <w:rFonts w:hint="eastAsia" w:ascii="宋体" w:cs="宋体" w:hAnsiTheme="minorHAnsi"/>
          <w:color w:val="000000"/>
          <w:kern w:val="0"/>
          <w:lang w:val="zh-CN"/>
        </w:rPr>
        <w:t>万元转让给郑绍军；将所持有的上饶医检所</w:t>
      </w:r>
      <w:r>
        <w:rPr>
          <w:rFonts w:ascii="宋体" w:cs="宋体" w:hAnsiTheme="minorHAnsi"/>
          <w:color w:val="000000"/>
          <w:kern w:val="0"/>
          <w:lang w:val="zh-CN"/>
        </w:rPr>
        <w:t>21%</w:t>
      </w:r>
      <w:r>
        <w:rPr>
          <w:rFonts w:hint="eastAsia" w:ascii="宋体" w:cs="宋体" w:hAnsiTheme="minorHAnsi"/>
          <w:color w:val="000000"/>
          <w:kern w:val="0"/>
          <w:lang w:val="zh-CN"/>
        </w:rPr>
        <w:t>的股权作价人民币</w:t>
      </w:r>
      <w:r>
        <w:rPr>
          <w:rFonts w:ascii="宋体" w:cs="宋体" w:hAnsiTheme="minorHAnsi"/>
          <w:color w:val="000000"/>
          <w:kern w:val="0"/>
          <w:lang w:val="zh-CN"/>
        </w:rPr>
        <w:t>444.00</w:t>
      </w:r>
      <w:r>
        <w:rPr>
          <w:rFonts w:hint="eastAsia" w:ascii="宋体" w:cs="宋体" w:hAnsiTheme="minorHAnsi"/>
          <w:color w:val="000000"/>
          <w:kern w:val="0"/>
          <w:lang w:val="zh-CN"/>
        </w:rPr>
        <w:t>万元转让给胡容花。上述股权转让款价格合计</w:t>
      </w:r>
      <w:r>
        <w:rPr>
          <w:rFonts w:ascii="宋体" w:cs="宋体" w:hAnsiTheme="minorHAnsi"/>
          <w:color w:val="000000"/>
          <w:kern w:val="0"/>
          <w:lang w:val="zh-CN"/>
        </w:rPr>
        <w:t>1,700.00</w:t>
      </w:r>
      <w:r>
        <w:rPr>
          <w:rFonts w:hint="eastAsia" w:ascii="宋体" w:cs="宋体" w:hAnsiTheme="minorHAnsi"/>
          <w:color w:val="000000"/>
          <w:kern w:val="0"/>
          <w:lang w:val="zh-CN"/>
        </w:rPr>
        <w:t>万元，股权转让完成后，公司将不再持有江西美康和上饶医检所的股权。截止</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12</w:t>
      </w:r>
      <w:r>
        <w:rPr>
          <w:rFonts w:hint="eastAsia" w:ascii="宋体" w:cs="宋体" w:hAnsiTheme="minorHAnsi"/>
          <w:color w:val="000000"/>
          <w:kern w:val="0"/>
          <w:lang w:val="zh-CN"/>
        </w:rPr>
        <w:t>月</w:t>
      </w:r>
      <w:r>
        <w:rPr>
          <w:rFonts w:ascii="宋体" w:cs="宋体" w:hAnsiTheme="minorHAnsi"/>
          <w:color w:val="000000"/>
          <w:kern w:val="0"/>
          <w:lang w:val="zh-CN"/>
        </w:rPr>
        <w:t>31</w:t>
      </w:r>
      <w:r>
        <w:rPr>
          <w:rFonts w:hint="eastAsia" w:ascii="宋体" w:cs="宋体" w:hAnsiTheme="minorHAnsi"/>
          <w:color w:val="000000"/>
          <w:kern w:val="0"/>
          <w:lang w:val="zh-CN"/>
        </w:rPr>
        <w:t>日，公司已收到郑绍军、胡容花支付的股权转让款共计</w:t>
      </w:r>
      <w:r>
        <w:rPr>
          <w:rFonts w:ascii="宋体" w:cs="宋体" w:hAnsiTheme="minorHAnsi"/>
          <w:color w:val="000000"/>
          <w:kern w:val="0"/>
          <w:lang w:val="zh-CN"/>
        </w:rPr>
        <w:t>1,700</w:t>
      </w:r>
      <w:r>
        <w:rPr>
          <w:rFonts w:hint="eastAsia" w:ascii="宋体" w:cs="宋体" w:hAnsiTheme="minorHAnsi"/>
          <w:color w:val="000000"/>
          <w:kern w:val="0"/>
          <w:lang w:val="zh-CN"/>
        </w:rPr>
        <w:t>万元，上述股权转让事项已于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2</w:t>
      </w:r>
      <w:r>
        <w:rPr>
          <w:rFonts w:hint="eastAsia" w:ascii="宋体" w:cs="宋体" w:hAnsiTheme="minorHAnsi"/>
          <w:color w:val="000000"/>
          <w:kern w:val="0"/>
          <w:lang w:val="zh-CN"/>
        </w:rPr>
        <w:t>月</w:t>
      </w:r>
      <w:r>
        <w:rPr>
          <w:rFonts w:ascii="宋体" w:cs="宋体" w:hAnsiTheme="minorHAnsi"/>
          <w:color w:val="000000"/>
          <w:kern w:val="0"/>
          <w:lang w:val="zh-CN"/>
        </w:rPr>
        <w:t>21</w:t>
      </w:r>
      <w:r>
        <w:rPr>
          <w:rFonts w:hint="eastAsia" w:ascii="宋体" w:cs="宋体" w:hAnsiTheme="minorHAnsi"/>
          <w:color w:val="000000"/>
          <w:kern w:val="0"/>
          <w:lang w:val="zh-CN"/>
        </w:rPr>
        <w:t>日办妥工商变更手续。</w:t>
      </w:r>
    </w:p>
    <w:p>
      <w:pPr>
        <w:autoSpaceDE w:val="0"/>
        <w:autoSpaceDN w:val="0"/>
        <w:adjustRightInd w:val="0"/>
        <w:spacing w:before="0" w:after="0"/>
        <w:rPr>
          <w:rFonts w:ascii="宋体" w:cs="宋体" w:hAnsiTheme="minorHAnsi"/>
          <w:color w:val="000000"/>
          <w:kern w:val="0"/>
        </w:rPr>
      </w:pPr>
      <w:r>
        <w:rPr>
          <w:rFonts w:hint="eastAsia" w:ascii="宋体" w:cs="宋体" w:hAnsiTheme="minorHAnsi"/>
          <w:color w:val="000000"/>
          <w:kern w:val="0"/>
          <w:lang w:val="zh-CN"/>
        </w:rPr>
        <w:t>（</w:t>
      </w:r>
      <w:r>
        <w:rPr>
          <w:rFonts w:ascii="宋体" w:cs="宋体" w:hAnsiTheme="minorHAnsi"/>
          <w:color w:val="000000"/>
          <w:kern w:val="0"/>
          <w:lang w:val="zh-CN"/>
        </w:rPr>
        <w:t>3</w:t>
      </w:r>
      <w:r>
        <w:rPr>
          <w:rFonts w:hint="eastAsia" w:ascii="宋体" w:cs="宋体" w:hAnsiTheme="minorHAnsi"/>
          <w:color w:val="000000"/>
          <w:kern w:val="0"/>
          <w:lang w:val="zh-CN"/>
        </w:rPr>
        <w:t>）美康生物科技</w:t>
      </w:r>
      <w:r>
        <w:rPr>
          <w:rFonts w:ascii="宋体" w:cs="宋体" w:hAnsiTheme="minorHAnsi"/>
          <w:color w:val="000000"/>
          <w:kern w:val="0"/>
          <w:lang w:val="zh-CN"/>
        </w:rPr>
        <w:t>(</w:t>
      </w:r>
      <w:r>
        <w:rPr>
          <w:rFonts w:hint="eastAsia" w:ascii="宋体" w:cs="宋体" w:hAnsiTheme="minorHAnsi"/>
          <w:color w:val="000000"/>
          <w:kern w:val="0"/>
          <w:lang w:val="zh-CN"/>
        </w:rPr>
        <w:t>陕西</w:t>
      </w:r>
      <w:r>
        <w:rPr>
          <w:rFonts w:ascii="宋体" w:cs="宋体" w:hAnsiTheme="minorHAnsi"/>
          <w:color w:val="000000"/>
          <w:kern w:val="0"/>
          <w:lang w:val="zh-CN"/>
        </w:rPr>
        <w:t>)</w:t>
      </w:r>
      <w:r>
        <w:rPr>
          <w:rFonts w:hint="eastAsia" w:ascii="宋体" w:cs="宋体" w:hAnsiTheme="minorHAnsi"/>
          <w:color w:val="000000"/>
          <w:kern w:val="0"/>
          <w:lang w:val="zh-CN"/>
        </w:rPr>
        <w:t>有限公司股权转让事项：</w:t>
      </w:r>
    </w:p>
    <w:p>
      <w:pPr>
        <w:autoSpaceDE w:val="0"/>
        <w:autoSpaceDN w:val="0"/>
        <w:adjustRightInd w:val="0"/>
        <w:spacing w:before="0" w:after="0"/>
        <w:ind w:firstLine="420"/>
        <w:rPr>
          <w:rFonts w:ascii="宋体" w:cs="宋体" w:hAnsiTheme="minorHAnsi"/>
          <w:color w:val="000000"/>
          <w:kern w:val="0"/>
        </w:rPr>
      </w:pP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4</w:t>
      </w:r>
      <w:r>
        <w:rPr>
          <w:rFonts w:hint="eastAsia" w:ascii="宋体" w:cs="宋体" w:hAnsiTheme="minorHAnsi"/>
          <w:color w:val="000000"/>
          <w:kern w:val="0"/>
          <w:lang w:val="zh-CN"/>
        </w:rPr>
        <w:t>月</w:t>
      </w:r>
      <w:r>
        <w:rPr>
          <w:rFonts w:ascii="宋体" w:cs="宋体" w:hAnsiTheme="minorHAnsi"/>
          <w:color w:val="000000"/>
          <w:kern w:val="0"/>
          <w:lang w:val="zh-CN"/>
        </w:rPr>
        <w:t>22</w:t>
      </w:r>
      <w:r>
        <w:rPr>
          <w:rFonts w:hint="eastAsia" w:ascii="宋体" w:cs="宋体" w:hAnsiTheme="minorHAnsi"/>
          <w:color w:val="000000"/>
          <w:kern w:val="0"/>
          <w:lang w:val="zh-CN"/>
        </w:rPr>
        <w:t>日，公司与罗念庆签署了《股权转让协议》，公司将所持有的美康生物科技</w:t>
      </w:r>
      <w:r>
        <w:rPr>
          <w:rFonts w:ascii="宋体" w:cs="宋体" w:hAnsiTheme="minorHAnsi"/>
          <w:color w:val="000000"/>
          <w:kern w:val="0"/>
          <w:lang w:val="zh-CN"/>
        </w:rPr>
        <w:t>(</w:t>
      </w:r>
      <w:r>
        <w:rPr>
          <w:rFonts w:hint="eastAsia" w:ascii="宋体" w:cs="宋体" w:hAnsiTheme="minorHAnsi"/>
          <w:color w:val="000000"/>
          <w:kern w:val="0"/>
          <w:lang w:val="zh-CN"/>
        </w:rPr>
        <w:t>陕西</w:t>
      </w:r>
      <w:r>
        <w:rPr>
          <w:rFonts w:ascii="宋体" w:cs="宋体" w:hAnsiTheme="minorHAnsi"/>
          <w:color w:val="000000"/>
          <w:kern w:val="0"/>
          <w:lang w:val="zh-CN"/>
        </w:rPr>
        <w:t>)</w:t>
      </w:r>
      <w:r>
        <w:rPr>
          <w:rFonts w:hint="eastAsia" w:ascii="宋体" w:cs="宋体" w:hAnsiTheme="minorHAnsi"/>
          <w:color w:val="000000"/>
          <w:kern w:val="0"/>
          <w:lang w:val="zh-CN"/>
        </w:rPr>
        <w:t>有限公司</w:t>
      </w:r>
      <w:r>
        <w:rPr>
          <w:rFonts w:ascii="宋体" w:cs="宋体" w:hAnsiTheme="minorHAnsi"/>
          <w:color w:val="000000"/>
          <w:kern w:val="0"/>
          <w:lang w:val="zh-CN"/>
        </w:rPr>
        <w:t>100%</w:t>
      </w:r>
      <w:r>
        <w:rPr>
          <w:rFonts w:hint="eastAsia" w:ascii="宋体" w:cs="宋体" w:hAnsiTheme="minorHAnsi"/>
          <w:color w:val="000000"/>
          <w:kern w:val="0"/>
          <w:lang w:val="zh-CN"/>
        </w:rPr>
        <w:t>的股权作价人民币</w:t>
      </w:r>
      <w:r>
        <w:rPr>
          <w:rFonts w:ascii="宋体" w:cs="宋体" w:hAnsiTheme="minorHAnsi"/>
          <w:color w:val="000000"/>
          <w:kern w:val="0"/>
          <w:lang w:val="zh-CN"/>
        </w:rPr>
        <w:t>672.00</w:t>
      </w:r>
      <w:r>
        <w:rPr>
          <w:rFonts w:hint="eastAsia" w:ascii="宋体" w:cs="宋体" w:hAnsiTheme="minorHAnsi"/>
          <w:color w:val="000000"/>
          <w:kern w:val="0"/>
          <w:lang w:val="zh-CN"/>
        </w:rPr>
        <w:t>万元转让给罗念庆。股权转让完成后，公司将不再持有美康生物科技</w:t>
      </w:r>
      <w:r>
        <w:rPr>
          <w:rFonts w:ascii="宋体" w:cs="宋体" w:hAnsiTheme="minorHAnsi"/>
          <w:color w:val="000000"/>
          <w:kern w:val="0"/>
          <w:lang w:val="zh-CN"/>
        </w:rPr>
        <w:t>(</w:t>
      </w:r>
      <w:r>
        <w:rPr>
          <w:rFonts w:hint="eastAsia" w:ascii="宋体" w:cs="宋体" w:hAnsiTheme="minorHAnsi"/>
          <w:color w:val="000000"/>
          <w:kern w:val="0"/>
          <w:lang w:val="zh-CN"/>
        </w:rPr>
        <w:t>陕西</w:t>
      </w:r>
      <w:r>
        <w:rPr>
          <w:rFonts w:ascii="宋体" w:cs="宋体" w:hAnsiTheme="minorHAnsi"/>
          <w:color w:val="000000"/>
          <w:kern w:val="0"/>
          <w:lang w:val="zh-CN"/>
        </w:rPr>
        <w:t>)</w:t>
      </w:r>
      <w:r>
        <w:rPr>
          <w:rFonts w:hint="eastAsia" w:ascii="宋体" w:cs="宋体" w:hAnsiTheme="minorHAnsi"/>
          <w:color w:val="000000"/>
          <w:kern w:val="0"/>
          <w:lang w:val="zh-CN"/>
        </w:rPr>
        <w:t>有限公司的股权。截止</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12</w:t>
      </w:r>
      <w:r>
        <w:rPr>
          <w:rFonts w:hint="eastAsia" w:ascii="宋体" w:cs="宋体" w:hAnsiTheme="minorHAnsi"/>
          <w:color w:val="000000"/>
          <w:kern w:val="0"/>
          <w:lang w:val="zh-CN"/>
        </w:rPr>
        <w:t>月</w:t>
      </w:r>
      <w:r>
        <w:rPr>
          <w:rFonts w:ascii="宋体" w:cs="宋体" w:hAnsiTheme="minorHAnsi"/>
          <w:color w:val="000000"/>
          <w:kern w:val="0"/>
          <w:lang w:val="zh-CN"/>
        </w:rPr>
        <w:t>31</w:t>
      </w:r>
      <w:r>
        <w:rPr>
          <w:rFonts w:hint="eastAsia" w:ascii="宋体" w:cs="宋体" w:hAnsiTheme="minorHAnsi"/>
          <w:color w:val="000000"/>
          <w:kern w:val="0"/>
          <w:lang w:val="zh-CN"/>
        </w:rPr>
        <w:t>日，公司已收到罗念庆支付的股权转让款共计</w:t>
      </w:r>
      <w:r>
        <w:rPr>
          <w:rFonts w:ascii="宋体" w:cs="宋体" w:hAnsiTheme="minorHAnsi"/>
          <w:color w:val="000000"/>
          <w:kern w:val="0"/>
          <w:lang w:val="zh-CN"/>
        </w:rPr>
        <w:t>400</w:t>
      </w:r>
      <w:r>
        <w:rPr>
          <w:rFonts w:hint="eastAsia" w:ascii="宋体" w:cs="宋体" w:hAnsiTheme="minorHAnsi"/>
          <w:color w:val="000000"/>
          <w:kern w:val="0"/>
          <w:lang w:val="zh-CN"/>
        </w:rPr>
        <w:t>万元，剩余</w:t>
      </w:r>
      <w:r>
        <w:rPr>
          <w:rFonts w:ascii="宋体" w:cs="宋体" w:hAnsiTheme="minorHAnsi"/>
          <w:color w:val="000000"/>
          <w:kern w:val="0"/>
          <w:lang w:val="zh-CN"/>
        </w:rPr>
        <w:t>272</w:t>
      </w:r>
      <w:r>
        <w:rPr>
          <w:rFonts w:hint="eastAsia" w:ascii="宋体" w:cs="宋体" w:hAnsiTheme="minorHAnsi"/>
          <w:color w:val="000000"/>
          <w:kern w:val="0"/>
          <w:lang w:val="zh-CN"/>
        </w:rPr>
        <w:t>万元股权转让款尚未收到。截止本报告出具日，公司已收到罗念庆支付的股权转让款共计</w:t>
      </w:r>
      <w:r>
        <w:rPr>
          <w:rFonts w:ascii="宋体" w:cs="宋体" w:hAnsiTheme="minorHAnsi"/>
          <w:color w:val="000000"/>
          <w:kern w:val="0"/>
          <w:lang w:val="zh-CN"/>
        </w:rPr>
        <w:t>672</w:t>
      </w:r>
      <w:r>
        <w:rPr>
          <w:rFonts w:hint="eastAsia" w:ascii="宋体" w:cs="宋体" w:hAnsiTheme="minorHAnsi"/>
          <w:color w:val="000000"/>
          <w:kern w:val="0"/>
          <w:lang w:val="zh-CN"/>
        </w:rPr>
        <w:t>万元，已全部收回。上述股权转让事项已于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4</w:t>
      </w:r>
      <w:r>
        <w:rPr>
          <w:rFonts w:hint="eastAsia" w:ascii="宋体" w:cs="宋体" w:hAnsiTheme="minorHAnsi"/>
          <w:color w:val="000000"/>
          <w:kern w:val="0"/>
          <w:lang w:val="zh-CN"/>
        </w:rPr>
        <w:t>月</w:t>
      </w:r>
      <w:r>
        <w:rPr>
          <w:rFonts w:ascii="宋体" w:cs="宋体" w:hAnsiTheme="minorHAnsi"/>
          <w:color w:val="000000"/>
          <w:kern w:val="0"/>
          <w:lang w:val="zh-CN"/>
        </w:rPr>
        <w:t>28</w:t>
      </w:r>
      <w:r>
        <w:rPr>
          <w:rFonts w:hint="eastAsia" w:ascii="宋体" w:cs="宋体" w:hAnsiTheme="minorHAnsi"/>
          <w:color w:val="000000"/>
          <w:kern w:val="0"/>
          <w:lang w:val="zh-CN"/>
        </w:rPr>
        <w:t>日办妥工商变更手续。</w:t>
      </w:r>
    </w:p>
    <w:p>
      <w:pPr>
        <w:autoSpaceDE w:val="0"/>
        <w:autoSpaceDN w:val="0"/>
        <w:adjustRightInd w:val="0"/>
        <w:spacing w:before="0" w:after="0"/>
        <w:rPr>
          <w:rFonts w:ascii="宋体" w:cs="宋体" w:hAnsiTheme="minorHAnsi"/>
          <w:color w:val="000000"/>
          <w:kern w:val="0"/>
        </w:rPr>
      </w:pPr>
      <w:r>
        <w:rPr>
          <w:rFonts w:hint="eastAsia" w:ascii="宋体" w:cs="宋体" w:hAnsiTheme="minorHAnsi"/>
          <w:color w:val="000000"/>
          <w:kern w:val="0"/>
          <w:lang w:val="zh-CN"/>
        </w:rPr>
        <w:t>（</w:t>
      </w:r>
      <w:r>
        <w:rPr>
          <w:rFonts w:ascii="宋体" w:cs="宋体" w:hAnsiTheme="minorHAnsi"/>
          <w:color w:val="000000"/>
          <w:kern w:val="0"/>
          <w:lang w:val="zh-CN"/>
        </w:rPr>
        <w:t>4</w:t>
      </w:r>
      <w:r>
        <w:rPr>
          <w:rFonts w:hint="eastAsia" w:ascii="宋体" w:cs="宋体" w:hAnsiTheme="minorHAnsi"/>
          <w:color w:val="000000"/>
          <w:kern w:val="0"/>
          <w:lang w:val="zh-CN"/>
        </w:rPr>
        <w:t>）宁波美康股权投资基金合伙企业</w:t>
      </w:r>
      <w:r>
        <w:rPr>
          <w:rFonts w:ascii="宋体" w:cs="宋体" w:hAnsiTheme="minorHAnsi"/>
          <w:color w:val="000000"/>
          <w:kern w:val="0"/>
          <w:lang w:val="zh-CN"/>
        </w:rPr>
        <w:t>(</w:t>
      </w:r>
      <w:r>
        <w:rPr>
          <w:rFonts w:hint="eastAsia" w:ascii="宋体" w:cs="宋体" w:hAnsiTheme="minorHAnsi"/>
          <w:color w:val="000000"/>
          <w:kern w:val="0"/>
          <w:lang w:val="zh-CN"/>
        </w:rPr>
        <w:t>有限合伙</w:t>
      </w:r>
      <w:r>
        <w:rPr>
          <w:rFonts w:ascii="宋体" w:cs="宋体" w:hAnsiTheme="minorHAnsi"/>
          <w:color w:val="000000"/>
          <w:kern w:val="0"/>
          <w:lang w:val="zh-CN"/>
        </w:rPr>
        <w:t>)</w:t>
      </w:r>
      <w:r>
        <w:rPr>
          <w:rFonts w:hint="eastAsia" w:ascii="宋体" w:cs="宋体" w:hAnsiTheme="minorHAnsi"/>
          <w:color w:val="000000"/>
          <w:kern w:val="0"/>
          <w:lang w:val="zh-CN"/>
        </w:rPr>
        <w:t>退伙及收购杭州倚天剩余股权事项：</w:t>
      </w:r>
    </w:p>
    <w:p>
      <w:pPr>
        <w:autoSpaceDE w:val="0"/>
        <w:autoSpaceDN w:val="0"/>
        <w:adjustRightInd w:val="0"/>
        <w:spacing w:before="0" w:after="0"/>
        <w:ind w:firstLine="420"/>
        <w:rPr>
          <w:rFonts w:ascii="宋体" w:cs="宋体" w:hAnsiTheme="minorHAnsi"/>
          <w:color w:val="000000"/>
          <w:kern w:val="0"/>
        </w:rPr>
      </w:pP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3</w:t>
      </w:r>
      <w:r>
        <w:rPr>
          <w:rFonts w:hint="eastAsia" w:ascii="宋体" w:cs="宋体" w:hAnsiTheme="minorHAnsi"/>
          <w:color w:val="000000"/>
          <w:kern w:val="0"/>
          <w:lang w:val="zh-CN"/>
        </w:rPr>
        <w:t>月</w:t>
      </w:r>
      <w:r>
        <w:rPr>
          <w:rFonts w:ascii="宋体" w:cs="宋体" w:hAnsiTheme="minorHAnsi"/>
          <w:color w:val="000000"/>
          <w:kern w:val="0"/>
          <w:lang w:val="zh-CN"/>
        </w:rPr>
        <w:t>4</w:t>
      </w:r>
      <w:r>
        <w:rPr>
          <w:rFonts w:hint="eastAsia" w:ascii="宋体" w:cs="宋体" w:hAnsiTheme="minorHAnsi"/>
          <w:color w:val="000000"/>
          <w:kern w:val="0"/>
          <w:lang w:val="zh-CN"/>
        </w:rPr>
        <w:t>日，公司与美康基金及美康基金其他合伙人共同签署了《宁波美康股权投资基金合伙企业（有限合伙）之退伙协议》，各方一致同意公司退出美康基金，并由美康基金按全体合伙人的实缴出资比例向公司分配美康基金的资产与负债，公司退伙取得资产净值为</w:t>
      </w:r>
      <w:r>
        <w:rPr>
          <w:rFonts w:ascii="宋体" w:cs="宋体" w:hAnsiTheme="minorHAnsi"/>
          <w:color w:val="000000"/>
          <w:kern w:val="0"/>
          <w:lang w:val="zh-CN"/>
        </w:rPr>
        <w:t>472,374,889.27</w:t>
      </w:r>
      <w:r>
        <w:rPr>
          <w:rFonts w:hint="eastAsia" w:ascii="宋体" w:cs="宋体" w:hAnsiTheme="minorHAnsi"/>
          <w:color w:val="000000"/>
          <w:kern w:val="0"/>
          <w:lang w:val="zh-CN"/>
        </w:rPr>
        <w:t>元，其中包括杭州倚天</w:t>
      </w:r>
      <w:r>
        <w:rPr>
          <w:rFonts w:ascii="宋体" w:cs="宋体" w:hAnsiTheme="minorHAnsi"/>
          <w:color w:val="000000"/>
          <w:kern w:val="0"/>
          <w:lang w:val="zh-CN"/>
        </w:rPr>
        <w:t>66.89%</w:t>
      </w:r>
      <w:r>
        <w:rPr>
          <w:rFonts w:hint="eastAsia" w:ascii="宋体" w:cs="宋体" w:hAnsiTheme="minorHAnsi"/>
          <w:color w:val="000000"/>
          <w:kern w:val="0"/>
          <w:lang w:val="zh-CN"/>
        </w:rPr>
        <w:t>的股权金额</w:t>
      </w:r>
      <w:r>
        <w:rPr>
          <w:rFonts w:ascii="宋体" w:cs="宋体" w:hAnsiTheme="minorHAnsi"/>
          <w:color w:val="000000"/>
          <w:kern w:val="0"/>
          <w:lang w:val="zh-CN"/>
        </w:rPr>
        <w:t>583,734,565.71</w:t>
      </w:r>
      <w:r>
        <w:rPr>
          <w:rFonts w:hint="eastAsia" w:ascii="宋体" w:cs="宋体" w:hAnsiTheme="minorHAnsi"/>
          <w:color w:val="000000"/>
          <w:kern w:val="0"/>
          <w:lang w:val="zh-CN"/>
        </w:rPr>
        <w:t>元，并承担美康基金应向杭州昆贺投资合伙企业（有限合伙）（杭州倚天原股东）支付的股权转让款</w:t>
      </w:r>
      <w:r>
        <w:rPr>
          <w:rFonts w:ascii="宋体" w:cs="宋体" w:hAnsiTheme="minorHAnsi"/>
          <w:color w:val="000000"/>
          <w:kern w:val="0"/>
          <w:lang w:val="zh-CN"/>
        </w:rPr>
        <w:t>119,076,449.96</w:t>
      </w:r>
      <w:r>
        <w:rPr>
          <w:rFonts w:hint="eastAsia" w:ascii="宋体" w:cs="宋体" w:hAnsiTheme="minorHAnsi"/>
          <w:color w:val="000000"/>
          <w:kern w:val="0"/>
          <w:lang w:val="zh-CN"/>
        </w:rPr>
        <w:t>元，根据退伙可分配取得的资产、负债及其抵消情况，美康基金需要向公司支付</w:t>
      </w:r>
      <w:r>
        <w:rPr>
          <w:rFonts w:ascii="宋体" w:cs="宋体" w:hAnsiTheme="minorHAnsi"/>
          <w:color w:val="000000"/>
          <w:kern w:val="0"/>
          <w:lang w:val="zh-CN"/>
        </w:rPr>
        <w:t>7,716,773.52</w:t>
      </w:r>
      <w:r>
        <w:rPr>
          <w:rFonts w:hint="eastAsia" w:ascii="宋体" w:cs="宋体" w:hAnsiTheme="minorHAnsi"/>
          <w:color w:val="000000"/>
          <w:kern w:val="0"/>
          <w:lang w:val="zh-CN"/>
        </w:rPr>
        <w:t>元（计算公式为：应收退伙款</w:t>
      </w:r>
      <w:r>
        <w:rPr>
          <w:rFonts w:ascii="宋体" w:cs="宋体" w:hAnsiTheme="minorHAnsi"/>
          <w:color w:val="000000"/>
          <w:kern w:val="0"/>
          <w:lang w:val="zh-CN"/>
        </w:rPr>
        <w:t>=</w:t>
      </w:r>
      <w:r>
        <w:rPr>
          <w:rFonts w:hint="eastAsia" w:ascii="宋体" w:cs="宋体" w:hAnsiTheme="minorHAnsi"/>
          <w:color w:val="000000"/>
          <w:kern w:val="0"/>
          <w:lang w:val="zh-CN"/>
        </w:rPr>
        <w:t>分配退伙净值</w:t>
      </w:r>
      <w:r>
        <w:rPr>
          <w:rFonts w:ascii="宋体" w:cs="宋体" w:hAnsiTheme="minorHAnsi"/>
          <w:color w:val="000000"/>
          <w:kern w:val="0"/>
          <w:lang w:val="zh-CN"/>
        </w:rPr>
        <w:t>472,374,889.27</w:t>
      </w:r>
      <w:r>
        <w:rPr>
          <w:rFonts w:hint="eastAsia" w:ascii="宋体" w:cs="宋体" w:hAnsiTheme="minorHAnsi"/>
          <w:color w:val="000000"/>
          <w:kern w:val="0"/>
          <w:lang w:val="zh-CN"/>
        </w:rPr>
        <w:t>元</w:t>
      </w:r>
      <w:r>
        <w:rPr>
          <w:rFonts w:ascii="宋体" w:cs="宋体" w:hAnsiTheme="minorHAnsi"/>
          <w:color w:val="000000"/>
          <w:kern w:val="0"/>
          <w:lang w:val="zh-CN"/>
        </w:rPr>
        <w:t>-</w:t>
      </w:r>
      <w:r>
        <w:rPr>
          <w:rFonts w:hint="eastAsia" w:ascii="宋体" w:cs="宋体" w:hAnsiTheme="minorHAnsi"/>
          <w:color w:val="000000"/>
          <w:kern w:val="0"/>
          <w:lang w:val="zh-CN"/>
        </w:rPr>
        <w:t>收到的股权金额</w:t>
      </w:r>
      <w:r>
        <w:rPr>
          <w:rFonts w:ascii="宋体" w:cs="宋体" w:hAnsiTheme="minorHAnsi"/>
          <w:color w:val="000000"/>
          <w:kern w:val="0"/>
          <w:lang w:val="zh-CN"/>
        </w:rPr>
        <w:t>583,734,565.71</w:t>
      </w:r>
      <w:r>
        <w:rPr>
          <w:rFonts w:hint="eastAsia" w:ascii="宋体" w:cs="宋体" w:hAnsiTheme="minorHAnsi"/>
          <w:color w:val="000000"/>
          <w:kern w:val="0"/>
          <w:lang w:val="zh-CN"/>
        </w:rPr>
        <w:t>元</w:t>
      </w:r>
      <w:r>
        <w:rPr>
          <w:rFonts w:ascii="宋体" w:cs="宋体" w:hAnsiTheme="minorHAnsi"/>
          <w:color w:val="000000"/>
          <w:kern w:val="0"/>
          <w:lang w:val="zh-CN"/>
        </w:rPr>
        <w:t>+</w:t>
      </w:r>
      <w:r>
        <w:rPr>
          <w:rFonts w:hint="eastAsia" w:ascii="宋体" w:cs="宋体" w:hAnsiTheme="minorHAnsi"/>
          <w:color w:val="000000"/>
          <w:kern w:val="0"/>
          <w:lang w:val="zh-CN"/>
        </w:rPr>
        <w:t>承接的付款义务</w:t>
      </w:r>
      <w:r>
        <w:rPr>
          <w:rFonts w:ascii="宋体" w:cs="宋体" w:hAnsiTheme="minorHAnsi"/>
          <w:color w:val="000000"/>
          <w:kern w:val="0"/>
          <w:lang w:val="zh-CN"/>
        </w:rPr>
        <w:t>119,076,449.96</w:t>
      </w:r>
      <w:r>
        <w:rPr>
          <w:rFonts w:hint="eastAsia" w:ascii="宋体" w:cs="宋体" w:hAnsiTheme="minorHAnsi"/>
          <w:color w:val="000000"/>
          <w:kern w:val="0"/>
          <w:lang w:val="zh-CN"/>
        </w:rPr>
        <w:t>元</w:t>
      </w:r>
      <w:r>
        <w:rPr>
          <w:rFonts w:ascii="宋体" w:cs="宋体" w:hAnsiTheme="minorHAnsi"/>
          <w:color w:val="000000"/>
          <w:kern w:val="0"/>
          <w:lang w:val="zh-CN"/>
        </w:rPr>
        <w:t>=7,716,773.52</w:t>
      </w:r>
      <w:r>
        <w:rPr>
          <w:rFonts w:hint="eastAsia" w:ascii="宋体" w:cs="宋体" w:hAnsiTheme="minorHAnsi"/>
          <w:color w:val="000000"/>
          <w:kern w:val="0"/>
          <w:lang w:val="zh-CN"/>
        </w:rPr>
        <w:t>元）。</w:t>
      </w:r>
    </w:p>
    <w:p>
      <w:pPr>
        <w:autoSpaceDE w:val="0"/>
        <w:autoSpaceDN w:val="0"/>
        <w:adjustRightInd w:val="0"/>
        <w:spacing w:before="0" w:after="0"/>
        <w:ind w:firstLine="420"/>
        <w:rPr>
          <w:rFonts w:ascii="宋体" w:cs="宋体" w:hAnsiTheme="minorHAnsi"/>
          <w:color w:val="000000"/>
          <w:kern w:val="0"/>
        </w:rPr>
      </w:pPr>
      <w:r>
        <w:rPr>
          <w:rFonts w:hint="eastAsia" w:ascii="宋体" w:cs="宋体" w:hAnsiTheme="minorHAnsi"/>
          <w:color w:val="000000"/>
          <w:kern w:val="0"/>
          <w:lang w:val="zh-CN"/>
        </w:rPr>
        <w:t>同日，公司与杭州倚天、美康基金共同签署了《关于杭州倚天生物技术有限公司之股权转让协议》，各方一致同意公司以人民币</w:t>
      </w:r>
      <w:r>
        <w:rPr>
          <w:rFonts w:ascii="宋体" w:cs="宋体" w:hAnsiTheme="minorHAnsi"/>
          <w:color w:val="000000"/>
          <w:kern w:val="0"/>
          <w:lang w:val="zh-CN"/>
        </w:rPr>
        <w:t>289,712,109.26</w:t>
      </w:r>
      <w:r>
        <w:rPr>
          <w:rFonts w:hint="eastAsia" w:ascii="宋体" w:cs="宋体" w:hAnsiTheme="minorHAnsi"/>
          <w:color w:val="000000"/>
          <w:kern w:val="0"/>
          <w:lang w:val="zh-CN"/>
        </w:rPr>
        <w:t>元收购美康基金持有标的公司杭州倚天剩余</w:t>
      </w:r>
      <w:r>
        <w:rPr>
          <w:rFonts w:ascii="宋体" w:cs="宋体" w:hAnsiTheme="minorHAnsi"/>
          <w:color w:val="000000"/>
          <w:kern w:val="0"/>
          <w:lang w:val="zh-CN"/>
        </w:rPr>
        <w:t>32.11%</w:t>
      </w:r>
      <w:r>
        <w:rPr>
          <w:rFonts w:hint="eastAsia" w:ascii="宋体" w:cs="宋体" w:hAnsiTheme="minorHAnsi"/>
          <w:color w:val="000000"/>
          <w:kern w:val="0"/>
          <w:lang w:val="zh-CN"/>
        </w:rPr>
        <w:t>股权。支付方式为承担美康基金应向杭州昆贺投资合伙企业（有限合伙）支付的剩余股权转让款</w:t>
      </w:r>
      <w:r>
        <w:rPr>
          <w:rFonts w:ascii="宋体" w:cs="宋体" w:hAnsiTheme="minorHAnsi"/>
          <w:color w:val="000000"/>
          <w:kern w:val="0"/>
          <w:lang w:val="zh-CN"/>
        </w:rPr>
        <w:t>59,559,150.04</w:t>
      </w:r>
      <w:r>
        <w:rPr>
          <w:rFonts w:hint="eastAsia" w:ascii="宋体" w:cs="宋体" w:hAnsiTheme="minorHAnsi"/>
          <w:color w:val="000000"/>
          <w:kern w:val="0"/>
          <w:lang w:val="zh-CN"/>
        </w:rPr>
        <w:t>元，抵减前述退伙需要收取的</w:t>
      </w:r>
      <w:r>
        <w:rPr>
          <w:rFonts w:ascii="宋体" w:cs="宋体" w:hAnsiTheme="minorHAnsi"/>
          <w:color w:val="000000"/>
          <w:kern w:val="0"/>
          <w:lang w:val="zh-CN"/>
        </w:rPr>
        <w:t>7,716,773.52</w:t>
      </w:r>
      <w:r>
        <w:rPr>
          <w:rFonts w:hint="eastAsia" w:ascii="宋体" w:cs="宋体" w:hAnsiTheme="minorHAnsi"/>
          <w:color w:val="000000"/>
          <w:kern w:val="0"/>
          <w:lang w:val="zh-CN"/>
        </w:rPr>
        <w:t>元，公司需要支付现金</w:t>
      </w:r>
      <w:r>
        <w:rPr>
          <w:rFonts w:ascii="宋体" w:cs="宋体" w:hAnsiTheme="minorHAnsi"/>
          <w:color w:val="000000"/>
          <w:kern w:val="0"/>
          <w:lang w:val="zh-CN"/>
        </w:rPr>
        <w:t>222,436,185.70</w:t>
      </w:r>
      <w:r>
        <w:rPr>
          <w:rFonts w:hint="eastAsia" w:ascii="宋体" w:cs="宋体" w:hAnsiTheme="minorHAnsi"/>
          <w:color w:val="000000"/>
          <w:kern w:val="0"/>
          <w:lang w:val="zh-CN"/>
        </w:rPr>
        <w:t>元（计算公式为：应支付款项</w:t>
      </w:r>
      <w:r>
        <w:rPr>
          <w:rFonts w:ascii="宋体" w:cs="宋体" w:hAnsiTheme="minorHAnsi"/>
          <w:color w:val="000000"/>
          <w:kern w:val="0"/>
          <w:lang w:val="zh-CN"/>
        </w:rPr>
        <w:t>=</w:t>
      </w:r>
      <w:r>
        <w:rPr>
          <w:rFonts w:hint="eastAsia" w:ascii="宋体" w:cs="宋体" w:hAnsiTheme="minorHAnsi"/>
          <w:color w:val="000000"/>
          <w:kern w:val="0"/>
          <w:lang w:val="zh-CN"/>
        </w:rPr>
        <w:t>转让价款</w:t>
      </w:r>
      <w:r>
        <w:rPr>
          <w:rFonts w:ascii="宋体" w:cs="宋体" w:hAnsiTheme="minorHAnsi"/>
          <w:color w:val="000000"/>
          <w:kern w:val="0"/>
          <w:lang w:val="zh-CN"/>
        </w:rPr>
        <w:t>289,712,109.26</w:t>
      </w:r>
      <w:r>
        <w:rPr>
          <w:rFonts w:hint="eastAsia" w:ascii="宋体" w:cs="宋体" w:hAnsiTheme="minorHAnsi"/>
          <w:color w:val="000000"/>
          <w:kern w:val="0"/>
          <w:lang w:val="zh-CN"/>
        </w:rPr>
        <w:t>元</w:t>
      </w:r>
      <w:r>
        <w:rPr>
          <w:rFonts w:ascii="宋体" w:cs="宋体" w:hAnsiTheme="minorHAnsi"/>
          <w:color w:val="000000"/>
          <w:kern w:val="0"/>
          <w:lang w:val="zh-CN"/>
        </w:rPr>
        <w:t>-</w:t>
      </w:r>
      <w:r>
        <w:rPr>
          <w:rFonts w:hint="eastAsia" w:ascii="宋体" w:cs="宋体" w:hAnsiTheme="minorHAnsi"/>
          <w:color w:val="000000"/>
          <w:kern w:val="0"/>
          <w:lang w:val="zh-CN"/>
        </w:rPr>
        <w:t>承接的付款义务</w:t>
      </w:r>
      <w:r>
        <w:rPr>
          <w:rFonts w:ascii="宋体" w:cs="宋体" w:hAnsiTheme="minorHAnsi"/>
          <w:color w:val="000000"/>
          <w:kern w:val="0"/>
          <w:lang w:val="zh-CN"/>
        </w:rPr>
        <w:t>59,559,150.04</w:t>
      </w:r>
      <w:r>
        <w:rPr>
          <w:rFonts w:hint="eastAsia" w:ascii="宋体" w:cs="宋体" w:hAnsiTheme="minorHAnsi"/>
          <w:color w:val="000000"/>
          <w:kern w:val="0"/>
          <w:lang w:val="zh-CN"/>
        </w:rPr>
        <w:t>元</w:t>
      </w:r>
      <w:r>
        <w:rPr>
          <w:rFonts w:ascii="宋体" w:cs="宋体" w:hAnsiTheme="minorHAnsi"/>
          <w:color w:val="000000"/>
          <w:kern w:val="0"/>
          <w:lang w:val="zh-CN"/>
        </w:rPr>
        <w:t>-</w:t>
      </w:r>
      <w:r>
        <w:rPr>
          <w:rFonts w:hint="eastAsia" w:ascii="宋体" w:cs="宋体" w:hAnsiTheme="minorHAnsi"/>
          <w:color w:val="000000"/>
          <w:kern w:val="0"/>
          <w:lang w:val="zh-CN"/>
        </w:rPr>
        <w:t>退伙结算后应收款项</w:t>
      </w:r>
      <w:r>
        <w:rPr>
          <w:rFonts w:ascii="宋体" w:cs="宋体" w:hAnsiTheme="minorHAnsi"/>
          <w:color w:val="000000"/>
          <w:kern w:val="0"/>
          <w:lang w:val="zh-CN"/>
        </w:rPr>
        <w:t>7,716,773.52</w:t>
      </w:r>
      <w:r>
        <w:rPr>
          <w:rFonts w:hint="eastAsia" w:ascii="宋体" w:cs="宋体" w:hAnsiTheme="minorHAnsi"/>
          <w:color w:val="000000"/>
          <w:kern w:val="0"/>
          <w:lang w:val="zh-CN"/>
        </w:rPr>
        <w:t>元</w:t>
      </w:r>
      <w:r>
        <w:rPr>
          <w:rFonts w:ascii="宋体" w:cs="宋体" w:hAnsiTheme="minorHAnsi"/>
          <w:color w:val="000000"/>
          <w:kern w:val="0"/>
          <w:lang w:val="zh-CN"/>
        </w:rPr>
        <w:t>=222,436,185.70</w:t>
      </w:r>
      <w:r>
        <w:rPr>
          <w:rFonts w:hint="eastAsia" w:ascii="宋体" w:cs="宋体" w:hAnsiTheme="minorHAnsi"/>
          <w:color w:val="000000"/>
          <w:kern w:val="0"/>
          <w:lang w:val="zh-CN"/>
        </w:rPr>
        <w:t>元）。本次退伙及股权转让完成后，公司不再持有美康基金的股份；并且由原来直接持有标的公司杭州倚天</w:t>
      </w:r>
      <w:r>
        <w:rPr>
          <w:rFonts w:ascii="宋体" w:cs="宋体" w:hAnsiTheme="minorHAnsi"/>
          <w:color w:val="000000"/>
          <w:kern w:val="0"/>
          <w:lang w:val="zh-CN"/>
        </w:rPr>
        <w:t>1%</w:t>
      </w:r>
      <w:r>
        <w:rPr>
          <w:rFonts w:hint="eastAsia" w:ascii="宋体" w:cs="宋体" w:hAnsiTheme="minorHAnsi"/>
          <w:color w:val="000000"/>
          <w:kern w:val="0"/>
          <w:lang w:val="zh-CN"/>
        </w:rPr>
        <w:t>的股权和间接持有杭州倚天</w:t>
      </w:r>
      <w:r>
        <w:rPr>
          <w:rFonts w:ascii="宋体" w:cs="宋体" w:hAnsiTheme="minorHAnsi"/>
          <w:color w:val="000000"/>
          <w:kern w:val="0"/>
          <w:lang w:val="zh-CN"/>
        </w:rPr>
        <w:t>66.88%</w:t>
      </w:r>
      <w:r>
        <w:rPr>
          <w:rFonts w:hint="eastAsia" w:ascii="宋体" w:cs="宋体" w:hAnsiTheme="minorHAnsi"/>
          <w:color w:val="000000"/>
          <w:kern w:val="0"/>
          <w:lang w:val="zh-CN"/>
        </w:rPr>
        <w:t>的股权变更为直接持有标的公司杭州倚天</w:t>
      </w:r>
      <w:r>
        <w:rPr>
          <w:rFonts w:ascii="宋体" w:cs="宋体" w:hAnsiTheme="minorHAnsi"/>
          <w:color w:val="000000"/>
          <w:kern w:val="0"/>
          <w:lang w:val="zh-CN"/>
        </w:rPr>
        <w:t>100%</w:t>
      </w:r>
      <w:r>
        <w:rPr>
          <w:rFonts w:hint="eastAsia" w:ascii="宋体" w:cs="宋体" w:hAnsiTheme="minorHAnsi"/>
          <w:color w:val="000000"/>
          <w:kern w:val="0"/>
          <w:lang w:val="zh-CN"/>
        </w:rPr>
        <w:t>的股权。上述退伙及购买杭州倚天剩余股权事项，公司需要支付美康基金股权转让款</w:t>
      </w:r>
      <w:r>
        <w:rPr>
          <w:rFonts w:ascii="宋体" w:cs="宋体" w:hAnsiTheme="minorHAnsi"/>
          <w:color w:val="000000"/>
          <w:kern w:val="0"/>
          <w:lang w:val="zh-CN"/>
        </w:rPr>
        <w:t>222,436,185.70</w:t>
      </w:r>
      <w:r>
        <w:rPr>
          <w:rFonts w:hint="eastAsia" w:ascii="宋体" w:cs="宋体" w:hAnsiTheme="minorHAnsi"/>
          <w:color w:val="000000"/>
          <w:kern w:val="0"/>
          <w:lang w:val="zh-CN"/>
        </w:rPr>
        <w:t>元，截止</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6</w:t>
      </w:r>
      <w:r>
        <w:rPr>
          <w:rFonts w:hint="eastAsia" w:ascii="宋体" w:cs="宋体" w:hAnsiTheme="minorHAnsi"/>
          <w:color w:val="000000"/>
          <w:kern w:val="0"/>
          <w:lang w:val="zh-CN"/>
        </w:rPr>
        <w:t>月</w:t>
      </w:r>
      <w:r>
        <w:rPr>
          <w:rFonts w:ascii="宋体" w:cs="宋体" w:hAnsiTheme="minorHAnsi"/>
          <w:color w:val="000000"/>
          <w:kern w:val="0"/>
          <w:lang w:val="zh-CN"/>
        </w:rPr>
        <w:t>30</w:t>
      </w:r>
      <w:r>
        <w:rPr>
          <w:rFonts w:hint="eastAsia" w:ascii="宋体" w:cs="宋体" w:hAnsiTheme="minorHAnsi"/>
          <w:color w:val="000000"/>
          <w:kern w:val="0"/>
          <w:lang w:val="zh-CN"/>
        </w:rPr>
        <w:t>日，公司已全部支付。</w:t>
      </w:r>
    </w:p>
    <w:p>
      <w:pPr>
        <w:autoSpaceDE w:val="0"/>
        <w:autoSpaceDN w:val="0"/>
        <w:adjustRightInd w:val="0"/>
        <w:spacing w:before="0" w:after="0"/>
        <w:ind w:firstLine="420"/>
        <w:rPr>
          <w:rFonts w:ascii="宋体" w:cs="宋体" w:hAnsiTheme="minorHAnsi"/>
          <w:color w:val="000000"/>
          <w:kern w:val="0"/>
        </w:rPr>
      </w:pPr>
      <w:r>
        <w:rPr>
          <w:rFonts w:hint="eastAsia" w:ascii="宋体" w:cs="宋体" w:hAnsiTheme="minorHAnsi"/>
          <w:color w:val="000000"/>
          <w:kern w:val="0"/>
          <w:lang w:val="zh-CN"/>
        </w:rPr>
        <w:t>以上事项已经公司第三届董事会第十四次会议和</w:t>
      </w:r>
      <w:r>
        <w:rPr>
          <w:rFonts w:ascii="宋体" w:cs="宋体" w:hAnsiTheme="minorHAnsi"/>
          <w:color w:val="000000"/>
          <w:kern w:val="0"/>
          <w:lang w:val="zh-CN"/>
        </w:rPr>
        <w:t>2019</w:t>
      </w:r>
      <w:r>
        <w:rPr>
          <w:rFonts w:hint="eastAsia" w:ascii="宋体" w:cs="宋体" w:hAnsiTheme="minorHAnsi"/>
          <w:color w:val="000000"/>
          <w:kern w:val="0"/>
          <w:lang w:val="zh-CN"/>
        </w:rPr>
        <w:t>年第一次临时股东大会审议通过，并于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3</w:t>
      </w:r>
      <w:r>
        <w:rPr>
          <w:rFonts w:hint="eastAsia" w:ascii="宋体" w:cs="宋体" w:hAnsiTheme="minorHAnsi"/>
          <w:color w:val="000000"/>
          <w:kern w:val="0"/>
          <w:lang w:val="zh-CN"/>
        </w:rPr>
        <w:t>月</w:t>
      </w:r>
      <w:r>
        <w:rPr>
          <w:rFonts w:ascii="宋体" w:cs="宋体" w:hAnsiTheme="minorHAnsi"/>
          <w:color w:val="000000"/>
          <w:kern w:val="0"/>
          <w:lang w:val="zh-CN"/>
        </w:rPr>
        <w:t>22</w:t>
      </w:r>
      <w:r>
        <w:rPr>
          <w:rFonts w:hint="eastAsia" w:ascii="宋体" w:cs="宋体" w:hAnsiTheme="minorHAnsi"/>
          <w:color w:val="000000"/>
          <w:kern w:val="0"/>
          <w:lang w:val="zh-CN"/>
        </w:rPr>
        <w:t>日办妥从宁波美康股权投资基金合伙企业</w:t>
      </w:r>
      <w:r>
        <w:rPr>
          <w:rFonts w:ascii="宋体" w:cs="宋体" w:hAnsiTheme="minorHAnsi"/>
          <w:color w:val="000000"/>
          <w:kern w:val="0"/>
          <w:lang w:val="zh-CN"/>
        </w:rPr>
        <w:t>(</w:t>
      </w:r>
      <w:r>
        <w:rPr>
          <w:rFonts w:hint="eastAsia" w:ascii="宋体" w:cs="宋体" w:hAnsiTheme="minorHAnsi"/>
          <w:color w:val="000000"/>
          <w:kern w:val="0"/>
          <w:lang w:val="zh-CN"/>
        </w:rPr>
        <w:t>有限合伙</w:t>
      </w:r>
      <w:r>
        <w:rPr>
          <w:rFonts w:ascii="宋体" w:cs="宋体" w:hAnsiTheme="minorHAnsi"/>
          <w:color w:val="000000"/>
          <w:kern w:val="0"/>
          <w:lang w:val="zh-CN"/>
        </w:rPr>
        <w:t>)</w:t>
      </w:r>
      <w:r>
        <w:rPr>
          <w:rFonts w:hint="eastAsia" w:ascii="宋体" w:cs="宋体" w:hAnsiTheme="minorHAnsi"/>
          <w:color w:val="000000"/>
          <w:kern w:val="0"/>
          <w:lang w:val="zh-CN"/>
        </w:rPr>
        <w:t>退伙的工商变更事项；于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4</w:t>
      </w:r>
      <w:r>
        <w:rPr>
          <w:rFonts w:hint="eastAsia" w:ascii="宋体" w:cs="宋体" w:hAnsiTheme="minorHAnsi"/>
          <w:color w:val="000000"/>
          <w:kern w:val="0"/>
          <w:lang w:val="zh-CN"/>
        </w:rPr>
        <w:t>月</w:t>
      </w:r>
      <w:r>
        <w:rPr>
          <w:rFonts w:ascii="宋体" w:cs="宋体" w:hAnsiTheme="minorHAnsi"/>
          <w:color w:val="000000"/>
          <w:kern w:val="0"/>
          <w:lang w:val="zh-CN"/>
        </w:rPr>
        <w:t>11</w:t>
      </w:r>
      <w:r>
        <w:rPr>
          <w:rFonts w:hint="eastAsia" w:ascii="宋体" w:cs="宋体" w:hAnsiTheme="minorHAnsi"/>
          <w:color w:val="000000"/>
          <w:kern w:val="0"/>
          <w:lang w:val="zh-CN"/>
        </w:rPr>
        <w:t>日办妥杭州倚天股权变更的工商事项。</w:t>
      </w:r>
    </w:p>
    <w:p>
      <w:pPr>
        <w:autoSpaceDE w:val="0"/>
        <w:autoSpaceDN w:val="0"/>
        <w:adjustRightInd w:val="0"/>
        <w:spacing w:before="0" w:after="0"/>
        <w:rPr>
          <w:rFonts w:ascii="宋体" w:cs="宋体" w:hAnsiTheme="minorHAnsi"/>
          <w:color w:val="000000"/>
          <w:kern w:val="0"/>
        </w:rPr>
      </w:pPr>
      <w:r>
        <w:rPr>
          <w:rFonts w:hint="eastAsia" w:ascii="宋体" w:cs="宋体" w:hAnsiTheme="minorHAnsi"/>
          <w:color w:val="000000"/>
          <w:kern w:val="0"/>
          <w:lang w:val="zh-CN"/>
        </w:rPr>
        <w:t>（</w:t>
      </w:r>
      <w:r>
        <w:rPr>
          <w:rFonts w:ascii="宋体" w:cs="宋体" w:hAnsiTheme="minorHAnsi"/>
          <w:color w:val="000000"/>
          <w:kern w:val="0"/>
          <w:lang w:val="zh-CN"/>
        </w:rPr>
        <w:t>5</w:t>
      </w:r>
      <w:r>
        <w:rPr>
          <w:rFonts w:hint="eastAsia" w:ascii="宋体" w:cs="宋体" w:hAnsiTheme="minorHAnsi"/>
          <w:color w:val="000000"/>
          <w:kern w:val="0"/>
          <w:lang w:val="zh-CN"/>
        </w:rPr>
        <w:t>）金华市美康盛德医学检验所有限公司股权转让事项：</w:t>
      </w:r>
    </w:p>
    <w:p>
      <w:pPr>
        <w:autoSpaceDE w:val="0"/>
        <w:autoSpaceDN w:val="0"/>
        <w:adjustRightInd w:val="0"/>
        <w:spacing w:before="0" w:after="0"/>
        <w:ind w:firstLine="420"/>
        <w:rPr>
          <w:rFonts w:ascii="宋体" w:cs="宋体" w:hAnsiTheme="minorHAnsi"/>
          <w:color w:val="000000"/>
          <w:kern w:val="0"/>
        </w:rPr>
      </w:pP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6</w:t>
      </w:r>
      <w:r>
        <w:rPr>
          <w:rFonts w:hint="eastAsia" w:ascii="宋体" w:cs="宋体" w:hAnsiTheme="minorHAnsi"/>
          <w:color w:val="000000"/>
          <w:kern w:val="0"/>
          <w:lang w:val="zh-CN"/>
        </w:rPr>
        <w:t>月</w:t>
      </w:r>
      <w:r>
        <w:rPr>
          <w:rFonts w:ascii="宋体" w:cs="宋体" w:hAnsiTheme="minorHAnsi"/>
          <w:color w:val="000000"/>
          <w:kern w:val="0"/>
          <w:lang w:val="zh-CN"/>
        </w:rPr>
        <w:t>21</w:t>
      </w:r>
      <w:r>
        <w:rPr>
          <w:rFonts w:hint="eastAsia" w:ascii="宋体" w:cs="宋体" w:hAnsiTheme="minorHAnsi"/>
          <w:color w:val="000000"/>
          <w:kern w:val="0"/>
          <w:lang w:val="zh-CN"/>
        </w:rPr>
        <w:t>日，公司与乙方（李丰、江怀昆、杭州普安基因工程有限公司）、丙方（宁波华艺投资股份有限公司）共同签署了股权转让协议及《关于终止履行</w:t>
      </w:r>
      <w:r>
        <w:rPr>
          <w:rFonts w:ascii="宋体" w:cs="宋体" w:hAnsiTheme="minorHAnsi"/>
          <w:color w:val="000000"/>
          <w:kern w:val="0"/>
          <w:lang w:val="zh-CN"/>
        </w:rPr>
        <w:t>&lt;</w:t>
      </w:r>
      <w:r>
        <w:rPr>
          <w:rFonts w:hint="eastAsia" w:ascii="宋体" w:cs="宋体" w:hAnsiTheme="minorHAnsi"/>
          <w:color w:val="000000"/>
          <w:kern w:val="0"/>
          <w:lang w:val="zh-CN"/>
        </w:rPr>
        <w:t>投资框架意向书</w:t>
      </w:r>
      <w:r>
        <w:rPr>
          <w:rFonts w:ascii="宋体" w:cs="宋体" w:hAnsiTheme="minorHAnsi"/>
          <w:color w:val="000000"/>
          <w:kern w:val="0"/>
          <w:lang w:val="zh-CN"/>
        </w:rPr>
        <w:t>&gt;</w:t>
      </w:r>
      <w:r>
        <w:rPr>
          <w:rFonts w:hint="eastAsia" w:ascii="宋体" w:cs="宋体" w:hAnsiTheme="minorHAnsi"/>
          <w:color w:val="000000"/>
          <w:kern w:val="0"/>
          <w:lang w:val="zh-CN"/>
        </w:rPr>
        <w:t>之协议》，各方一致同意公司将所持有的金华医检所</w:t>
      </w:r>
      <w:r>
        <w:rPr>
          <w:rFonts w:ascii="宋体" w:cs="宋体" w:hAnsiTheme="minorHAnsi"/>
          <w:color w:val="000000"/>
          <w:kern w:val="0"/>
          <w:lang w:val="zh-CN"/>
        </w:rPr>
        <w:t>41.10%</w:t>
      </w:r>
      <w:r>
        <w:rPr>
          <w:rFonts w:hint="eastAsia" w:ascii="宋体" w:cs="宋体" w:hAnsiTheme="minorHAnsi"/>
          <w:color w:val="000000"/>
          <w:kern w:val="0"/>
          <w:lang w:val="zh-CN"/>
        </w:rPr>
        <w:t>的股权作价人民币</w:t>
      </w:r>
      <w:r>
        <w:rPr>
          <w:rFonts w:ascii="宋体" w:cs="宋体" w:hAnsiTheme="minorHAnsi"/>
          <w:color w:val="000000"/>
          <w:kern w:val="0"/>
          <w:lang w:val="zh-CN"/>
        </w:rPr>
        <w:t>24.66</w:t>
      </w:r>
      <w:r>
        <w:rPr>
          <w:rFonts w:hint="eastAsia" w:ascii="宋体" w:cs="宋体" w:hAnsiTheme="minorHAnsi"/>
          <w:color w:val="000000"/>
          <w:kern w:val="0"/>
          <w:lang w:val="zh-CN"/>
        </w:rPr>
        <w:t>万元转让给李丰；将所持有的金华医检所</w:t>
      </w:r>
      <w:r>
        <w:rPr>
          <w:rFonts w:ascii="宋体" w:cs="宋体" w:hAnsiTheme="minorHAnsi"/>
          <w:color w:val="000000"/>
          <w:kern w:val="0"/>
          <w:lang w:val="zh-CN"/>
        </w:rPr>
        <w:t>6%</w:t>
      </w:r>
      <w:r>
        <w:rPr>
          <w:rFonts w:hint="eastAsia" w:ascii="宋体" w:cs="宋体" w:hAnsiTheme="minorHAnsi"/>
          <w:color w:val="000000"/>
          <w:kern w:val="0"/>
          <w:lang w:val="zh-CN"/>
        </w:rPr>
        <w:t>的股权作价人民币</w:t>
      </w:r>
      <w:r>
        <w:rPr>
          <w:rFonts w:ascii="宋体" w:cs="宋体" w:hAnsiTheme="minorHAnsi"/>
          <w:color w:val="000000"/>
          <w:kern w:val="0"/>
          <w:lang w:val="zh-CN"/>
        </w:rPr>
        <w:t>3.60</w:t>
      </w:r>
      <w:r>
        <w:rPr>
          <w:rFonts w:hint="eastAsia" w:ascii="宋体" w:cs="宋体" w:hAnsiTheme="minorHAnsi"/>
          <w:color w:val="000000"/>
          <w:kern w:val="0"/>
          <w:lang w:val="zh-CN"/>
        </w:rPr>
        <w:t>万元转让给江怀昆；将所持有的金华医检所</w:t>
      </w:r>
      <w:r>
        <w:rPr>
          <w:rFonts w:ascii="宋体" w:cs="宋体" w:hAnsiTheme="minorHAnsi"/>
          <w:color w:val="000000"/>
          <w:kern w:val="0"/>
          <w:lang w:val="zh-CN"/>
        </w:rPr>
        <w:t>2.90%</w:t>
      </w:r>
      <w:r>
        <w:rPr>
          <w:rFonts w:hint="eastAsia" w:ascii="宋体" w:cs="宋体" w:hAnsiTheme="minorHAnsi"/>
          <w:color w:val="000000"/>
          <w:kern w:val="0"/>
          <w:lang w:val="zh-CN"/>
        </w:rPr>
        <w:t>的股权作价人民币</w:t>
      </w:r>
      <w:r>
        <w:rPr>
          <w:rFonts w:ascii="宋体" w:cs="宋体" w:hAnsiTheme="minorHAnsi"/>
          <w:color w:val="000000"/>
          <w:kern w:val="0"/>
          <w:lang w:val="zh-CN"/>
        </w:rPr>
        <w:t>1.74</w:t>
      </w:r>
      <w:r>
        <w:rPr>
          <w:rFonts w:hint="eastAsia" w:ascii="宋体" w:cs="宋体" w:hAnsiTheme="minorHAnsi"/>
          <w:color w:val="000000"/>
          <w:kern w:val="0"/>
          <w:lang w:val="zh-CN"/>
        </w:rPr>
        <w:t>万元转让给杭州普安基因工程有限公司。上述股权转让款价格合计</w:t>
      </w:r>
      <w:r>
        <w:rPr>
          <w:rFonts w:ascii="宋体" w:cs="宋体" w:hAnsiTheme="minorHAnsi"/>
          <w:color w:val="000000"/>
          <w:kern w:val="0"/>
          <w:lang w:val="zh-CN"/>
        </w:rPr>
        <w:t>30.00</w:t>
      </w:r>
      <w:r>
        <w:rPr>
          <w:rFonts w:hint="eastAsia" w:ascii="宋体" w:cs="宋体" w:hAnsiTheme="minorHAnsi"/>
          <w:color w:val="000000"/>
          <w:kern w:val="0"/>
          <w:lang w:val="zh-CN"/>
        </w:rPr>
        <w:t>万元，股权转让完成后，公司仅将持有金华医检所</w:t>
      </w:r>
      <w:r>
        <w:rPr>
          <w:rFonts w:ascii="宋体" w:cs="宋体" w:hAnsiTheme="minorHAnsi"/>
          <w:color w:val="000000"/>
          <w:kern w:val="0"/>
          <w:lang w:val="zh-CN"/>
        </w:rPr>
        <w:t>1.00%</w:t>
      </w:r>
      <w:r>
        <w:rPr>
          <w:rFonts w:hint="eastAsia" w:ascii="宋体" w:cs="宋体" w:hAnsiTheme="minorHAnsi"/>
          <w:color w:val="000000"/>
          <w:kern w:val="0"/>
          <w:lang w:val="zh-CN"/>
        </w:rPr>
        <w:t>的股权。截止</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12</w:t>
      </w:r>
      <w:r>
        <w:rPr>
          <w:rFonts w:hint="eastAsia" w:ascii="宋体" w:cs="宋体" w:hAnsiTheme="minorHAnsi"/>
          <w:color w:val="000000"/>
          <w:kern w:val="0"/>
          <w:lang w:val="zh-CN"/>
        </w:rPr>
        <w:t>月</w:t>
      </w:r>
      <w:r>
        <w:rPr>
          <w:rFonts w:ascii="宋体" w:cs="宋体" w:hAnsiTheme="minorHAnsi"/>
          <w:color w:val="000000"/>
          <w:kern w:val="0"/>
          <w:lang w:val="zh-CN"/>
        </w:rPr>
        <w:t>31</w:t>
      </w:r>
      <w:r>
        <w:rPr>
          <w:rFonts w:hint="eastAsia" w:ascii="宋体" w:cs="宋体" w:hAnsiTheme="minorHAnsi"/>
          <w:color w:val="000000"/>
          <w:kern w:val="0"/>
          <w:lang w:val="zh-CN"/>
        </w:rPr>
        <w:t>日，公司已收到李丰、江怀昆和杭州普安基因工程有限公司支付的股权转让款共计</w:t>
      </w:r>
      <w:r>
        <w:rPr>
          <w:rFonts w:ascii="宋体" w:cs="宋体" w:hAnsiTheme="minorHAnsi"/>
          <w:color w:val="000000"/>
          <w:kern w:val="0"/>
          <w:lang w:val="zh-CN"/>
        </w:rPr>
        <w:t>30.00</w:t>
      </w:r>
      <w:r>
        <w:rPr>
          <w:rFonts w:hint="eastAsia" w:ascii="宋体" w:cs="宋体" w:hAnsiTheme="minorHAnsi"/>
          <w:color w:val="000000"/>
          <w:kern w:val="0"/>
          <w:lang w:val="zh-CN"/>
        </w:rPr>
        <w:t>万元，上述股权转让事项已于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7</w:t>
      </w:r>
      <w:r>
        <w:rPr>
          <w:rFonts w:hint="eastAsia" w:ascii="宋体" w:cs="宋体" w:hAnsiTheme="minorHAnsi"/>
          <w:color w:val="000000"/>
          <w:kern w:val="0"/>
          <w:lang w:val="zh-CN"/>
        </w:rPr>
        <w:t>月</w:t>
      </w:r>
      <w:r>
        <w:rPr>
          <w:rFonts w:ascii="宋体" w:cs="宋体" w:hAnsiTheme="minorHAnsi"/>
          <w:color w:val="000000"/>
          <w:kern w:val="0"/>
          <w:lang w:val="zh-CN"/>
        </w:rPr>
        <w:t>25</w:t>
      </w:r>
      <w:r>
        <w:rPr>
          <w:rFonts w:hint="eastAsia" w:ascii="宋体" w:cs="宋体" w:hAnsiTheme="minorHAnsi"/>
          <w:color w:val="000000"/>
          <w:kern w:val="0"/>
          <w:lang w:val="zh-CN"/>
        </w:rPr>
        <w:t>日办妥工商变更手续。</w:t>
      </w:r>
    </w:p>
    <w:p>
      <w:pPr>
        <w:autoSpaceDE w:val="0"/>
        <w:autoSpaceDN w:val="0"/>
        <w:adjustRightInd w:val="0"/>
        <w:spacing w:before="0" w:after="0"/>
        <w:rPr>
          <w:rFonts w:ascii="宋体" w:cs="宋体" w:hAnsiTheme="minorHAnsi"/>
          <w:color w:val="000000"/>
          <w:kern w:val="0"/>
        </w:rPr>
      </w:pPr>
      <w:r>
        <w:rPr>
          <w:rFonts w:hint="eastAsia" w:ascii="宋体" w:cs="宋体" w:hAnsiTheme="minorHAnsi"/>
          <w:color w:val="000000"/>
          <w:kern w:val="0"/>
          <w:lang w:val="zh-CN"/>
        </w:rPr>
        <w:t>（</w:t>
      </w:r>
      <w:r>
        <w:rPr>
          <w:rFonts w:ascii="宋体" w:cs="宋体" w:hAnsiTheme="minorHAnsi"/>
          <w:color w:val="000000"/>
          <w:kern w:val="0"/>
          <w:lang w:val="zh-CN"/>
        </w:rPr>
        <w:t>6</w:t>
      </w:r>
      <w:r>
        <w:rPr>
          <w:rFonts w:hint="eastAsia" w:ascii="宋体" w:cs="宋体" w:hAnsiTheme="minorHAnsi"/>
          <w:color w:val="000000"/>
          <w:kern w:val="0"/>
          <w:lang w:val="zh-CN"/>
        </w:rPr>
        <w:t>）重庆和盛医疗器械有限公司股权转让事项：</w:t>
      </w:r>
    </w:p>
    <w:p>
      <w:pPr>
        <w:autoSpaceDE w:val="0"/>
        <w:autoSpaceDN w:val="0"/>
        <w:adjustRightInd w:val="0"/>
        <w:spacing w:before="0" w:after="0"/>
        <w:ind w:firstLine="420"/>
        <w:rPr>
          <w:rFonts w:ascii="宋体" w:cs="宋体" w:hAnsiTheme="minorHAnsi"/>
          <w:color w:val="000000"/>
          <w:kern w:val="0"/>
        </w:rPr>
      </w:pP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9</w:t>
      </w:r>
      <w:r>
        <w:rPr>
          <w:rFonts w:hint="eastAsia" w:ascii="宋体" w:cs="宋体" w:hAnsiTheme="minorHAnsi"/>
          <w:color w:val="000000"/>
          <w:kern w:val="0"/>
          <w:lang w:val="zh-CN"/>
        </w:rPr>
        <w:t>月</w:t>
      </w:r>
      <w:r>
        <w:rPr>
          <w:rFonts w:ascii="宋体" w:cs="宋体" w:hAnsiTheme="minorHAnsi"/>
          <w:color w:val="000000"/>
          <w:kern w:val="0"/>
          <w:lang w:val="zh-CN"/>
        </w:rPr>
        <w:t>10</w:t>
      </w:r>
      <w:r>
        <w:rPr>
          <w:rFonts w:hint="eastAsia" w:ascii="宋体" w:cs="宋体" w:hAnsiTheme="minorHAnsi"/>
          <w:color w:val="000000"/>
          <w:kern w:val="0"/>
          <w:lang w:val="zh-CN"/>
        </w:rPr>
        <w:t>日，公司与刘二岗、刘培岗签署了《股权转让协议》，公司将所持有的重庆和盛医疗器械有限公司</w:t>
      </w:r>
      <w:r>
        <w:rPr>
          <w:rFonts w:ascii="宋体" w:cs="宋体" w:hAnsiTheme="minorHAnsi"/>
          <w:color w:val="000000"/>
          <w:kern w:val="0"/>
          <w:lang w:val="zh-CN"/>
        </w:rPr>
        <w:t>21%</w:t>
      </w:r>
      <w:r>
        <w:rPr>
          <w:rFonts w:hint="eastAsia" w:ascii="宋体" w:cs="宋体" w:hAnsiTheme="minorHAnsi"/>
          <w:color w:val="000000"/>
          <w:kern w:val="0"/>
          <w:lang w:val="zh-CN"/>
        </w:rPr>
        <w:t>的股权作价人民币</w:t>
      </w:r>
      <w:r>
        <w:rPr>
          <w:rFonts w:ascii="宋体" w:cs="宋体" w:hAnsiTheme="minorHAnsi"/>
          <w:color w:val="000000"/>
          <w:kern w:val="0"/>
          <w:lang w:val="zh-CN"/>
        </w:rPr>
        <w:t>3,780.00</w:t>
      </w:r>
      <w:r>
        <w:rPr>
          <w:rFonts w:hint="eastAsia" w:ascii="宋体" w:cs="宋体" w:hAnsiTheme="minorHAnsi"/>
          <w:color w:val="000000"/>
          <w:kern w:val="0"/>
          <w:lang w:val="zh-CN"/>
        </w:rPr>
        <w:t>万元转让给刘培岗。股权转让完成后，公司将持有重庆和盛医疗器械有限公司</w:t>
      </w:r>
      <w:r>
        <w:rPr>
          <w:rFonts w:ascii="宋体" w:cs="宋体" w:hAnsiTheme="minorHAnsi"/>
          <w:color w:val="000000"/>
          <w:kern w:val="0"/>
          <w:lang w:val="zh-CN"/>
        </w:rPr>
        <w:t>30%</w:t>
      </w:r>
      <w:r>
        <w:rPr>
          <w:rFonts w:hint="eastAsia" w:ascii="宋体" w:cs="宋体" w:hAnsiTheme="minorHAnsi"/>
          <w:color w:val="000000"/>
          <w:kern w:val="0"/>
          <w:lang w:val="zh-CN"/>
        </w:rPr>
        <w:t>的股权，不再将其纳入合并范围，而是作为联营企业转为权益法核算。上述股权转让事项已于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9</w:t>
      </w:r>
      <w:r>
        <w:rPr>
          <w:rFonts w:hint="eastAsia" w:ascii="宋体" w:cs="宋体" w:hAnsiTheme="minorHAnsi"/>
          <w:color w:val="000000"/>
          <w:kern w:val="0"/>
          <w:lang w:val="zh-CN"/>
        </w:rPr>
        <w:t>月</w:t>
      </w:r>
      <w:r>
        <w:rPr>
          <w:rFonts w:ascii="宋体" w:cs="宋体" w:hAnsiTheme="minorHAnsi"/>
          <w:color w:val="000000"/>
          <w:kern w:val="0"/>
          <w:lang w:val="zh-CN"/>
        </w:rPr>
        <w:t>11</w:t>
      </w:r>
      <w:r>
        <w:rPr>
          <w:rFonts w:hint="eastAsia" w:ascii="宋体" w:cs="宋体" w:hAnsiTheme="minorHAnsi"/>
          <w:color w:val="000000"/>
          <w:kern w:val="0"/>
          <w:lang w:val="zh-CN"/>
        </w:rPr>
        <w:t>日办妥工商变更手续。</w:t>
      </w:r>
    </w:p>
    <w:p>
      <w:pPr>
        <w:autoSpaceDE w:val="0"/>
        <w:autoSpaceDN w:val="0"/>
        <w:adjustRightInd w:val="0"/>
        <w:spacing w:before="0" w:after="0"/>
        <w:ind w:firstLine="420"/>
        <w:rPr>
          <w:rFonts w:ascii="宋体" w:cs="宋体" w:hAnsiTheme="minorHAnsi"/>
          <w:color w:val="000000"/>
          <w:kern w:val="0"/>
        </w:rPr>
      </w:pPr>
      <w:r>
        <w:rPr>
          <w:rFonts w:hint="eastAsia" w:ascii="宋体" w:cs="宋体" w:hAnsiTheme="minorHAnsi"/>
          <w:color w:val="000000"/>
          <w:kern w:val="0"/>
          <w:lang w:val="zh-CN"/>
        </w:rPr>
        <w:t>根据合同约定，公司应于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12</w:t>
      </w:r>
      <w:r>
        <w:rPr>
          <w:rFonts w:hint="eastAsia" w:ascii="宋体" w:cs="宋体" w:hAnsiTheme="minorHAnsi"/>
          <w:color w:val="000000"/>
          <w:kern w:val="0"/>
          <w:lang w:val="zh-CN"/>
        </w:rPr>
        <w:t>月</w:t>
      </w:r>
      <w:r>
        <w:rPr>
          <w:rFonts w:ascii="宋体" w:cs="宋体" w:hAnsiTheme="minorHAnsi"/>
          <w:color w:val="000000"/>
          <w:kern w:val="0"/>
          <w:lang w:val="zh-CN"/>
        </w:rPr>
        <w:t>31</w:t>
      </w:r>
      <w:r>
        <w:rPr>
          <w:rFonts w:hint="eastAsia" w:ascii="宋体" w:cs="宋体" w:hAnsiTheme="minorHAnsi"/>
          <w:color w:val="000000"/>
          <w:kern w:val="0"/>
          <w:lang w:val="zh-CN"/>
        </w:rPr>
        <w:t>日前收到股权转让款</w:t>
      </w:r>
      <w:r>
        <w:rPr>
          <w:rFonts w:ascii="宋体" w:cs="宋体" w:hAnsiTheme="minorHAnsi"/>
          <w:color w:val="000000"/>
          <w:kern w:val="0"/>
          <w:lang w:val="zh-CN"/>
        </w:rPr>
        <w:t>2,268.00</w:t>
      </w:r>
      <w:r>
        <w:rPr>
          <w:rFonts w:hint="eastAsia" w:ascii="宋体" w:cs="宋体" w:hAnsiTheme="minorHAnsi"/>
          <w:color w:val="000000"/>
          <w:kern w:val="0"/>
          <w:lang w:val="zh-CN"/>
        </w:rPr>
        <w:t>万元，剩余股权转让款</w:t>
      </w:r>
      <w:r>
        <w:rPr>
          <w:rFonts w:ascii="宋体" w:cs="宋体" w:hAnsiTheme="minorHAnsi"/>
          <w:color w:val="000000"/>
          <w:kern w:val="0"/>
          <w:lang w:val="zh-CN"/>
        </w:rPr>
        <w:t>1,512.00</w:t>
      </w:r>
      <w:r>
        <w:rPr>
          <w:rFonts w:hint="eastAsia" w:ascii="宋体" w:cs="宋体" w:hAnsiTheme="minorHAnsi"/>
          <w:color w:val="000000"/>
          <w:kern w:val="0"/>
          <w:lang w:val="zh-CN"/>
        </w:rPr>
        <w:t>应于工商变更完成之日起</w:t>
      </w:r>
      <w:r>
        <w:rPr>
          <w:rFonts w:ascii="宋体" w:cs="宋体" w:hAnsiTheme="minorHAnsi"/>
          <w:color w:val="000000"/>
          <w:kern w:val="0"/>
          <w:lang w:val="zh-CN"/>
        </w:rPr>
        <w:t>360</w:t>
      </w:r>
      <w:r>
        <w:rPr>
          <w:rFonts w:hint="eastAsia" w:ascii="宋体" w:cs="宋体" w:hAnsiTheme="minorHAnsi"/>
          <w:color w:val="000000"/>
          <w:kern w:val="0"/>
          <w:lang w:val="zh-CN"/>
        </w:rPr>
        <w:t>日内（即</w:t>
      </w:r>
      <w:r>
        <w:rPr>
          <w:rFonts w:ascii="宋体" w:cs="宋体" w:hAnsiTheme="minorHAnsi"/>
          <w:color w:val="000000"/>
          <w:kern w:val="0"/>
          <w:lang w:val="zh-CN"/>
        </w:rPr>
        <w:t>2020</w:t>
      </w:r>
      <w:r>
        <w:rPr>
          <w:rFonts w:hint="eastAsia" w:ascii="宋体" w:cs="宋体" w:hAnsiTheme="minorHAnsi"/>
          <w:color w:val="000000"/>
          <w:kern w:val="0"/>
          <w:lang w:val="zh-CN"/>
        </w:rPr>
        <w:t>年</w:t>
      </w:r>
      <w:r>
        <w:rPr>
          <w:rFonts w:ascii="宋体" w:cs="宋体" w:hAnsiTheme="minorHAnsi"/>
          <w:color w:val="000000"/>
          <w:kern w:val="0"/>
          <w:lang w:val="zh-CN"/>
        </w:rPr>
        <w:t>9</w:t>
      </w:r>
      <w:r>
        <w:rPr>
          <w:rFonts w:hint="eastAsia" w:ascii="宋体" w:cs="宋体" w:hAnsiTheme="minorHAnsi"/>
          <w:color w:val="000000"/>
          <w:kern w:val="0"/>
          <w:lang w:val="zh-CN"/>
        </w:rPr>
        <w:t>月）收到。截止</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12</w:t>
      </w:r>
      <w:r>
        <w:rPr>
          <w:rFonts w:hint="eastAsia" w:ascii="宋体" w:cs="宋体" w:hAnsiTheme="minorHAnsi"/>
          <w:color w:val="000000"/>
          <w:kern w:val="0"/>
          <w:lang w:val="zh-CN"/>
        </w:rPr>
        <w:t>月</w:t>
      </w:r>
      <w:r>
        <w:rPr>
          <w:rFonts w:ascii="宋体" w:cs="宋体" w:hAnsiTheme="minorHAnsi"/>
          <w:color w:val="000000"/>
          <w:kern w:val="0"/>
          <w:lang w:val="zh-CN"/>
        </w:rPr>
        <w:t>31</w:t>
      </w:r>
      <w:r>
        <w:rPr>
          <w:rFonts w:hint="eastAsia" w:ascii="宋体" w:cs="宋体" w:hAnsiTheme="minorHAnsi"/>
          <w:color w:val="000000"/>
          <w:kern w:val="0"/>
          <w:lang w:val="zh-CN"/>
        </w:rPr>
        <w:t>日，公司已收到刘培岗支付的股权转让款共计</w:t>
      </w:r>
      <w:r>
        <w:rPr>
          <w:rFonts w:ascii="宋体" w:cs="宋体" w:hAnsiTheme="minorHAnsi"/>
          <w:color w:val="000000"/>
          <w:kern w:val="0"/>
          <w:lang w:val="zh-CN"/>
        </w:rPr>
        <w:t>1,134</w:t>
      </w:r>
      <w:r>
        <w:rPr>
          <w:rFonts w:hint="eastAsia" w:ascii="宋体" w:cs="宋体" w:hAnsiTheme="minorHAnsi"/>
          <w:color w:val="000000"/>
          <w:kern w:val="0"/>
          <w:lang w:val="zh-CN"/>
        </w:rPr>
        <w:t>万元，剩余</w:t>
      </w:r>
      <w:r>
        <w:rPr>
          <w:rFonts w:ascii="宋体" w:cs="宋体" w:hAnsiTheme="minorHAnsi"/>
          <w:color w:val="000000"/>
          <w:kern w:val="0"/>
          <w:lang w:val="zh-CN"/>
        </w:rPr>
        <w:t>2,646.00</w:t>
      </w:r>
      <w:r>
        <w:rPr>
          <w:rFonts w:hint="eastAsia" w:ascii="宋体" w:cs="宋体" w:hAnsiTheme="minorHAnsi"/>
          <w:color w:val="000000"/>
          <w:kern w:val="0"/>
          <w:lang w:val="zh-CN"/>
        </w:rPr>
        <w:t>万元尚未收到，截止</w:t>
      </w:r>
      <w:r>
        <w:rPr>
          <w:rFonts w:ascii="宋体" w:cs="宋体" w:hAnsiTheme="minorHAnsi"/>
          <w:color w:val="000000"/>
          <w:kern w:val="0"/>
          <w:lang w:val="zh-CN"/>
        </w:rPr>
        <w:t>2020</w:t>
      </w:r>
      <w:r>
        <w:rPr>
          <w:rFonts w:hint="eastAsia" w:ascii="宋体" w:cs="宋体" w:hAnsiTheme="minorHAnsi"/>
          <w:color w:val="000000"/>
          <w:kern w:val="0"/>
          <w:lang w:val="zh-CN"/>
        </w:rPr>
        <w:t>年</w:t>
      </w:r>
      <w:r>
        <w:rPr>
          <w:rFonts w:ascii="宋体" w:cs="宋体" w:hAnsiTheme="minorHAnsi"/>
          <w:color w:val="000000"/>
          <w:kern w:val="0"/>
          <w:lang w:val="zh-CN"/>
        </w:rPr>
        <w:t>4</w:t>
      </w:r>
      <w:r>
        <w:rPr>
          <w:rFonts w:hint="eastAsia" w:ascii="宋体" w:cs="宋体" w:hAnsiTheme="minorHAnsi"/>
          <w:color w:val="000000"/>
          <w:kern w:val="0"/>
          <w:lang w:val="zh-CN"/>
        </w:rPr>
        <w:t>月</w:t>
      </w:r>
      <w:r>
        <w:rPr>
          <w:rFonts w:ascii="宋体" w:cs="宋体" w:hAnsiTheme="minorHAnsi"/>
          <w:color w:val="000000"/>
          <w:kern w:val="0"/>
          <w:lang w:val="zh-CN"/>
        </w:rPr>
        <w:t>28</w:t>
      </w:r>
      <w:r>
        <w:rPr>
          <w:rFonts w:hint="eastAsia" w:ascii="宋体" w:cs="宋体" w:hAnsiTheme="minorHAnsi"/>
          <w:color w:val="000000"/>
          <w:kern w:val="0"/>
          <w:lang w:val="zh-CN"/>
        </w:rPr>
        <w:t>日，公司已收到刘培岗支付的股权转让款共计</w:t>
      </w:r>
      <w:r>
        <w:rPr>
          <w:rFonts w:ascii="宋体" w:cs="宋体" w:hAnsiTheme="minorHAnsi"/>
          <w:color w:val="000000"/>
          <w:kern w:val="0"/>
          <w:lang w:val="zh-CN"/>
        </w:rPr>
        <w:t>2,268</w:t>
      </w:r>
      <w:r>
        <w:rPr>
          <w:rFonts w:hint="eastAsia" w:ascii="宋体" w:cs="宋体" w:hAnsiTheme="minorHAnsi"/>
          <w:color w:val="000000"/>
          <w:kern w:val="0"/>
          <w:lang w:val="zh-CN"/>
        </w:rPr>
        <w:t>万元，剩余</w:t>
      </w:r>
      <w:r>
        <w:rPr>
          <w:rFonts w:ascii="宋体" w:cs="宋体" w:hAnsiTheme="minorHAnsi"/>
          <w:color w:val="000000"/>
          <w:kern w:val="0"/>
          <w:lang w:val="zh-CN"/>
        </w:rPr>
        <w:t>1,512.00</w:t>
      </w:r>
      <w:r>
        <w:rPr>
          <w:rFonts w:hint="eastAsia" w:ascii="宋体" w:cs="宋体" w:hAnsiTheme="minorHAnsi"/>
          <w:color w:val="000000"/>
          <w:kern w:val="0"/>
          <w:lang w:val="zh-CN"/>
        </w:rPr>
        <w:t>万元股权转让款尚未收到。</w:t>
      </w:r>
    </w:p>
    <w:p>
      <w:pPr>
        <w:autoSpaceDE w:val="0"/>
        <w:autoSpaceDN w:val="0"/>
        <w:adjustRightInd w:val="0"/>
        <w:spacing w:before="0" w:after="0"/>
        <w:rPr>
          <w:rFonts w:ascii="宋体" w:cs="宋体" w:hAnsiTheme="minorHAnsi"/>
          <w:color w:val="000000"/>
          <w:kern w:val="0"/>
        </w:rPr>
      </w:pPr>
      <w:r>
        <w:rPr>
          <w:rFonts w:hint="eastAsia" w:ascii="宋体" w:cs="宋体" w:hAnsiTheme="minorHAnsi"/>
          <w:color w:val="000000"/>
          <w:kern w:val="0"/>
          <w:lang w:val="zh-CN"/>
        </w:rPr>
        <w:t>（</w:t>
      </w:r>
      <w:r>
        <w:rPr>
          <w:rFonts w:ascii="宋体" w:cs="宋体" w:hAnsiTheme="minorHAnsi"/>
          <w:color w:val="000000"/>
          <w:kern w:val="0"/>
          <w:lang w:val="zh-CN"/>
        </w:rPr>
        <w:t>7</w:t>
      </w:r>
      <w:r>
        <w:rPr>
          <w:rFonts w:hint="eastAsia" w:ascii="宋体" w:cs="宋体" w:hAnsiTheme="minorHAnsi"/>
          <w:color w:val="000000"/>
          <w:kern w:val="0"/>
          <w:lang w:val="zh-CN"/>
        </w:rPr>
        <w:t>）美康生物科技（舟山）有限公司股权转让事项：</w:t>
      </w:r>
    </w:p>
    <w:p>
      <w:pPr>
        <w:autoSpaceDE w:val="0"/>
        <w:autoSpaceDN w:val="0"/>
        <w:adjustRightInd w:val="0"/>
        <w:spacing w:before="0" w:after="0"/>
        <w:ind w:firstLine="420"/>
        <w:rPr>
          <w:rFonts w:ascii="宋体" w:cs="宋体" w:hAnsiTheme="minorHAnsi"/>
          <w:color w:val="000000"/>
          <w:kern w:val="0"/>
        </w:rPr>
      </w:pP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9</w:t>
      </w:r>
      <w:r>
        <w:rPr>
          <w:rFonts w:hint="eastAsia" w:ascii="宋体" w:cs="宋体" w:hAnsiTheme="minorHAnsi"/>
          <w:color w:val="000000"/>
          <w:kern w:val="0"/>
          <w:lang w:val="zh-CN"/>
        </w:rPr>
        <w:t>月</w:t>
      </w:r>
      <w:r>
        <w:rPr>
          <w:rFonts w:ascii="宋体" w:cs="宋体" w:hAnsiTheme="minorHAnsi"/>
          <w:color w:val="000000"/>
          <w:kern w:val="0"/>
          <w:lang w:val="zh-CN"/>
        </w:rPr>
        <w:t>10</w:t>
      </w:r>
      <w:r>
        <w:rPr>
          <w:rFonts w:hint="eastAsia" w:ascii="宋体" w:cs="宋体" w:hAnsiTheme="minorHAnsi"/>
          <w:color w:val="000000"/>
          <w:kern w:val="0"/>
          <w:lang w:val="zh-CN"/>
        </w:rPr>
        <w:t>日，公司与余颖娜签署了《股权转让协议》，公司将所持有的美康生物科技（舟山）有限公司</w:t>
      </w:r>
      <w:r>
        <w:rPr>
          <w:rFonts w:ascii="宋体" w:cs="宋体" w:hAnsiTheme="minorHAnsi"/>
          <w:color w:val="000000"/>
          <w:kern w:val="0"/>
          <w:lang w:val="zh-CN"/>
        </w:rPr>
        <w:t>71%</w:t>
      </w:r>
      <w:r>
        <w:rPr>
          <w:rFonts w:hint="eastAsia" w:ascii="宋体" w:cs="宋体" w:hAnsiTheme="minorHAnsi"/>
          <w:color w:val="000000"/>
          <w:kern w:val="0"/>
          <w:lang w:val="zh-CN"/>
        </w:rPr>
        <w:t>的股权作价人民币</w:t>
      </w:r>
      <w:r>
        <w:rPr>
          <w:rFonts w:ascii="宋体" w:cs="宋体" w:hAnsiTheme="minorHAnsi"/>
          <w:color w:val="000000"/>
          <w:kern w:val="0"/>
          <w:lang w:val="zh-CN"/>
        </w:rPr>
        <w:t>3,550.00</w:t>
      </w:r>
      <w:r>
        <w:rPr>
          <w:rFonts w:hint="eastAsia" w:ascii="宋体" w:cs="宋体" w:hAnsiTheme="minorHAnsi"/>
          <w:color w:val="000000"/>
          <w:kern w:val="0"/>
          <w:lang w:val="zh-CN"/>
        </w:rPr>
        <w:t>万元转让给余颖娜。股权转让完成后，公司将持有美康生物科技（舟山）有限公司</w:t>
      </w:r>
      <w:r>
        <w:rPr>
          <w:rFonts w:ascii="宋体" w:cs="宋体" w:hAnsiTheme="minorHAnsi"/>
          <w:color w:val="000000"/>
          <w:kern w:val="0"/>
          <w:lang w:val="zh-CN"/>
        </w:rPr>
        <w:t>29%</w:t>
      </w:r>
      <w:r>
        <w:rPr>
          <w:rFonts w:hint="eastAsia" w:ascii="宋体" w:cs="宋体" w:hAnsiTheme="minorHAnsi"/>
          <w:color w:val="000000"/>
          <w:kern w:val="0"/>
          <w:lang w:val="zh-CN"/>
        </w:rPr>
        <w:t>的股权，不再将其纳入合并范围，而是作为联营企业转为权益法核算。截止</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12</w:t>
      </w:r>
      <w:r>
        <w:rPr>
          <w:rFonts w:hint="eastAsia" w:ascii="宋体" w:cs="宋体" w:hAnsiTheme="minorHAnsi"/>
          <w:color w:val="000000"/>
          <w:kern w:val="0"/>
          <w:lang w:val="zh-CN"/>
        </w:rPr>
        <w:t>月</w:t>
      </w:r>
      <w:r>
        <w:rPr>
          <w:rFonts w:ascii="宋体" w:cs="宋体" w:hAnsiTheme="minorHAnsi"/>
          <w:color w:val="000000"/>
          <w:kern w:val="0"/>
          <w:lang w:val="zh-CN"/>
        </w:rPr>
        <w:t>31</w:t>
      </w:r>
      <w:r>
        <w:rPr>
          <w:rFonts w:hint="eastAsia" w:ascii="宋体" w:cs="宋体" w:hAnsiTheme="minorHAnsi"/>
          <w:color w:val="000000"/>
          <w:kern w:val="0"/>
          <w:lang w:val="zh-CN"/>
        </w:rPr>
        <w:t>日，公司已收到股权转让款</w:t>
      </w:r>
      <w:r>
        <w:rPr>
          <w:rFonts w:ascii="宋体" w:cs="宋体" w:hAnsiTheme="minorHAnsi"/>
          <w:color w:val="000000"/>
          <w:kern w:val="0"/>
          <w:lang w:val="zh-CN"/>
        </w:rPr>
        <w:t>3,550.00</w:t>
      </w:r>
      <w:r>
        <w:rPr>
          <w:rFonts w:hint="eastAsia" w:ascii="宋体" w:cs="宋体" w:hAnsiTheme="minorHAnsi"/>
          <w:color w:val="000000"/>
          <w:kern w:val="0"/>
          <w:lang w:val="zh-CN"/>
        </w:rPr>
        <w:t>万元。上述股权转让事项已于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10</w:t>
      </w:r>
      <w:r>
        <w:rPr>
          <w:rFonts w:hint="eastAsia" w:ascii="宋体" w:cs="宋体" w:hAnsiTheme="minorHAnsi"/>
          <w:color w:val="000000"/>
          <w:kern w:val="0"/>
          <w:lang w:val="zh-CN"/>
        </w:rPr>
        <w:t>月</w:t>
      </w:r>
      <w:r>
        <w:rPr>
          <w:rFonts w:ascii="宋体" w:cs="宋体" w:hAnsiTheme="minorHAnsi"/>
          <w:color w:val="000000"/>
          <w:kern w:val="0"/>
          <w:lang w:val="zh-CN"/>
        </w:rPr>
        <w:t>18</w:t>
      </w:r>
      <w:r>
        <w:rPr>
          <w:rFonts w:hint="eastAsia" w:ascii="宋体" w:cs="宋体" w:hAnsiTheme="minorHAnsi"/>
          <w:color w:val="000000"/>
          <w:kern w:val="0"/>
          <w:lang w:val="zh-CN"/>
        </w:rPr>
        <w:t>日办妥工商变更手续。</w:t>
      </w:r>
    </w:p>
    <w:p>
      <w:pPr>
        <w:autoSpaceDE w:val="0"/>
        <w:autoSpaceDN w:val="0"/>
        <w:adjustRightInd w:val="0"/>
        <w:spacing w:before="0" w:after="0"/>
        <w:rPr>
          <w:rFonts w:eastAsia="Times New Roman"/>
          <w:b/>
          <w:kern w:val="0"/>
          <w:sz w:val="21"/>
          <w:szCs w:val="24"/>
          <w:lang w:val="zh-CN"/>
        </w:rPr>
      </w:pPr>
      <w:r>
        <w:rPr>
          <w:rFonts w:hint="eastAsia" w:ascii="宋体" w:hAnsi="宋体" w:cs="宋体"/>
          <w:b/>
          <w:kern w:val="0"/>
          <w:sz w:val="21"/>
          <w:szCs w:val="24"/>
          <w:lang w:val="zh-CN"/>
        </w:rPr>
        <w:t>二、其他原因的合并范围变动</w:t>
      </w:r>
    </w:p>
    <w:p>
      <w:pPr>
        <w:autoSpaceDE w:val="0"/>
        <w:autoSpaceDN w:val="0"/>
        <w:adjustRightInd w:val="0"/>
        <w:spacing w:before="0" w:after="0"/>
        <w:rPr>
          <w:rFonts w:eastAsia="Times New Roman"/>
          <w:kern w:val="0"/>
          <w:lang w:val="zh-CN"/>
        </w:rPr>
      </w:pPr>
      <w:r>
        <w:rPr>
          <w:rFonts w:eastAsia="Times New Roman"/>
          <w:kern w:val="0"/>
          <w:lang w:val="zh-CN"/>
        </w:rPr>
        <w:t>1</w:t>
      </w:r>
      <w:r>
        <w:rPr>
          <w:rFonts w:hint="eastAsia" w:ascii="宋体" w:hAnsi="宋体" w:cs="宋体"/>
          <w:kern w:val="0"/>
          <w:lang w:val="zh-CN"/>
        </w:rPr>
        <w:t>、民权县美康盛德医学检验实验室有限公司</w:t>
      </w:r>
    </w:p>
    <w:p>
      <w:pPr>
        <w:autoSpaceDE w:val="0"/>
        <w:autoSpaceDN w:val="0"/>
        <w:adjustRightInd w:val="0"/>
        <w:spacing w:before="0" w:after="0"/>
        <w:ind w:firstLine="420"/>
        <w:rPr>
          <w:rFonts w:eastAsiaTheme="minorEastAsia"/>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15</w:t>
      </w:r>
      <w:r>
        <w:rPr>
          <w:rFonts w:hint="eastAsia" w:ascii="宋体" w:hAnsi="宋体" w:cs="宋体"/>
          <w:kern w:val="0"/>
          <w:lang w:val="zh-CN"/>
        </w:rPr>
        <w:t>日，控股子公司永城医检所出资设立民权县美康盛德医学检验实验室有限公司，持有其股权</w:t>
      </w:r>
      <w:r>
        <w:rPr>
          <w:rFonts w:eastAsia="Times New Roman"/>
          <w:kern w:val="0"/>
          <w:lang w:val="zh-CN"/>
        </w:rPr>
        <w:t>100.00%</w:t>
      </w:r>
      <w:r>
        <w:rPr>
          <w:rFonts w:hint="eastAsia" w:ascii="宋体" w:hAnsi="宋体" w:cs="宋体"/>
          <w:kern w:val="0"/>
          <w:lang w:val="zh-CN"/>
        </w:rPr>
        <w:t>，故将其自成立之日起纳入合并范围。</w:t>
      </w:r>
    </w:p>
    <w:p>
      <w:pPr>
        <w:autoSpaceDE w:val="0"/>
        <w:autoSpaceDN w:val="0"/>
        <w:adjustRightInd w:val="0"/>
        <w:spacing w:before="0" w:after="0"/>
        <w:rPr>
          <w:rFonts w:eastAsia="Times New Roman"/>
          <w:kern w:val="0"/>
          <w:lang w:val="zh-CN"/>
        </w:rPr>
      </w:pPr>
      <w:r>
        <w:rPr>
          <w:rFonts w:eastAsia="Times New Roman"/>
          <w:kern w:val="0"/>
          <w:lang w:val="zh-CN"/>
        </w:rPr>
        <w:t>2</w:t>
      </w:r>
      <w:r>
        <w:rPr>
          <w:rFonts w:hint="eastAsia" w:ascii="宋体" w:hAnsi="宋体" w:cs="宋体"/>
          <w:kern w:val="0"/>
          <w:lang w:val="zh-CN"/>
        </w:rPr>
        <w:t>、宁波盛德倚天生物技术有限公司</w:t>
      </w:r>
    </w:p>
    <w:p>
      <w:pPr>
        <w:autoSpaceDE w:val="0"/>
        <w:autoSpaceDN w:val="0"/>
        <w:adjustRightInd w:val="0"/>
        <w:spacing w:before="0" w:after="0"/>
        <w:ind w:firstLine="420"/>
        <w:rPr>
          <w:rFonts w:eastAsiaTheme="minorEastAsia"/>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28</w:t>
      </w:r>
      <w:r>
        <w:rPr>
          <w:rFonts w:hint="eastAsia" w:ascii="宋体" w:hAnsi="宋体" w:cs="宋体"/>
          <w:kern w:val="0"/>
          <w:lang w:val="zh-CN"/>
        </w:rPr>
        <w:t>日，全资子公司杭州倚天出资设立宁波盛德倚天生物技术有限公司，持有其股权</w:t>
      </w:r>
      <w:r>
        <w:rPr>
          <w:rFonts w:eastAsia="Times New Roman"/>
          <w:kern w:val="0"/>
          <w:lang w:val="zh-CN"/>
        </w:rPr>
        <w:t>100.00%</w:t>
      </w:r>
      <w:r>
        <w:rPr>
          <w:rFonts w:hint="eastAsia" w:ascii="宋体" w:hAnsi="宋体" w:cs="宋体"/>
          <w:kern w:val="0"/>
          <w:lang w:val="zh-CN"/>
        </w:rPr>
        <w:t>，故将其自成立之日起纳入合并范围。</w:t>
      </w:r>
    </w:p>
    <w:p>
      <w:pPr>
        <w:autoSpaceDE w:val="0"/>
        <w:autoSpaceDN w:val="0"/>
        <w:adjustRightInd w:val="0"/>
        <w:spacing w:before="0" w:after="0"/>
        <w:rPr>
          <w:rFonts w:eastAsia="Times New Roman"/>
          <w:kern w:val="0"/>
          <w:lang w:val="zh-CN"/>
        </w:rPr>
      </w:pPr>
      <w:r>
        <w:rPr>
          <w:rFonts w:eastAsia="Times New Roman"/>
          <w:kern w:val="0"/>
          <w:lang w:val="zh-CN"/>
        </w:rPr>
        <w:t>3</w:t>
      </w:r>
      <w:r>
        <w:rPr>
          <w:rFonts w:hint="eastAsia" w:ascii="宋体" w:hAnsi="宋体" w:cs="宋体"/>
          <w:kern w:val="0"/>
          <w:lang w:val="zh-CN"/>
        </w:rPr>
        <w:t>、美康盛达生物科技泰州有限公司</w:t>
      </w:r>
    </w:p>
    <w:p>
      <w:pPr>
        <w:autoSpaceDE w:val="0"/>
        <w:autoSpaceDN w:val="0"/>
        <w:adjustRightInd w:val="0"/>
        <w:spacing w:before="0" w:after="0"/>
        <w:ind w:firstLine="420"/>
        <w:rPr>
          <w:rFonts w:eastAsiaTheme="minorEastAsia"/>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7</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日，公司办妥美康盛达生物科技泰州有限公司的工商注销手续，故自其注销之日起不再纳入合并范围。</w:t>
      </w:r>
    </w:p>
    <w:p>
      <w:pPr>
        <w:autoSpaceDE w:val="0"/>
        <w:autoSpaceDN w:val="0"/>
        <w:adjustRightInd w:val="0"/>
        <w:spacing w:before="0" w:after="0"/>
        <w:rPr>
          <w:rFonts w:eastAsia="Times New Roman"/>
          <w:kern w:val="0"/>
          <w:lang w:val="zh-CN"/>
        </w:rPr>
      </w:pPr>
      <w:r>
        <w:rPr>
          <w:rFonts w:eastAsia="Times New Roman"/>
          <w:kern w:val="0"/>
          <w:lang w:val="zh-CN"/>
        </w:rPr>
        <w:t>4</w:t>
      </w:r>
      <w:r>
        <w:rPr>
          <w:rFonts w:hint="eastAsia" w:ascii="宋体" w:hAnsi="宋体" w:cs="宋体"/>
          <w:kern w:val="0"/>
          <w:lang w:val="zh-CN"/>
        </w:rPr>
        <w:t>、江西广盛源医疗科技有限公司</w:t>
      </w:r>
    </w:p>
    <w:p>
      <w:pPr>
        <w:autoSpaceDE w:val="0"/>
        <w:autoSpaceDN w:val="0"/>
        <w:adjustRightInd w:val="0"/>
        <w:spacing w:before="0" w:after="0"/>
        <w:ind w:firstLine="420"/>
        <w:rPr>
          <w:rFonts w:eastAsiaTheme="minorEastAsia"/>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11</w:t>
      </w:r>
      <w:r>
        <w:rPr>
          <w:rFonts w:hint="eastAsia" w:ascii="宋体" w:hAnsi="宋体" w:cs="宋体"/>
          <w:kern w:val="0"/>
          <w:lang w:val="zh-CN"/>
        </w:rPr>
        <w:t>月</w:t>
      </w:r>
      <w:r>
        <w:rPr>
          <w:rFonts w:eastAsia="Times New Roman"/>
          <w:kern w:val="0"/>
          <w:lang w:val="zh-CN"/>
        </w:rPr>
        <w:t>18</w:t>
      </w:r>
      <w:r>
        <w:rPr>
          <w:rFonts w:hint="eastAsia" w:ascii="宋体" w:hAnsi="宋体" w:cs="宋体"/>
          <w:kern w:val="0"/>
          <w:lang w:val="zh-CN"/>
        </w:rPr>
        <w:t>日，公司办妥江西广盛源医疗科技有限公司的工商注销手续，故自其注销之日起不再纳入合并范围。</w:t>
      </w:r>
    </w:p>
    <w:p>
      <w:pPr>
        <w:autoSpaceDE w:val="0"/>
        <w:autoSpaceDN w:val="0"/>
        <w:adjustRightInd w:val="0"/>
        <w:spacing w:before="0" w:after="0"/>
        <w:rPr>
          <w:rFonts w:eastAsia="Times New Roman"/>
          <w:kern w:val="0"/>
          <w:lang w:val="zh-CN"/>
        </w:rPr>
      </w:pPr>
      <w:r>
        <w:rPr>
          <w:rFonts w:eastAsia="Times New Roman"/>
          <w:kern w:val="0"/>
          <w:lang w:val="zh-CN"/>
        </w:rPr>
        <w:t>5</w:t>
      </w:r>
      <w:r>
        <w:rPr>
          <w:rFonts w:hint="eastAsia" w:ascii="宋体" w:hAnsi="宋体" w:cs="宋体"/>
          <w:kern w:val="0"/>
          <w:lang w:val="zh-CN"/>
        </w:rPr>
        <w:t>、美康盛医生物科技泰州有限公司</w:t>
      </w:r>
    </w:p>
    <w:p>
      <w:pPr>
        <w:autoSpaceDE w:val="0"/>
        <w:autoSpaceDN w:val="0"/>
        <w:adjustRightInd w:val="0"/>
        <w:spacing w:before="0" w:after="0"/>
        <w:ind w:firstLine="420"/>
        <w:rPr>
          <w:rFonts w:eastAsiaTheme="minorEastAsia"/>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7</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日，公司办妥美康盛医生物科技泰州有限公司的工商注销手续，故自其注销之日起不再纳入合并范围。</w:t>
      </w:r>
    </w:p>
    <w:p>
      <w:pPr>
        <w:pStyle w:val="14"/>
        <w:outlineLvl w:val="3"/>
        <w:rPr>
          <w:bCs w:val="0"/>
          <w:szCs w:val="24"/>
        </w:rPr>
      </w:pPr>
      <w:r>
        <w:rPr>
          <w:rFonts w:hint="eastAsia"/>
          <w:bCs w:val="0"/>
          <w:szCs w:val="24"/>
        </w:rPr>
        <w:t>（</w:t>
      </w:r>
      <w:r>
        <w:rPr>
          <w:bCs w:val="0"/>
          <w:szCs w:val="24"/>
        </w:rPr>
        <w:t>7</w:t>
      </w:r>
      <w:r>
        <w:rPr>
          <w:rFonts w:hint="eastAsia"/>
          <w:bCs w:val="0"/>
          <w:szCs w:val="24"/>
        </w:rPr>
        <w:t>）公司报告期内业务、产品或服务发生重大变化或调整有关情况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3"/>
        <w:rPr>
          <w:bCs w:val="0"/>
          <w:szCs w:val="24"/>
        </w:rPr>
      </w:pPr>
      <w:r>
        <w:rPr>
          <w:rFonts w:hint="eastAsia"/>
          <w:bCs w:val="0"/>
          <w:szCs w:val="24"/>
        </w:rPr>
        <w:t>（</w:t>
      </w:r>
      <w:r>
        <w:rPr>
          <w:bCs w:val="0"/>
          <w:szCs w:val="24"/>
        </w:rPr>
        <w:t>8</w:t>
      </w:r>
      <w:r>
        <w:rPr>
          <w:rFonts w:hint="eastAsia"/>
          <w:bCs w:val="0"/>
          <w:szCs w:val="24"/>
        </w:rPr>
        <w:t>）主要销售客户和主要供应商情况</w:t>
      </w:r>
    </w:p>
    <w:p>
      <w:pPr>
        <w:jc w:val="left"/>
        <w:rPr>
          <w:szCs w:val="24"/>
        </w:rPr>
      </w:pPr>
      <w:r>
        <w:rPr>
          <w:rFonts w:hint="eastAsia"/>
          <w:szCs w:val="24"/>
        </w:rPr>
        <w:t>公司主要销售客户情况</w:t>
      </w:r>
    </w:p>
    <w:tbl>
      <w:tblPr>
        <w:tblStyle w:val="9"/>
        <w:tblW w:w="0" w:type="auto"/>
        <w:tblInd w:w="28" w:type="dxa"/>
        <w:tblLayout w:type="fixed"/>
        <w:tblCellMar>
          <w:top w:w="0" w:type="dxa"/>
          <w:left w:w="28" w:type="dxa"/>
          <w:bottom w:w="0" w:type="dxa"/>
          <w:right w:w="28" w:type="dxa"/>
        </w:tblCellMar>
      </w:tblPr>
      <w:tblGrid>
        <w:gridCol w:w="4257"/>
        <w:gridCol w:w="5311"/>
      </w:tblGrid>
      <w:tr>
        <w:tblPrEx>
          <w:tblCellMar>
            <w:top w:w="0" w:type="dxa"/>
            <w:left w:w="28" w:type="dxa"/>
            <w:bottom w:w="0" w:type="dxa"/>
            <w:right w:w="28" w:type="dxa"/>
          </w:tblCellMar>
        </w:tblPrEx>
        <w:tc>
          <w:tcPr>
            <w:tcW w:w="425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前五名客户合计销售金额（元）</w:t>
            </w:r>
          </w:p>
        </w:tc>
        <w:tc>
          <w:tcPr>
            <w:tcW w:w="531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434,123,630.19</w:t>
            </w:r>
          </w:p>
        </w:tc>
      </w:tr>
      <w:tr>
        <w:tblPrEx>
          <w:tblCellMar>
            <w:top w:w="0" w:type="dxa"/>
            <w:left w:w="28" w:type="dxa"/>
            <w:bottom w:w="0" w:type="dxa"/>
            <w:right w:w="28" w:type="dxa"/>
          </w:tblCellMar>
        </w:tblPrEx>
        <w:tc>
          <w:tcPr>
            <w:tcW w:w="425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前五名客户合计销售金额占年度销售总额比例</w:t>
            </w:r>
          </w:p>
        </w:tc>
        <w:tc>
          <w:tcPr>
            <w:tcW w:w="531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13.85%</w:t>
            </w:r>
          </w:p>
        </w:tc>
      </w:tr>
      <w:tr>
        <w:tblPrEx>
          <w:tblCellMar>
            <w:top w:w="0" w:type="dxa"/>
            <w:left w:w="28" w:type="dxa"/>
            <w:bottom w:w="0" w:type="dxa"/>
            <w:right w:w="28" w:type="dxa"/>
          </w:tblCellMar>
        </w:tblPrEx>
        <w:tc>
          <w:tcPr>
            <w:tcW w:w="425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前五名客户销售额中关联方销售额占年度销售总额比例</w:t>
            </w:r>
          </w:p>
        </w:tc>
        <w:tc>
          <w:tcPr>
            <w:tcW w:w="531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r>
    </w:tbl>
    <w:p>
      <w:pPr>
        <w:jc w:val="left"/>
        <w:rPr>
          <w:szCs w:val="24"/>
        </w:rPr>
      </w:pPr>
      <w:r>
        <w:rPr>
          <w:rFonts w:hint="eastAsia"/>
          <w:szCs w:val="24"/>
        </w:rPr>
        <w:t>公司前</w:t>
      </w:r>
      <w:r>
        <w:rPr>
          <w:szCs w:val="24"/>
        </w:rPr>
        <w:t>5</w:t>
      </w:r>
      <w:r>
        <w:rPr>
          <w:rFonts w:hint="eastAsia"/>
          <w:szCs w:val="24"/>
        </w:rPr>
        <w:t>大客户资料</w:t>
      </w:r>
    </w:p>
    <w:tbl>
      <w:tblPr>
        <w:tblStyle w:val="9"/>
        <w:tblW w:w="0" w:type="auto"/>
        <w:tblInd w:w="28" w:type="dxa"/>
        <w:tblLayout w:type="fixed"/>
        <w:tblCellMar>
          <w:top w:w="0" w:type="dxa"/>
          <w:left w:w="28" w:type="dxa"/>
          <w:bottom w:w="0" w:type="dxa"/>
          <w:right w:w="28" w:type="dxa"/>
        </w:tblCellMar>
      </w:tblPr>
      <w:tblGrid>
        <w:gridCol w:w="802"/>
        <w:gridCol w:w="3301"/>
        <w:gridCol w:w="2322"/>
        <w:gridCol w:w="3143"/>
      </w:tblGrid>
      <w:tr>
        <w:tc>
          <w:tcPr>
            <w:tcW w:w="80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序号</w:t>
            </w: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客户名称</w:t>
            </w:r>
          </w:p>
        </w:tc>
        <w:tc>
          <w:tcPr>
            <w:tcW w:w="232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销售额（元）</w:t>
            </w:r>
          </w:p>
        </w:tc>
        <w:tc>
          <w:tcPr>
            <w:tcW w:w="314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占年度销售总额比例</w:t>
            </w:r>
          </w:p>
        </w:tc>
      </w:tr>
      <w:tr>
        <w:tc>
          <w:tcPr>
            <w:tcW w:w="80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第一名</w:t>
            </w:r>
          </w:p>
        </w:tc>
        <w:tc>
          <w:tcPr>
            <w:tcW w:w="23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130,028,390.52</w:t>
            </w:r>
          </w:p>
        </w:tc>
        <w:tc>
          <w:tcPr>
            <w:tcW w:w="3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4.15%</w:t>
            </w:r>
          </w:p>
        </w:tc>
      </w:tr>
      <w:tr>
        <w:tblPrEx>
          <w:tblCellMar>
            <w:top w:w="0" w:type="dxa"/>
            <w:left w:w="28" w:type="dxa"/>
            <w:bottom w:w="0" w:type="dxa"/>
            <w:right w:w="28" w:type="dxa"/>
          </w:tblCellMar>
        </w:tblPrEx>
        <w:tc>
          <w:tcPr>
            <w:tcW w:w="80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第二名</w:t>
            </w:r>
          </w:p>
        </w:tc>
        <w:tc>
          <w:tcPr>
            <w:tcW w:w="23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103,838,830.51</w:t>
            </w:r>
          </w:p>
        </w:tc>
        <w:tc>
          <w:tcPr>
            <w:tcW w:w="3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3.31%</w:t>
            </w:r>
          </w:p>
        </w:tc>
      </w:tr>
      <w:tr>
        <w:tblPrEx>
          <w:tblCellMar>
            <w:top w:w="0" w:type="dxa"/>
            <w:left w:w="28" w:type="dxa"/>
            <w:bottom w:w="0" w:type="dxa"/>
            <w:right w:w="28" w:type="dxa"/>
          </w:tblCellMar>
        </w:tblPrEx>
        <w:tc>
          <w:tcPr>
            <w:tcW w:w="80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第三名</w:t>
            </w:r>
          </w:p>
        </w:tc>
        <w:tc>
          <w:tcPr>
            <w:tcW w:w="23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103,111,652.48</w:t>
            </w:r>
          </w:p>
        </w:tc>
        <w:tc>
          <w:tcPr>
            <w:tcW w:w="3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3.29%</w:t>
            </w:r>
          </w:p>
        </w:tc>
      </w:tr>
      <w:tr>
        <w:tblPrEx>
          <w:tblCellMar>
            <w:top w:w="0" w:type="dxa"/>
            <w:left w:w="28" w:type="dxa"/>
            <w:bottom w:w="0" w:type="dxa"/>
            <w:right w:w="28" w:type="dxa"/>
          </w:tblCellMar>
        </w:tblPrEx>
        <w:tc>
          <w:tcPr>
            <w:tcW w:w="80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第四名</w:t>
            </w:r>
          </w:p>
        </w:tc>
        <w:tc>
          <w:tcPr>
            <w:tcW w:w="23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52,594,845.62</w:t>
            </w:r>
          </w:p>
        </w:tc>
        <w:tc>
          <w:tcPr>
            <w:tcW w:w="3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1.68%</w:t>
            </w:r>
          </w:p>
        </w:tc>
      </w:tr>
      <w:tr>
        <w:tblPrEx>
          <w:tblCellMar>
            <w:top w:w="0" w:type="dxa"/>
            <w:left w:w="28" w:type="dxa"/>
            <w:bottom w:w="0" w:type="dxa"/>
            <w:right w:w="28" w:type="dxa"/>
          </w:tblCellMar>
        </w:tblPrEx>
        <w:tc>
          <w:tcPr>
            <w:tcW w:w="80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第五名</w:t>
            </w:r>
          </w:p>
        </w:tc>
        <w:tc>
          <w:tcPr>
            <w:tcW w:w="23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44,549,911.06</w:t>
            </w:r>
          </w:p>
        </w:tc>
        <w:tc>
          <w:tcPr>
            <w:tcW w:w="3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1.42%</w:t>
            </w:r>
          </w:p>
        </w:tc>
      </w:tr>
      <w:tr>
        <w:tblPrEx>
          <w:tblCellMar>
            <w:top w:w="0" w:type="dxa"/>
            <w:left w:w="28" w:type="dxa"/>
            <w:bottom w:w="0" w:type="dxa"/>
            <w:right w:w="28" w:type="dxa"/>
          </w:tblCellMar>
        </w:tblPrEx>
        <w:tc>
          <w:tcPr>
            <w:tcW w:w="80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3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434,123,630.19</w:t>
            </w:r>
          </w:p>
        </w:tc>
        <w:tc>
          <w:tcPr>
            <w:tcW w:w="3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13.85%</w:t>
            </w:r>
          </w:p>
        </w:tc>
      </w:tr>
    </w:tbl>
    <w:p>
      <w:pPr>
        <w:jc w:val="left"/>
        <w:rPr>
          <w:szCs w:val="24"/>
        </w:rPr>
      </w:pPr>
      <w:r>
        <w:rPr>
          <w:rFonts w:hint="eastAsia"/>
          <w:szCs w:val="24"/>
        </w:rPr>
        <w:t>主要客户其他情况说明</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公司主要供应商情况</w:t>
      </w:r>
    </w:p>
    <w:tbl>
      <w:tblPr>
        <w:tblStyle w:val="9"/>
        <w:tblW w:w="0" w:type="auto"/>
        <w:tblInd w:w="28" w:type="dxa"/>
        <w:tblLayout w:type="fixed"/>
        <w:tblCellMar>
          <w:top w:w="0" w:type="dxa"/>
          <w:left w:w="28" w:type="dxa"/>
          <w:bottom w:w="0" w:type="dxa"/>
          <w:right w:w="28" w:type="dxa"/>
        </w:tblCellMar>
      </w:tblPr>
      <w:tblGrid>
        <w:gridCol w:w="4257"/>
        <w:gridCol w:w="5311"/>
      </w:tblGrid>
      <w:tr>
        <w:tblPrEx>
          <w:tblCellMar>
            <w:top w:w="0" w:type="dxa"/>
            <w:left w:w="28" w:type="dxa"/>
            <w:bottom w:w="0" w:type="dxa"/>
            <w:right w:w="28" w:type="dxa"/>
          </w:tblCellMar>
        </w:tblPrEx>
        <w:tc>
          <w:tcPr>
            <w:tcW w:w="425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前五名供应商合计采购金额（元）</w:t>
            </w:r>
          </w:p>
        </w:tc>
        <w:tc>
          <w:tcPr>
            <w:tcW w:w="531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968,203,666.99</w:t>
            </w:r>
          </w:p>
        </w:tc>
      </w:tr>
      <w:tr>
        <w:tblPrEx>
          <w:tblCellMar>
            <w:top w:w="0" w:type="dxa"/>
            <w:left w:w="28" w:type="dxa"/>
            <w:bottom w:w="0" w:type="dxa"/>
            <w:right w:w="28" w:type="dxa"/>
          </w:tblCellMar>
        </w:tblPrEx>
        <w:tc>
          <w:tcPr>
            <w:tcW w:w="425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前五名供应商合计采购金额占年度采购总额比例</w:t>
            </w:r>
          </w:p>
        </w:tc>
        <w:tc>
          <w:tcPr>
            <w:tcW w:w="531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52.09%</w:t>
            </w:r>
          </w:p>
        </w:tc>
      </w:tr>
      <w:tr>
        <w:tblPrEx>
          <w:tblCellMar>
            <w:top w:w="0" w:type="dxa"/>
            <w:left w:w="28" w:type="dxa"/>
            <w:bottom w:w="0" w:type="dxa"/>
            <w:right w:w="28" w:type="dxa"/>
          </w:tblCellMar>
        </w:tblPrEx>
        <w:tc>
          <w:tcPr>
            <w:tcW w:w="425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前五名供应商采购额中关联方采购额占年度采购总额比例</w:t>
            </w:r>
          </w:p>
        </w:tc>
        <w:tc>
          <w:tcPr>
            <w:tcW w:w="531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r>
    </w:tbl>
    <w:p>
      <w:pPr>
        <w:jc w:val="left"/>
        <w:rPr>
          <w:szCs w:val="24"/>
        </w:rPr>
      </w:pPr>
      <w:r>
        <w:rPr>
          <w:rFonts w:hint="eastAsia"/>
          <w:szCs w:val="24"/>
        </w:rPr>
        <w:t>公司前</w:t>
      </w:r>
      <w:r>
        <w:rPr>
          <w:szCs w:val="24"/>
        </w:rPr>
        <w:t>5</w:t>
      </w:r>
      <w:r>
        <w:rPr>
          <w:rFonts w:hint="eastAsia"/>
          <w:szCs w:val="24"/>
        </w:rPr>
        <w:t>名供应商资料</w:t>
      </w:r>
    </w:p>
    <w:tbl>
      <w:tblPr>
        <w:tblStyle w:val="9"/>
        <w:tblW w:w="0" w:type="auto"/>
        <w:tblInd w:w="28" w:type="dxa"/>
        <w:tblLayout w:type="fixed"/>
        <w:tblCellMar>
          <w:top w:w="0" w:type="dxa"/>
          <w:left w:w="28" w:type="dxa"/>
          <w:bottom w:w="0" w:type="dxa"/>
          <w:right w:w="28" w:type="dxa"/>
        </w:tblCellMar>
      </w:tblPr>
      <w:tblGrid>
        <w:gridCol w:w="935"/>
        <w:gridCol w:w="3168"/>
        <w:gridCol w:w="2322"/>
        <w:gridCol w:w="3143"/>
      </w:tblGrid>
      <w:tr>
        <w:tc>
          <w:tcPr>
            <w:tcW w:w="93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序号</w:t>
            </w:r>
          </w:p>
        </w:tc>
        <w:tc>
          <w:tcPr>
            <w:tcW w:w="31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供应商名称</w:t>
            </w:r>
          </w:p>
        </w:tc>
        <w:tc>
          <w:tcPr>
            <w:tcW w:w="232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采购额（元）</w:t>
            </w:r>
          </w:p>
        </w:tc>
        <w:tc>
          <w:tcPr>
            <w:tcW w:w="314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占年度采购总额比例</w:t>
            </w:r>
          </w:p>
        </w:tc>
      </w:tr>
      <w:tr>
        <w:tc>
          <w:tcPr>
            <w:tcW w:w="9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p>
        </w:tc>
        <w:tc>
          <w:tcPr>
            <w:tcW w:w="316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第一名</w:t>
            </w:r>
          </w:p>
        </w:tc>
        <w:tc>
          <w:tcPr>
            <w:tcW w:w="23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717,066,073.33</w:t>
            </w:r>
          </w:p>
        </w:tc>
        <w:tc>
          <w:tcPr>
            <w:tcW w:w="3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38.58%</w:t>
            </w:r>
          </w:p>
        </w:tc>
      </w:tr>
      <w:tr>
        <w:tblPrEx>
          <w:tblCellMar>
            <w:top w:w="0" w:type="dxa"/>
            <w:left w:w="28" w:type="dxa"/>
            <w:bottom w:w="0" w:type="dxa"/>
            <w:right w:w="28" w:type="dxa"/>
          </w:tblCellMar>
        </w:tblPrEx>
        <w:tc>
          <w:tcPr>
            <w:tcW w:w="9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p>
        </w:tc>
        <w:tc>
          <w:tcPr>
            <w:tcW w:w="316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第二名</w:t>
            </w:r>
          </w:p>
        </w:tc>
        <w:tc>
          <w:tcPr>
            <w:tcW w:w="23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141,542,230.47</w:t>
            </w:r>
          </w:p>
        </w:tc>
        <w:tc>
          <w:tcPr>
            <w:tcW w:w="3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7.61%</w:t>
            </w:r>
          </w:p>
        </w:tc>
      </w:tr>
      <w:tr>
        <w:tblPrEx>
          <w:tblCellMar>
            <w:top w:w="0" w:type="dxa"/>
            <w:left w:w="28" w:type="dxa"/>
            <w:bottom w:w="0" w:type="dxa"/>
            <w:right w:w="28" w:type="dxa"/>
          </w:tblCellMar>
        </w:tblPrEx>
        <w:tc>
          <w:tcPr>
            <w:tcW w:w="9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p>
        </w:tc>
        <w:tc>
          <w:tcPr>
            <w:tcW w:w="316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第三名</w:t>
            </w:r>
          </w:p>
        </w:tc>
        <w:tc>
          <w:tcPr>
            <w:tcW w:w="23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43,954,356.13</w:t>
            </w:r>
          </w:p>
        </w:tc>
        <w:tc>
          <w:tcPr>
            <w:tcW w:w="3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2.36%</w:t>
            </w:r>
          </w:p>
        </w:tc>
      </w:tr>
      <w:tr>
        <w:tblPrEx>
          <w:tblCellMar>
            <w:top w:w="0" w:type="dxa"/>
            <w:left w:w="28" w:type="dxa"/>
            <w:bottom w:w="0" w:type="dxa"/>
            <w:right w:w="28" w:type="dxa"/>
          </w:tblCellMar>
        </w:tblPrEx>
        <w:tc>
          <w:tcPr>
            <w:tcW w:w="9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4</w:t>
            </w:r>
          </w:p>
        </w:tc>
        <w:tc>
          <w:tcPr>
            <w:tcW w:w="316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第四名</w:t>
            </w:r>
          </w:p>
        </w:tc>
        <w:tc>
          <w:tcPr>
            <w:tcW w:w="23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36,725,348.72</w:t>
            </w:r>
          </w:p>
        </w:tc>
        <w:tc>
          <w:tcPr>
            <w:tcW w:w="3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1.98%</w:t>
            </w:r>
          </w:p>
        </w:tc>
      </w:tr>
      <w:tr>
        <w:tblPrEx>
          <w:tblCellMar>
            <w:top w:w="0" w:type="dxa"/>
            <w:left w:w="28" w:type="dxa"/>
            <w:bottom w:w="0" w:type="dxa"/>
            <w:right w:w="28" w:type="dxa"/>
          </w:tblCellMar>
        </w:tblPrEx>
        <w:tc>
          <w:tcPr>
            <w:tcW w:w="9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5</w:t>
            </w:r>
          </w:p>
        </w:tc>
        <w:tc>
          <w:tcPr>
            <w:tcW w:w="316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第五名</w:t>
            </w:r>
          </w:p>
        </w:tc>
        <w:tc>
          <w:tcPr>
            <w:tcW w:w="23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28,915,658.34</w:t>
            </w:r>
          </w:p>
        </w:tc>
        <w:tc>
          <w:tcPr>
            <w:tcW w:w="3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1.56%</w:t>
            </w:r>
          </w:p>
        </w:tc>
      </w:tr>
      <w:tr>
        <w:tblPrEx>
          <w:tblCellMar>
            <w:top w:w="0" w:type="dxa"/>
            <w:left w:w="28" w:type="dxa"/>
            <w:bottom w:w="0" w:type="dxa"/>
            <w:right w:w="28" w:type="dxa"/>
          </w:tblCellMar>
        </w:tblPrEx>
        <w:tc>
          <w:tcPr>
            <w:tcW w:w="9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32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968,203,666.99</w:t>
            </w:r>
          </w:p>
        </w:tc>
        <w:tc>
          <w:tcPr>
            <w:tcW w:w="31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52.09%</w:t>
            </w:r>
          </w:p>
        </w:tc>
      </w:tr>
    </w:tbl>
    <w:p>
      <w:pPr>
        <w:jc w:val="left"/>
        <w:rPr>
          <w:szCs w:val="24"/>
        </w:rPr>
      </w:pPr>
      <w:r>
        <w:rPr>
          <w:rFonts w:hint="eastAsia"/>
          <w:szCs w:val="24"/>
        </w:rPr>
        <w:t>主要供应商其他情况说明</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2"/>
        <w:rPr>
          <w:bCs w:val="0"/>
          <w:szCs w:val="24"/>
        </w:rPr>
      </w:pPr>
      <w:r>
        <w:rPr>
          <w:bCs w:val="0"/>
          <w:szCs w:val="24"/>
        </w:rPr>
        <w:t>3</w:t>
      </w:r>
      <w:r>
        <w:rPr>
          <w:rFonts w:hint="eastAsia"/>
          <w:bCs w:val="0"/>
          <w:szCs w:val="24"/>
        </w:rPr>
        <w:t>、费用</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1915"/>
        <w:gridCol w:w="1637"/>
        <w:gridCol w:w="1637"/>
        <w:gridCol w:w="1157"/>
        <w:gridCol w:w="3222"/>
      </w:tblGrid>
      <w:tr>
        <w:tblPrEx>
          <w:tblCellMar>
            <w:top w:w="0" w:type="dxa"/>
            <w:left w:w="28" w:type="dxa"/>
            <w:bottom w:w="0" w:type="dxa"/>
            <w:right w:w="28" w:type="dxa"/>
          </w:tblCellMar>
        </w:tblPrEx>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163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2019</w:t>
            </w:r>
            <w:r>
              <w:rPr>
                <w:rFonts w:hint="eastAsia"/>
                <w:szCs w:val="24"/>
              </w:rPr>
              <w:t>年</w:t>
            </w:r>
          </w:p>
        </w:tc>
        <w:tc>
          <w:tcPr>
            <w:tcW w:w="163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2018</w:t>
            </w:r>
            <w:r>
              <w:rPr>
                <w:rFonts w:hint="eastAsia"/>
                <w:szCs w:val="24"/>
              </w:rPr>
              <w:t>年</w:t>
            </w:r>
          </w:p>
        </w:tc>
        <w:tc>
          <w:tcPr>
            <w:tcW w:w="11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同比增减</w:t>
            </w:r>
          </w:p>
        </w:tc>
        <w:tc>
          <w:tcPr>
            <w:tcW w:w="322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重大变动说明</w:t>
            </w:r>
          </w:p>
        </w:tc>
      </w:tr>
      <w:tr>
        <w:tblPrEx>
          <w:tblCellMar>
            <w:top w:w="0" w:type="dxa"/>
            <w:left w:w="28" w:type="dxa"/>
            <w:bottom w:w="0" w:type="dxa"/>
            <w:right w:w="28" w:type="dxa"/>
          </w:tblCellMar>
        </w:tblPrEx>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销售费用</w:t>
            </w: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kern w:val="0"/>
              </w:rPr>
              <w:fldChar w:fldCharType="begin"/>
            </w:r>
            <w:r>
              <w:rPr>
                <w:kern w:val="0"/>
              </w:rPr>
              <w:instrText xml:space="preserve"> =SUM(ABOVE) \# "#,##0.00" </w:instrText>
            </w:r>
            <w:r>
              <w:rPr>
                <w:kern w:val="0"/>
              </w:rPr>
              <w:fldChar w:fldCharType="separate"/>
            </w:r>
            <w:r>
              <w:rPr>
                <w:kern w:val="0"/>
              </w:rPr>
              <w:t>364,526,005.91</w:t>
            </w:r>
            <w:r>
              <w:rPr>
                <w:kern w:val="0"/>
              </w:rPr>
              <w:fldChar w:fldCharType="end"/>
            </w: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315,854,011.55</w:t>
            </w:r>
          </w:p>
        </w:tc>
        <w:tc>
          <w:tcPr>
            <w:tcW w:w="11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color w:val="000000"/>
              </w:rPr>
            </w:pPr>
            <w:r>
              <w:rPr>
                <w:color w:val="000000"/>
              </w:rPr>
              <w:t>17.67%</w:t>
            </w:r>
          </w:p>
        </w:tc>
        <w:tc>
          <w:tcPr>
            <w:tcW w:w="322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主要系报告期内，公司不断完善销售网络，提高售后服务，增强客户粘性，导致职工薪酬与维修费的增加所致</w:t>
            </w:r>
          </w:p>
        </w:tc>
      </w:tr>
      <w:tr>
        <w:tblPrEx>
          <w:tblCellMar>
            <w:top w:w="0" w:type="dxa"/>
            <w:left w:w="28" w:type="dxa"/>
            <w:bottom w:w="0" w:type="dxa"/>
            <w:right w:w="28" w:type="dxa"/>
          </w:tblCellMar>
        </w:tblPrEx>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管理费用</w:t>
            </w: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kern w:val="0"/>
              </w:rPr>
              <w:fldChar w:fldCharType="begin"/>
            </w:r>
            <w:r>
              <w:rPr>
                <w:kern w:val="0"/>
              </w:rPr>
              <w:instrText xml:space="preserve"> =SUM(ABOVE) \# "#,##0.00" </w:instrText>
            </w:r>
            <w:r>
              <w:rPr>
                <w:kern w:val="0"/>
              </w:rPr>
              <w:fldChar w:fldCharType="separate"/>
            </w:r>
            <w:r>
              <w:rPr>
                <w:kern w:val="0"/>
              </w:rPr>
              <w:t>218,893,732.94</w:t>
            </w:r>
            <w:r>
              <w:rPr>
                <w:kern w:val="0"/>
              </w:rPr>
              <w:fldChar w:fldCharType="end"/>
            </w: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225,317,687.53</w:t>
            </w:r>
          </w:p>
        </w:tc>
        <w:tc>
          <w:tcPr>
            <w:tcW w:w="11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color w:val="000000"/>
              </w:rPr>
            </w:pPr>
            <w:r>
              <w:rPr>
                <w:color w:val="000000"/>
              </w:rPr>
              <w:t>-2.17%</w:t>
            </w:r>
          </w:p>
        </w:tc>
        <w:tc>
          <w:tcPr>
            <w:tcW w:w="322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blPrEx>
          <w:tblCellMar>
            <w:top w:w="0" w:type="dxa"/>
            <w:left w:w="28" w:type="dxa"/>
            <w:bottom w:w="0" w:type="dxa"/>
            <w:right w:w="28" w:type="dxa"/>
          </w:tblCellMar>
        </w:tblPrEx>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财务费用</w:t>
            </w: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79,288,135.36</w:t>
            </w: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82,698,386.01</w:t>
            </w:r>
          </w:p>
        </w:tc>
        <w:tc>
          <w:tcPr>
            <w:tcW w:w="11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-4.12%</w:t>
            </w:r>
          </w:p>
        </w:tc>
        <w:tc>
          <w:tcPr>
            <w:tcW w:w="322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blPrEx>
          <w:tblCellMar>
            <w:top w:w="0" w:type="dxa"/>
            <w:left w:w="28" w:type="dxa"/>
            <w:bottom w:w="0" w:type="dxa"/>
            <w:right w:w="28" w:type="dxa"/>
          </w:tblCellMar>
        </w:tblPrEx>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研发费用</w:t>
            </w: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kern w:val="0"/>
              </w:rPr>
              <w:fldChar w:fldCharType="begin"/>
            </w:r>
            <w:r>
              <w:rPr>
                <w:kern w:val="0"/>
              </w:rPr>
              <w:instrText xml:space="preserve"> =SUM(ABOVE) \# "#,##0.00" </w:instrText>
            </w:r>
            <w:r>
              <w:rPr>
                <w:kern w:val="0"/>
              </w:rPr>
              <w:fldChar w:fldCharType="separate"/>
            </w:r>
            <w:r>
              <w:rPr>
                <w:kern w:val="0"/>
              </w:rPr>
              <w:t>128,260,150.80</w:t>
            </w:r>
            <w:r>
              <w:rPr>
                <w:kern w:val="0"/>
              </w:rPr>
              <w:fldChar w:fldCharType="end"/>
            </w: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109,640,346.03</w:t>
            </w:r>
          </w:p>
        </w:tc>
        <w:tc>
          <w:tcPr>
            <w:tcW w:w="11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color w:val="000000"/>
              </w:rPr>
            </w:pPr>
            <w:r>
              <w:rPr>
                <w:color w:val="000000"/>
              </w:rPr>
              <w:t>16.98%</w:t>
            </w:r>
          </w:p>
        </w:tc>
        <w:tc>
          <w:tcPr>
            <w:tcW w:w="322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主要系研发耗材增加所致</w:t>
            </w:r>
          </w:p>
        </w:tc>
      </w:tr>
    </w:tbl>
    <w:p>
      <w:pPr>
        <w:pStyle w:val="14"/>
        <w:outlineLvl w:val="2"/>
        <w:rPr>
          <w:bCs w:val="0"/>
          <w:szCs w:val="24"/>
        </w:rPr>
      </w:pPr>
      <w:r>
        <w:rPr>
          <w:bCs w:val="0"/>
          <w:szCs w:val="24"/>
        </w:rPr>
        <w:t>4</w:t>
      </w:r>
      <w:r>
        <w:rPr>
          <w:rFonts w:hint="eastAsia"/>
          <w:bCs w:val="0"/>
          <w:szCs w:val="24"/>
        </w:rPr>
        <w:t>、研发投入</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作为国家火炬计划重点高新技术企业、高新技术企业，也是国内体外诊断试剂科技实力领先的企业之一，公司一贯重视产品研发的投入及创建企业自身的研发能力和自主创新能力。</w:t>
      </w:r>
    </w:p>
    <w:p>
      <w:pPr>
        <w:autoSpaceDE w:val="0"/>
        <w:autoSpaceDN w:val="0"/>
        <w:adjustRightInd w:val="0"/>
        <w:spacing w:before="0" w:after="0"/>
        <w:ind w:firstLine="420"/>
        <w:rPr>
          <w:rFonts w:eastAsia="Times New Roman"/>
          <w:kern w:val="0"/>
          <w:szCs w:val="24"/>
        </w:rPr>
      </w:pPr>
      <w:r>
        <w:rPr>
          <w:rFonts w:hint="eastAsia" w:ascii="宋体" w:hAnsi="宋体" w:cs="宋体"/>
          <w:kern w:val="0"/>
          <w:szCs w:val="24"/>
          <w:lang w:val="zh-CN"/>
        </w:rPr>
        <w:t>报告期内，公司以自有的新产品研发中心为依托，不断提升整体研发水平，持续研发新产品同时，对原有产品技术进行升级，取得了较丰硕的成果，产品也在市场上树立了良好的口碑。</w:t>
      </w:r>
      <w:r>
        <w:rPr>
          <w:rFonts w:hint="eastAsia" w:eastAsia="Times New Roman"/>
          <w:kern w:val="0"/>
          <w:szCs w:val="24"/>
          <w:lang w:val="zh-CN"/>
        </w:rPr>
        <w:t>2019</w:t>
      </w:r>
      <w:r>
        <w:rPr>
          <w:rFonts w:hint="eastAsia" w:ascii="宋体" w:hAnsi="宋体" w:cs="宋体"/>
          <w:kern w:val="0"/>
          <w:szCs w:val="24"/>
          <w:lang w:val="zh-CN"/>
        </w:rPr>
        <w:t>年研发投入</w:t>
      </w:r>
      <w:r>
        <w:rPr>
          <w:rFonts w:hint="eastAsia" w:eastAsia="Times New Roman"/>
          <w:kern w:val="0"/>
          <w:szCs w:val="24"/>
          <w:lang w:val="zh-CN"/>
        </w:rPr>
        <w:t>12,826.02</w:t>
      </w:r>
      <w:r>
        <w:rPr>
          <w:rFonts w:hint="eastAsia" w:ascii="宋体" w:hAnsi="宋体" w:cs="宋体"/>
          <w:kern w:val="0"/>
          <w:szCs w:val="24"/>
          <w:lang w:val="zh-CN"/>
        </w:rPr>
        <w:t>万元，占营业收入的</w:t>
      </w:r>
      <w:r>
        <w:rPr>
          <w:rFonts w:hint="eastAsia" w:eastAsia="Times New Roman"/>
          <w:kern w:val="0"/>
          <w:szCs w:val="24"/>
          <w:lang w:val="zh-CN"/>
        </w:rPr>
        <w:t>4.09%</w:t>
      </w:r>
      <w:r>
        <w:rPr>
          <w:rFonts w:hint="eastAsia" w:ascii="宋体" w:hAnsi="宋体" w:cs="宋体"/>
          <w:kern w:val="0"/>
          <w:szCs w:val="24"/>
          <w:lang w:val="zh-CN"/>
        </w:rPr>
        <w:t>，占自产产品收入的</w:t>
      </w:r>
      <w:r>
        <w:rPr>
          <w:rFonts w:hint="eastAsia" w:eastAsia="Times New Roman"/>
          <w:kern w:val="0"/>
          <w:szCs w:val="24"/>
          <w:lang w:val="zh-CN"/>
        </w:rPr>
        <w:t>15.65%</w:t>
      </w:r>
      <w:r>
        <w:rPr>
          <w:rFonts w:hint="eastAsia" w:ascii="宋体" w:hAnsi="宋体" w:cs="宋体"/>
          <w:kern w:val="0"/>
          <w:szCs w:val="24"/>
          <w:lang w:val="zh-CN"/>
        </w:rPr>
        <w:t>，研发投入金额较上年增加了</w:t>
      </w:r>
      <w:r>
        <w:rPr>
          <w:rFonts w:hint="eastAsia" w:eastAsia="Times New Roman"/>
          <w:kern w:val="0"/>
          <w:szCs w:val="24"/>
          <w:lang w:val="zh-CN"/>
        </w:rPr>
        <w:t>16.98%</w:t>
      </w:r>
      <w:r>
        <w:rPr>
          <w:rFonts w:hint="eastAsia" w:ascii="宋体" w:hAnsi="宋体" w:cs="宋体"/>
          <w:kern w:val="0"/>
          <w:szCs w:val="24"/>
          <w:lang w:val="zh-CN"/>
        </w:rPr>
        <w:t>。</w:t>
      </w:r>
    </w:p>
    <w:p>
      <w:pPr>
        <w:jc w:val="left"/>
        <w:rPr>
          <w:szCs w:val="24"/>
        </w:rPr>
      </w:pPr>
      <w:r>
        <w:rPr>
          <w:rFonts w:hint="eastAsia"/>
          <w:szCs w:val="24"/>
        </w:rPr>
        <w:t>近三年公司研发投入金额及占营业收入的比例</w:t>
      </w:r>
    </w:p>
    <w:tbl>
      <w:tblPr>
        <w:tblStyle w:val="9"/>
        <w:tblW w:w="0" w:type="auto"/>
        <w:tblInd w:w="28" w:type="dxa"/>
        <w:tblLayout w:type="fixed"/>
        <w:tblCellMar>
          <w:top w:w="0" w:type="dxa"/>
          <w:left w:w="28" w:type="dxa"/>
          <w:bottom w:w="0" w:type="dxa"/>
          <w:right w:w="28" w:type="dxa"/>
        </w:tblCellMar>
      </w:tblPr>
      <w:tblGrid>
        <w:gridCol w:w="2392"/>
        <w:gridCol w:w="2392"/>
        <w:gridCol w:w="2392"/>
        <w:gridCol w:w="2392"/>
      </w:tblGrid>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2019</w:t>
            </w:r>
            <w:r>
              <w:rPr>
                <w:rFonts w:hint="eastAsia"/>
                <w:szCs w:val="24"/>
              </w:rPr>
              <w:t>年</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2018</w:t>
            </w:r>
            <w:r>
              <w:rPr>
                <w:rFonts w:hint="eastAsia"/>
                <w:szCs w:val="24"/>
              </w:rPr>
              <w:t>年</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2017</w:t>
            </w:r>
            <w:r>
              <w:rPr>
                <w:rFonts w:hint="eastAsia"/>
                <w:szCs w:val="24"/>
              </w:rPr>
              <w:t>年</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研发人员数量（人）</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306</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302</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255</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研发人员数量占比</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12.77%</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10.55%</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11.02%</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研发投入金额（元）</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128,260,150.80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109,640,346.03</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92,568,410.23</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研发投入占营业收入比例</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4.09%</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3.58%</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研发支出资本化的金额（元）</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资本化研发支出占研发投入的比例</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资本化研发支出占当期净利润的比重</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r>
    </w:tbl>
    <w:p>
      <w:pPr>
        <w:jc w:val="left"/>
        <w:rPr>
          <w:szCs w:val="24"/>
        </w:rPr>
      </w:pPr>
      <w:r>
        <w:rPr>
          <w:rFonts w:hint="eastAsia"/>
          <w:szCs w:val="24"/>
        </w:rPr>
        <w:t>研发投入总额占营业收入的比重较上年发生显著变化的原因</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研发投入资本化率大幅变动的原因及其合理性说明</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公司需遵守《深圳证券交易所创业板行业信息披露指引第</w:t>
      </w:r>
      <w:r>
        <w:rPr>
          <w:szCs w:val="24"/>
        </w:rPr>
        <w:t>10</w:t>
      </w:r>
      <w:r>
        <w:rPr>
          <w:rFonts w:hint="eastAsia"/>
          <w:szCs w:val="24"/>
        </w:rPr>
        <w:t>号</w:t>
      </w:r>
      <w:r>
        <w:rPr>
          <w:szCs w:val="24"/>
        </w:rPr>
        <w:t>--</w:t>
      </w:r>
      <w:r>
        <w:rPr>
          <w:rFonts w:hint="eastAsia"/>
          <w:szCs w:val="24"/>
        </w:rPr>
        <w:t>上市公司从事医疗器械业务》的披露要求</w:t>
      </w:r>
    </w:p>
    <w:p>
      <w:pPr>
        <w:jc w:val="left"/>
        <w:rPr>
          <w:szCs w:val="24"/>
        </w:rPr>
      </w:pPr>
      <w:r>
        <w:rPr>
          <w:rFonts w:hint="eastAsia"/>
          <w:szCs w:val="24"/>
        </w:rPr>
        <w:t>医疗器械产品相关情况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1</w:t>
      </w:r>
      <w:r>
        <w:rPr>
          <w:rFonts w:hint="eastAsia" w:ascii="宋体" w:hAnsi="宋体" w:cs="宋体"/>
          <w:kern w:val="0"/>
          <w:szCs w:val="24"/>
          <w:lang w:val="zh-CN"/>
        </w:rPr>
        <w:t>）中国境内产品注册证情况</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本报告期内（</w:t>
      </w:r>
      <w:r>
        <w:rPr>
          <w:rFonts w:eastAsia="Times New Roman"/>
          <w:kern w:val="0"/>
          <w:szCs w:val="24"/>
          <w:lang w:val="zh-CN"/>
        </w:rPr>
        <w:t>2019.1.1-2019.12.31</w:t>
      </w:r>
      <w:r>
        <w:rPr>
          <w:rFonts w:hint="eastAsia" w:ascii="宋体" w:hAnsi="宋体" w:cs="宋体"/>
          <w:kern w:val="0"/>
          <w:szCs w:val="24"/>
          <w:lang w:val="zh-CN"/>
        </w:rPr>
        <w:t>），在中国境内，公司新增注册产品（含</w:t>
      </w:r>
      <w:r>
        <w:rPr>
          <w:rFonts w:eastAsia="Times New Roman"/>
          <w:kern w:val="0"/>
          <w:sz w:val="20"/>
          <w:szCs w:val="24"/>
          <w:lang w:val="zh-CN"/>
        </w:rPr>
        <w:t>I</w:t>
      </w:r>
      <w:r>
        <w:rPr>
          <w:rFonts w:hint="eastAsia" w:ascii="宋体" w:hAnsi="宋体" w:cs="宋体"/>
          <w:kern w:val="0"/>
          <w:sz w:val="20"/>
          <w:szCs w:val="24"/>
          <w:lang w:val="zh-CN"/>
        </w:rPr>
        <w:t>类</w:t>
      </w:r>
      <w:r>
        <w:rPr>
          <w:rFonts w:hint="eastAsia" w:ascii="宋体" w:hAnsi="宋体" w:cs="宋体"/>
          <w:kern w:val="0"/>
          <w:szCs w:val="24"/>
          <w:lang w:val="zh-CN"/>
        </w:rPr>
        <w:t>，下同）</w:t>
      </w:r>
      <w:r>
        <w:rPr>
          <w:rFonts w:eastAsia="Times New Roman"/>
          <w:kern w:val="0"/>
          <w:szCs w:val="24"/>
          <w:lang w:val="zh-CN"/>
        </w:rPr>
        <w:t>48</w:t>
      </w:r>
      <w:r>
        <w:rPr>
          <w:rFonts w:hint="eastAsia" w:ascii="宋体" w:hAnsi="宋体" w:cs="宋体"/>
          <w:kern w:val="0"/>
          <w:szCs w:val="24"/>
          <w:lang w:val="zh-CN"/>
        </w:rPr>
        <w:t>项，失效产品注册证</w:t>
      </w:r>
      <w:r>
        <w:rPr>
          <w:rFonts w:eastAsia="Times New Roman"/>
          <w:kern w:val="0"/>
          <w:szCs w:val="24"/>
          <w:lang w:val="zh-CN"/>
        </w:rPr>
        <w:t>0</w:t>
      </w:r>
      <w:r>
        <w:rPr>
          <w:rFonts w:hint="eastAsia" w:ascii="宋体" w:hAnsi="宋体" w:cs="宋体"/>
          <w:kern w:val="0"/>
          <w:szCs w:val="24"/>
          <w:lang w:val="zh-CN"/>
        </w:rPr>
        <w:t>项，共持有</w:t>
      </w:r>
      <w:r>
        <w:rPr>
          <w:rFonts w:eastAsia="Times New Roman"/>
          <w:kern w:val="0"/>
          <w:szCs w:val="24"/>
          <w:lang w:val="zh-CN"/>
        </w:rPr>
        <w:t>240</w:t>
      </w:r>
      <w:r>
        <w:rPr>
          <w:rFonts w:hint="eastAsia" w:ascii="宋体" w:hAnsi="宋体" w:cs="宋体"/>
          <w:kern w:val="0"/>
          <w:szCs w:val="24"/>
          <w:lang w:val="zh-CN"/>
        </w:rPr>
        <w:t>项医疗器械注册证（含新增子公司澳瑞（江西）科技有限公司（以下简称</w:t>
      </w:r>
      <w:r>
        <w:rPr>
          <w:rFonts w:eastAsia="Times New Roman"/>
          <w:kern w:val="0"/>
          <w:szCs w:val="24"/>
          <w:lang w:val="zh-CN"/>
        </w:rPr>
        <w:t>“</w:t>
      </w:r>
      <w:r>
        <w:rPr>
          <w:rFonts w:hint="eastAsia" w:ascii="宋体" w:hAnsi="宋体" w:cs="宋体"/>
          <w:kern w:val="0"/>
          <w:szCs w:val="24"/>
          <w:lang w:val="zh-CN"/>
        </w:rPr>
        <w:t>江西澳瑞</w:t>
      </w:r>
      <w:r>
        <w:rPr>
          <w:rFonts w:eastAsia="Times New Roman"/>
          <w:kern w:val="0"/>
          <w:szCs w:val="24"/>
          <w:lang w:val="zh-CN"/>
        </w:rPr>
        <w:t>”</w:t>
      </w:r>
      <w:r>
        <w:rPr>
          <w:rFonts w:hint="eastAsia" w:ascii="宋体" w:hAnsi="宋体" w:cs="宋体"/>
          <w:kern w:val="0"/>
          <w:szCs w:val="24"/>
          <w:lang w:val="zh-CN"/>
        </w:rPr>
        <w:t>））。</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w:t>
      </w:r>
      <w:r>
        <w:rPr>
          <w:rFonts w:hint="eastAsia" w:ascii="宋体" w:hAnsi="宋体" w:cs="宋体"/>
          <w:kern w:val="0"/>
          <w:szCs w:val="24"/>
          <w:lang w:val="zh-CN"/>
        </w:rPr>
        <w:t>月至本报告披露日，公司共持有</w:t>
      </w:r>
      <w:r>
        <w:rPr>
          <w:rFonts w:eastAsia="Times New Roman"/>
          <w:kern w:val="0"/>
          <w:szCs w:val="24"/>
          <w:highlight w:val="white"/>
          <w:lang w:val="zh-CN"/>
        </w:rPr>
        <w:t>257</w:t>
      </w:r>
      <w:r>
        <w:rPr>
          <w:rFonts w:hint="eastAsia" w:ascii="宋体" w:hAnsi="宋体" w:cs="宋体"/>
          <w:kern w:val="0"/>
          <w:szCs w:val="24"/>
          <w:lang w:val="zh-CN"/>
        </w:rPr>
        <w:t>项医疗器械注册证，其中新增注册产品</w:t>
      </w:r>
      <w:r>
        <w:rPr>
          <w:rFonts w:eastAsia="Times New Roman"/>
          <w:kern w:val="0"/>
          <w:szCs w:val="24"/>
          <w:highlight w:val="white"/>
          <w:lang w:val="zh-CN"/>
        </w:rPr>
        <w:t>65</w:t>
      </w:r>
      <w:r>
        <w:rPr>
          <w:rFonts w:hint="eastAsia" w:ascii="宋体" w:hAnsi="宋体" w:cs="宋体"/>
          <w:kern w:val="0"/>
          <w:szCs w:val="24"/>
          <w:lang w:val="zh-CN"/>
        </w:rPr>
        <w:t>项，另有</w:t>
      </w:r>
      <w:r>
        <w:rPr>
          <w:rFonts w:eastAsia="Times New Roman"/>
          <w:kern w:val="0"/>
          <w:szCs w:val="24"/>
          <w:lang w:val="zh-CN"/>
        </w:rPr>
        <w:t>7</w:t>
      </w:r>
      <w:r>
        <w:rPr>
          <w:rFonts w:eastAsiaTheme="minorEastAsia"/>
          <w:kern w:val="0"/>
          <w:szCs w:val="24"/>
          <w:lang w:val="zh-CN"/>
        </w:rPr>
        <w:t>3</w:t>
      </w:r>
      <w:r>
        <w:rPr>
          <w:rFonts w:hint="eastAsia" w:ascii="宋体" w:hAnsi="宋体" w:cs="宋体"/>
          <w:kern w:val="0"/>
          <w:szCs w:val="24"/>
          <w:lang w:val="zh-CN"/>
        </w:rPr>
        <w:t>个产品正在注册中具体新增产品情况如下：</w:t>
      </w:r>
    </w:p>
    <w:tbl>
      <w:tblPr>
        <w:tblStyle w:val="9"/>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10" w:type="dxa"/>
          <w:left w:w="10" w:type="dxa"/>
          <w:bottom w:w="10" w:type="dxa"/>
          <w:right w:w="10" w:type="dxa"/>
        </w:tblCellMar>
      </w:tblPr>
      <w:tblGrid>
        <w:gridCol w:w="689"/>
        <w:gridCol w:w="1508"/>
        <w:gridCol w:w="680"/>
        <w:gridCol w:w="2741"/>
        <w:gridCol w:w="1188"/>
        <w:gridCol w:w="945"/>
        <w:gridCol w:w="962"/>
        <w:gridCol w:w="9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序号</w:t>
            </w:r>
          </w:p>
        </w:tc>
        <w:tc>
          <w:tcPr>
            <w:tcW w:w="781"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医疗器械注册证名称</w:t>
            </w:r>
          </w:p>
        </w:tc>
        <w:tc>
          <w:tcPr>
            <w:tcW w:w="352"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注册分类</w:t>
            </w:r>
          </w:p>
        </w:tc>
        <w:tc>
          <w:tcPr>
            <w:tcW w:w="1419"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临床用途</w:t>
            </w:r>
          </w:p>
        </w:tc>
        <w:tc>
          <w:tcPr>
            <w:tcW w:w="615"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有效期</w:t>
            </w:r>
          </w:p>
        </w:tc>
        <w:tc>
          <w:tcPr>
            <w:tcW w:w="489"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注册人</w:t>
            </w:r>
          </w:p>
        </w:tc>
        <w:tc>
          <w:tcPr>
            <w:tcW w:w="498"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报告期内变化情况</w:t>
            </w:r>
          </w:p>
        </w:tc>
        <w:tc>
          <w:tcPr>
            <w:tcW w:w="489" w:type="pct"/>
          </w:tcPr>
          <w:p>
            <w:pPr>
              <w:autoSpaceDE w:val="0"/>
              <w:autoSpaceDN w:val="0"/>
              <w:adjustRightInd w:val="0"/>
              <w:spacing w:before="0" w:after="0"/>
              <w:jc w:val="center"/>
              <w:rPr>
                <w:rFonts w:eastAsia="Times New Roman"/>
                <w:kern w:val="0"/>
                <w:szCs w:val="24"/>
                <w:lang w:val="zh-CN"/>
              </w:rPr>
            </w:pPr>
            <w:r>
              <w:rPr>
                <w:rFonts w:hint="eastAsia" w:ascii="宋体" w:hAnsi="宋体" w:cs="宋体"/>
                <w:b/>
                <w:kern w:val="0"/>
                <w:szCs w:val="24"/>
                <w:lang w:val="zh-CN"/>
              </w:rPr>
              <w:t>是否申报创新医器械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1</w:t>
            </w:r>
          </w:p>
        </w:tc>
        <w:tc>
          <w:tcPr>
            <w:tcW w:w="781"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激发液</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I</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与化学发光免疫测定试剂配合使用，用于在化学发光免疫分析仪中提供反应环境，产生光信号。</w:t>
            </w:r>
          </w:p>
        </w:tc>
        <w:tc>
          <w:tcPr>
            <w:tcW w:w="615" w:type="pct"/>
          </w:tcPr>
          <w:p>
            <w:pPr>
              <w:autoSpaceDE w:val="0"/>
              <w:autoSpaceDN w:val="0"/>
              <w:adjustRightInd w:val="0"/>
              <w:jc w:val="center"/>
              <w:rPr>
                <w:rFonts w:eastAsia="Times New Roman"/>
                <w:kern w:val="0"/>
                <w:szCs w:val="24"/>
                <w:lang w:val="zh-CN"/>
              </w:rPr>
            </w:pPr>
            <w:r>
              <w:rPr>
                <w:rFonts w:eastAsia="Times New Roman"/>
                <w:kern w:val="0"/>
                <w:szCs w:val="24"/>
                <w:lang w:val="zh-CN"/>
              </w:rPr>
              <w:t>2019.01.30</w:t>
            </w:r>
            <w:r>
              <w:rPr>
                <w:rFonts w:hint="eastAsia" w:ascii="宋体" w:hAnsi="宋体" w:cs="宋体"/>
                <w:kern w:val="0"/>
                <w:szCs w:val="24"/>
                <w:lang w:val="zh-CN"/>
              </w:rPr>
              <w:t>备案</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首次备案</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2</w:t>
            </w:r>
          </w:p>
        </w:tc>
        <w:tc>
          <w:tcPr>
            <w:tcW w:w="781"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核酸提取或纯化试剂</w:t>
            </w:r>
          </w:p>
        </w:tc>
        <w:tc>
          <w:tcPr>
            <w:tcW w:w="352"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I</w:t>
            </w:r>
            <w:r>
              <w:rPr>
                <w:rFonts w:hint="eastAsia" w:ascii="宋体" w:hAnsi="宋体" w:cs="宋体"/>
                <w:kern w:val="0"/>
                <w:sz w:val="20"/>
                <w:szCs w:val="24"/>
                <w:lang w:val="zh-CN"/>
              </w:rPr>
              <w:t>类</w:t>
            </w:r>
          </w:p>
        </w:tc>
        <w:tc>
          <w:tcPr>
            <w:tcW w:w="1419"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用于核酸的提取、富集、纯化等步骤。其处理后的产物用于临床体外检测使用。</w:t>
            </w:r>
          </w:p>
        </w:tc>
        <w:tc>
          <w:tcPr>
            <w:tcW w:w="615" w:type="pct"/>
          </w:tcPr>
          <w:p>
            <w:pPr>
              <w:autoSpaceDE w:val="0"/>
              <w:autoSpaceDN w:val="0"/>
              <w:adjustRightInd w:val="0"/>
              <w:jc w:val="center"/>
              <w:rPr>
                <w:rFonts w:eastAsia="Times New Roman"/>
                <w:kern w:val="0"/>
                <w:szCs w:val="24"/>
                <w:lang w:val="zh-CN"/>
              </w:rPr>
            </w:pPr>
            <w:r>
              <w:rPr>
                <w:rFonts w:eastAsia="Times New Roman"/>
                <w:kern w:val="0"/>
                <w:szCs w:val="24"/>
                <w:lang w:val="zh-CN"/>
              </w:rPr>
              <w:t>2020.02.14</w:t>
            </w:r>
            <w:r>
              <w:rPr>
                <w:rFonts w:hint="eastAsia" w:ascii="宋体" w:hAnsi="宋体" w:cs="宋体"/>
                <w:kern w:val="0"/>
                <w:szCs w:val="24"/>
                <w:lang w:val="zh-CN"/>
              </w:rPr>
              <w:t>备案</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首次备案</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3</w:t>
            </w:r>
          </w:p>
        </w:tc>
        <w:tc>
          <w:tcPr>
            <w:tcW w:w="781"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核酸提取或纯化试剂</w:t>
            </w:r>
          </w:p>
        </w:tc>
        <w:tc>
          <w:tcPr>
            <w:tcW w:w="352"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I</w:t>
            </w:r>
            <w:r>
              <w:rPr>
                <w:rFonts w:hint="eastAsia" w:ascii="宋体" w:hAnsi="宋体" w:cs="宋体"/>
                <w:kern w:val="0"/>
                <w:sz w:val="20"/>
                <w:szCs w:val="24"/>
                <w:lang w:val="zh-CN"/>
              </w:rPr>
              <w:t>类</w:t>
            </w:r>
          </w:p>
        </w:tc>
        <w:tc>
          <w:tcPr>
            <w:tcW w:w="1419"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用于核酸的提取、富集、纯化等步骤。其处理后的产物用于临床体外检测使用。</w:t>
            </w:r>
          </w:p>
        </w:tc>
        <w:tc>
          <w:tcPr>
            <w:tcW w:w="615" w:type="pct"/>
          </w:tcPr>
          <w:p>
            <w:pPr>
              <w:autoSpaceDE w:val="0"/>
              <w:autoSpaceDN w:val="0"/>
              <w:adjustRightInd w:val="0"/>
              <w:jc w:val="center"/>
              <w:rPr>
                <w:rFonts w:eastAsia="Times New Roman"/>
                <w:kern w:val="0"/>
                <w:szCs w:val="24"/>
                <w:lang w:val="zh-CN"/>
              </w:rPr>
            </w:pPr>
            <w:r>
              <w:rPr>
                <w:rFonts w:eastAsia="Times New Roman"/>
                <w:kern w:val="0"/>
                <w:szCs w:val="24"/>
                <w:lang w:val="zh-CN"/>
              </w:rPr>
              <w:t>2020.02.14</w:t>
            </w:r>
            <w:r>
              <w:rPr>
                <w:rFonts w:hint="eastAsia" w:ascii="宋体" w:hAnsi="宋体" w:cs="宋体"/>
                <w:kern w:val="0"/>
                <w:szCs w:val="24"/>
                <w:lang w:val="zh-CN"/>
              </w:rPr>
              <w:t>备案</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首次备案</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4</w:t>
            </w:r>
          </w:p>
        </w:tc>
        <w:tc>
          <w:tcPr>
            <w:tcW w:w="781"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样本保存液</w:t>
            </w:r>
          </w:p>
        </w:tc>
        <w:tc>
          <w:tcPr>
            <w:tcW w:w="352"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I</w:t>
            </w:r>
            <w:r>
              <w:rPr>
                <w:rFonts w:hint="eastAsia" w:ascii="宋体" w:hAnsi="宋体" w:cs="宋体"/>
                <w:kern w:val="0"/>
                <w:sz w:val="20"/>
                <w:szCs w:val="24"/>
                <w:lang w:val="zh-CN"/>
              </w:rPr>
              <w:t>类</w:t>
            </w:r>
          </w:p>
        </w:tc>
        <w:tc>
          <w:tcPr>
            <w:tcW w:w="1419"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用于组织、细胞病理学分析样本的保存。</w:t>
            </w:r>
          </w:p>
        </w:tc>
        <w:tc>
          <w:tcPr>
            <w:tcW w:w="615" w:type="pct"/>
          </w:tcPr>
          <w:p>
            <w:pPr>
              <w:autoSpaceDE w:val="0"/>
              <w:autoSpaceDN w:val="0"/>
              <w:adjustRightInd w:val="0"/>
              <w:jc w:val="center"/>
              <w:rPr>
                <w:rFonts w:eastAsia="Times New Roman"/>
                <w:kern w:val="0"/>
                <w:szCs w:val="24"/>
                <w:lang w:val="zh-CN"/>
              </w:rPr>
            </w:pPr>
            <w:r>
              <w:rPr>
                <w:rFonts w:eastAsia="Times New Roman"/>
                <w:kern w:val="0"/>
                <w:szCs w:val="24"/>
                <w:lang w:val="zh-CN"/>
              </w:rPr>
              <w:t>2020.02.17</w:t>
            </w:r>
            <w:r>
              <w:rPr>
                <w:rFonts w:hint="eastAsia" w:ascii="宋体" w:hAnsi="宋体" w:cs="宋体"/>
                <w:kern w:val="0"/>
                <w:szCs w:val="24"/>
                <w:lang w:val="zh-CN"/>
              </w:rPr>
              <w:t>备案</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首次备案</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5</w:t>
            </w:r>
          </w:p>
        </w:tc>
        <w:tc>
          <w:tcPr>
            <w:tcW w:w="781"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样本稀释液</w:t>
            </w:r>
          </w:p>
        </w:tc>
        <w:tc>
          <w:tcPr>
            <w:tcW w:w="352"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I</w:t>
            </w:r>
            <w:r>
              <w:rPr>
                <w:rFonts w:hint="eastAsia" w:ascii="宋体" w:hAnsi="宋体" w:cs="宋体"/>
                <w:kern w:val="0"/>
                <w:sz w:val="20"/>
                <w:szCs w:val="24"/>
                <w:lang w:val="zh-CN"/>
              </w:rPr>
              <w:t>类</w:t>
            </w:r>
          </w:p>
        </w:tc>
        <w:tc>
          <w:tcPr>
            <w:tcW w:w="1419"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用于对待测样本进行稀释、液化，以便于使用体外诊断试剂或仪器对待测物进行检测。其本身并不直接参与检测。</w:t>
            </w:r>
          </w:p>
        </w:tc>
        <w:tc>
          <w:tcPr>
            <w:tcW w:w="615" w:type="pct"/>
          </w:tcPr>
          <w:p>
            <w:pPr>
              <w:autoSpaceDE w:val="0"/>
              <w:autoSpaceDN w:val="0"/>
              <w:adjustRightInd w:val="0"/>
              <w:jc w:val="center"/>
              <w:rPr>
                <w:rFonts w:eastAsia="Times New Roman"/>
                <w:kern w:val="0"/>
                <w:szCs w:val="24"/>
                <w:lang w:val="zh-CN"/>
              </w:rPr>
            </w:pPr>
            <w:r>
              <w:rPr>
                <w:rFonts w:eastAsia="Times New Roman"/>
                <w:kern w:val="0"/>
                <w:szCs w:val="24"/>
                <w:lang w:val="zh-CN"/>
              </w:rPr>
              <w:t>2020.04.10</w:t>
            </w:r>
            <w:r>
              <w:rPr>
                <w:rFonts w:hint="eastAsia" w:ascii="宋体" w:hAnsi="宋体" w:cs="宋体"/>
                <w:kern w:val="0"/>
                <w:szCs w:val="24"/>
                <w:lang w:val="zh-CN"/>
              </w:rPr>
              <w:t>备案</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首次备案</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6</w:t>
            </w:r>
          </w:p>
        </w:tc>
        <w:tc>
          <w:tcPr>
            <w:tcW w:w="781"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样本密度分离液</w:t>
            </w:r>
          </w:p>
        </w:tc>
        <w:tc>
          <w:tcPr>
            <w:tcW w:w="352"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I</w:t>
            </w:r>
            <w:r>
              <w:rPr>
                <w:rFonts w:hint="eastAsia" w:ascii="宋体" w:hAnsi="宋体" w:cs="宋体"/>
                <w:kern w:val="0"/>
                <w:sz w:val="20"/>
                <w:szCs w:val="24"/>
                <w:lang w:val="zh-CN"/>
              </w:rPr>
              <w:t>类</w:t>
            </w:r>
          </w:p>
        </w:tc>
        <w:tc>
          <w:tcPr>
            <w:tcW w:w="1419"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通过密度分离作用，用于样本中不同成分的分离，以便于对样本的进一步分析。</w:t>
            </w:r>
          </w:p>
        </w:tc>
        <w:tc>
          <w:tcPr>
            <w:tcW w:w="615" w:type="pct"/>
          </w:tcPr>
          <w:p>
            <w:pPr>
              <w:autoSpaceDE w:val="0"/>
              <w:autoSpaceDN w:val="0"/>
              <w:adjustRightInd w:val="0"/>
              <w:jc w:val="center"/>
              <w:rPr>
                <w:rFonts w:eastAsia="Times New Roman"/>
                <w:kern w:val="0"/>
                <w:szCs w:val="24"/>
                <w:lang w:val="zh-CN"/>
              </w:rPr>
            </w:pPr>
            <w:r>
              <w:rPr>
                <w:rFonts w:eastAsia="Times New Roman"/>
                <w:kern w:val="0"/>
                <w:szCs w:val="24"/>
                <w:lang w:val="zh-CN"/>
              </w:rPr>
              <w:t>2020.04.10</w:t>
            </w:r>
            <w:r>
              <w:rPr>
                <w:rFonts w:hint="eastAsia" w:ascii="宋体" w:hAnsi="宋体" w:cs="宋体"/>
                <w:kern w:val="0"/>
                <w:szCs w:val="24"/>
                <w:lang w:val="zh-CN"/>
              </w:rPr>
              <w:t>备案</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首次备案</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7</w:t>
            </w:r>
          </w:p>
        </w:tc>
        <w:tc>
          <w:tcPr>
            <w:tcW w:w="781"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尿液分析用鞘液</w:t>
            </w:r>
          </w:p>
        </w:tc>
        <w:tc>
          <w:tcPr>
            <w:tcW w:w="352"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I</w:t>
            </w:r>
            <w:r>
              <w:rPr>
                <w:rFonts w:hint="eastAsia" w:ascii="宋体" w:hAnsi="宋体" w:cs="宋体"/>
                <w:kern w:val="0"/>
                <w:sz w:val="20"/>
                <w:szCs w:val="24"/>
                <w:lang w:val="zh-CN"/>
              </w:rPr>
              <w:t>类</w:t>
            </w:r>
          </w:p>
        </w:tc>
        <w:tc>
          <w:tcPr>
            <w:tcW w:w="1419"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适用于采用流式细胞分析原理的分析仪。用于对尿液样本稀释，形成鞘流，利于分析仪器进行细胞计数、分类。</w:t>
            </w:r>
          </w:p>
        </w:tc>
        <w:tc>
          <w:tcPr>
            <w:tcW w:w="615" w:type="pct"/>
          </w:tcPr>
          <w:p>
            <w:pPr>
              <w:autoSpaceDE w:val="0"/>
              <w:autoSpaceDN w:val="0"/>
              <w:adjustRightInd w:val="0"/>
              <w:jc w:val="center"/>
              <w:rPr>
                <w:rFonts w:eastAsia="Times New Roman"/>
                <w:kern w:val="0"/>
                <w:szCs w:val="24"/>
                <w:lang w:val="zh-CN"/>
              </w:rPr>
            </w:pPr>
            <w:r>
              <w:rPr>
                <w:rFonts w:eastAsia="Times New Roman"/>
                <w:kern w:val="0"/>
                <w:szCs w:val="24"/>
                <w:lang w:val="zh-CN"/>
              </w:rPr>
              <w:t>2020.04.10</w:t>
            </w:r>
            <w:r>
              <w:rPr>
                <w:rFonts w:hint="eastAsia" w:ascii="宋体" w:hAnsi="宋体" w:cs="宋体"/>
                <w:kern w:val="0"/>
                <w:szCs w:val="24"/>
                <w:lang w:val="zh-CN"/>
              </w:rPr>
              <w:t>备案</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首次备案</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8</w:t>
            </w:r>
          </w:p>
        </w:tc>
        <w:tc>
          <w:tcPr>
            <w:tcW w:w="781"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尿液分析用稀释液</w:t>
            </w:r>
          </w:p>
        </w:tc>
        <w:tc>
          <w:tcPr>
            <w:tcW w:w="352"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I</w:t>
            </w:r>
            <w:r>
              <w:rPr>
                <w:rFonts w:hint="eastAsia" w:ascii="宋体" w:hAnsi="宋体" w:cs="宋体"/>
                <w:kern w:val="0"/>
                <w:sz w:val="20"/>
                <w:szCs w:val="24"/>
                <w:lang w:val="zh-CN"/>
              </w:rPr>
              <w:t>类</w:t>
            </w:r>
          </w:p>
        </w:tc>
        <w:tc>
          <w:tcPr>
            <w:tcW w:w="141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用于尿液分析前，样本的稀释，制备细胞悬液。</w:t>
            </w:r>
          </w:p>
        </w:tc>
        <w:tc>
          <w:tcPr>
            <w:tcW w:w="615" w:type="pct"/>
          </w:tcPr>
          <w:p>
            <w:pPr>
              <w:autoSpaceDE w:val="0"/>
              <w:autoSpaceDN w:val="0"/>
              <w:adjustRightInd w:val="0"/>
              <w:jc w:val="center"/>
              <w:rPr>
                <w:rFonts w:eastAsia="Times New Roman"/>
                <w:kern w:val="0"/>
                <w:szCs w:val="24"/>
                <w:lang w:val="zh-CN"/>
              </w:rPr>
            </w:pPr>
            <w:r>
              <w:rPr>
                <w:rFonts w:eastAsia="Times New Roman"/>
                <w:kern w:val="0"/>
                <w:szCs w:val="24"/>
                <w:lang w:val="zh-CN"/>
              </w:rPr>
              <w:t>2020.04.10</w:t>
            </w:r>
            <w:r>
              <w:rPr>
                <w:rFonts w:hint="eastAsia" w:ascii="宋体" w:hAnsi="宋体" w:cs="宋体"/>
                <w:kern w:val="0"/>
                <w:szCs w:val="24"/>
                <w:lang w:val="zh-CN"/>
              </w:rPr>
              <w:t>备案</w:t>
            </w:r>
          </w:p>
        </w:tc>
        <w:tc>
          <w:tcPr>
            <w:tcW w:w="48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首次备案</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9</w:t>
            </w:r>
          </w:p>
        </w:tc>
        <w:tc>
          <w:tcPr>
            <w:tcW w:w="781"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溶血</w:t>
            </w:r>
            <w:r>
              <w:rPr>
                <w:rFonts w:eastAsia="Times New Roman"/>
                <w:kern w:val="0"/>
                <w:sz w:val="20"/>
                <w:szCs w:val="24"/>
                <w:lang w:val="zh-CN"/>
              </w:rPr>
              <w:t></w:t>
            </w:r>
            <w:r>
              <w:rPr>
                <w:rFonts w:hint="eastAsia" w:ascii="宋体" w:hAnsi="宋体" w:cs="宋体"/>
                <w:kern w:val="0"/>
                <w:sz w:val="20"/>
                <w:szCs w:val="24"/>
                <w:lang w:val="zh-CN"/>
              </w:rPr>
              <w:t>洗净液</w:t>
            </w:r>
          </w:p>
        </w:tc>
        <w:tc>
          <w:tcPr>
            <w:tcW w:w="352"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I</w:t>
            </w:r>
            <w:r>
              <w:rPr>
                <w:rFonts w:hint="eastAsia" w:ascii="宋体" w:hAnsi="宋体" w:cs="宋体"/>
                <w:kern w:val="0"/>
                <w:sz w:val="20"/>
                <w:szCs w:val="24"/>
                <w:lang w:val="zh-CN"/>
              </w:rPr>
              <w:t>类</w:t>
            </w:r>
          </w:p>
        </w:tc>
        <w:tc>
          <w:tcPr>
            <w:tcW w:w="141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为含有表面活性剂的磷酸缓冲液。用于对血液中不同的糖化血红蛋白进行分离，并对仪器分析部位进行清洗。</w:t>
            </w:r>
          </w:p>
        </w:tc>
        <w:tc>
          <w:tcPr>
            <w:tcW w:w="615" w:type="pct"/>
          </w:tcPr>
          <w:p>
            <w:pPr>
              <w:autoSpaceDE w:val="0"/>
              <w:autoSpaceDN w:val="0"/>
              <w:adjustRightInd w:val="0"/>
              <w:jc w:val="center"/>
              <w:rPr>
                <w:rFonts w:eastAsia="Times New Roman"/>
                <w:kern w:val="0"/>
                <w:szCs w:val="24"/>
                <w:lang w:val="zh-CN"/>
              </w:rPr>
            </w:pPr>
            <w:r>
              <w:rPr>
                <w:rFonts w:eastAsia="Times New Roman"/>
                <w:kern w:val="0"/>
                <w:szCs w:val="24"/>
                <w:lang w:val="zh-CN"/>
              </w:rPr>
              <w:t>2020.04.10</w:t>
            </w:r>
            <w:r>
              <w:rPr>
                <w:rFonts w:hint="eastAsia" w:ascii="宋体" w:hAnsi="宋体" w:cs="宋体"/>
                <w:kern w:val="0"/>
                <w:szCs w:val="24"/>
                <w:lang w:val="zh-CN"/>
              </w:rPr>
              <w:t>备案</w:t>
            </w:r>
          </w:p>
        </w:tc>
        <w:tc>
          <w:tcPr>
            <w:tcW w:w="48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首次备案</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10</w:t>
            </w:r>
          </w:p>
        </w:tc>
        <w:tc>
          <w:tcPr>
            <w:tcW w:w="781"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血细胞分析用溶血剂</w:t>
            </w:r>
          </w:p>
        </w:tc>
        <w:tc>
          <w:tcPr>
            <w:tcW w:w="352"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I</w:t>
            </w:r>
            <w:r>
              <w:rPr>
                <w:rFonts w:hint="eastAsia" w:ascii="宋体" w:hAnsi="宋体" w:cs="宋体"/>
                <w:kern w:val="0"/>
                <w:sz w:val="20"/>
                <w:szCs w:val="24"/>
                <w:lang w:val="zh-CN"/>
              </w:rPr>
              <w:t>类</w:t>
            </w:r>
          </w:p>
        </w:tc>
        <w:tc>
          <w:tcPr>
            <w:tcW w:w="141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用于血细胞分析前破坏红细胞、溶出血红蛋白、维持所需分析细胞的形态，从而便于细胞分类计数或血红蛋白定量测定。</w:t>
            </w:r>
          </w:p>
        </w:tc>
        <w:tc>
          <w:tcPr>
            <w:tcW w:w="615" w:type="pct"/>
          </w:tcPr>
          <w:p>
            <w:pPr>
              <w:autoSpaceDE w:val="0"/>
              <w:autoSpaceDN w:val="0"/>
              <w:adjustRightInd w:val="0"/>
              <w:jc w:val="center"/>
              <w:rPr>
                <w:rFonts w:eastAsia="Times New Roman"/>
                <w:kern w:val="0"/>
                <w:szCs w:val="24"/>
                <w:lang w:val="zh-CN"/>
              </w:rPr>
            </w:pPr>
            <w:r>
              <w:rPr>
                <w:rFonts w:eastAsia="Times New Roman"/>
                <w:kern w:val="0"/>
                <w:szCs w:val="24"/>
                <w:lang w:val="zh-CN"/>
              </w:rPr>
              <w:t>2019.12.24</w:t>
            </w:r>
            <w:r>
              <w:rPr>
                <w:rFonts w:hint="eastAsia" w:ascii="宋体" w:hAnsi="宋体" w:cs="宋体"/>
                <w:kern w:val="0"/>
                <w:szCs w:val="24"/>
                <w:lang w:val="zh-CN"/>
              </w:rPr>
              <w:t>备案</w:t>
            </w:r>
          </w:p>
        </w:tc>
        <w:tc>
          <w:tcPr>
            <w:tcW w:w="48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江西澳瑞</w:t>
            </w:r>
          </w:p>
        </w:tc>
        <w:tc>
          <w:tcPr>
            <w:tcW w:w="498"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首次备案</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11</w:t>
            </w:r>
          </w:p>
        </w:tc>
        <w:tc>
          <w:tcPr>
            <w:tcW w:w="781"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血细胞分析用溶血剂</w:t>
            </w:r>
          </w:p>
        </w:tc>
        <w:tc>
          <w:tcPr>
            <w:tcW w:w="352"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I</w:t>
            </w:r>
            <w:r>
              <w:rPr>
                <w:rFonts w:hint="eastAsia" w:ascii="宋体" w:hAnsi="宋体" w:cs="宋体"/>
                <w:kern w:val="0"/>
                <w:sz w:val="20"/>
                <w:szCs w:val="24"/>
                <w:lang w:val="zh-CN"/>
              </w:rPr>
              <w:t>类</w:t>
            </w:r>
          </w:p>
        </w:tc>
        <w:tc>
          <w:tcPr>
            <w:tcW w:w="141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用于血细胞分析前破坏红细胞、溶出血红蛋白、维持所需分析细胞的形态，从而便于细胞分类计数或血红蛋白定量测定。</w:t>
            </w:r>
          </w:p>
        </w:tc>
        <w:tc>
          <w:tcPr>
            <w:tcW w:w="615" w:type="pct"/>
          </w:tcPr>
          <w:p>
            <w:pPr>
              <w:autoSpaceDE w:val="0"/>
              <w:autoSpaceDN w:val="0"/>
              <w:adjustRightInd w:val="0"/>
              <w:jc w:val="center"/>
              <w:rPr>
                <w:rFonts w:eastAsia="Times New Roman"/>
                <w:kern w:val="0"/>
                <w:szCs w:val="24"/>
                <w:lang w:val="zh-CN"/>
              </w:rPr>
            </w:pPr>
            <w:r>
              <w:rPr>
                <w:rFonts w:eastAsia="Times New Roman"/>
                <w:kern w:val="0"/>
                <w:szCs w:val="24"/>
                <w:lang w:val="zh-CN"/>
              </w:rPr>
              <w:t>2019.12.24</w:t>
            </w:r>
            <w:r>
              <w:rPr>
                <w:rFonts w:hint="eastAsia" w:ascii="宋体" w:hAnsi="宋体" w:cs="宋体"/>
                <w:kern w:val="0"/>
                <w:szCs w:val="24"/>
                <w:lang w:val="zh-CN"/>
              </w:rPr>
              <w:t>备案</w:t>
            </w:r>
          </w:p>
        </w:tc>
        <w:tc>
          <w:tcPr>
            <w:tcW w:w="48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江西澳瑞</w:t>
            </w:r>
          </w:p>
        </w:tc>
        <w:tc>
          <w:tcPr>
            <w:tcW w:w="498"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首次备案</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12</w:t>
            </w:r>
          </w:p>
        </w:tc>
        <w:tc>
          <w:tcPr>
            <w:tcW w:w="781"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血细胞分析用溶血剂</w:t>
            </w:r>
          </w:p>
        </w:tc>
        <w:tc>
          <w:tcPr>
            <w:tcW w:w="352"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I</w:t>
            </w:r>
            <w:r>
              <w:rPr>
                <w:rFonts w:hint="eastAsia" w:ascii="宋体" w:hAnsi="宋体" w:cs="宋体"/>
                <w:kern w:val="0"/>
                <w:sz w:val="20"/>
                <w:szCs w:val="24"/>
                <w:lang w:val="zh-CN"/>
              </w:rPr>
              <w:t>类</w:t>
            </w:r>
          </w:p>
        </w:tc>
        <w:tc>
          <w:tcPr>
            <w:tcW w:w="141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用于血细胞分析前破坏红细胞、溶出血红蛋白、维持所需分析细胞的形态，从而便于细胞分类计数或血红蛋白定量测定。</w:t>
            </w:r>
          </w:p>
        </w:tc>
        <w:tc>
          <w:tcPr>
            <w:tcW w:w="615" w:type="pct"/>
          </w:tcPr>
          <w:p>
            <w:pPr>
              <w:autoSpaceDE w:val="0"/>
              <w:autoSpaceDN w:val="0"/>
              <w:adjustRightInd w:val="0"/>
              <w:jc w:val="center"/>
              <w:rPr>
                <w:rFonts w:eastAsia="Times New Roman"/>
                <w:kern w:val="0"/>
                <w:szCs w:val="24"/>
                <w:lang w:val="zh-CN"/>
              </w:rPr>
            </w:pPr>
            <w:r>
              <w:rPr>
                <w:rFonts w:eastAsia="Times New Roman"/>
                <w:kern w:val="0"/>
                <w:szCs w:val="24"/>
                <w:lang w:val="zh-CN"/>
              </w:rPr>
              <w:t>2019.12.24</w:t>
            </w:r>
            <w:r>
              <w:rPr>
                <w:rFonts w:hint="eastAsia" w:ascii="宋体" w:hAnsi="宋体" w:cs="宋体"/>
                <w:kern w:val="0"/>
                <w:szCs w:val="24"/>
                <w:lang w:val="zh-CN"/>
              </w:rPr>
              <w:t>备案</w:t>
            </w:r>
          </w:p>
        </w:tc>
        <w:tc>
          <w:tcPr>
            <w:tcW w:w="48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江西澳瑞</w:t>
            </w:r>
          </w:p>
        </w:tc>
        <w:tc>
          <w:tcPr>
            <w:tcW w:w="498"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首次备案</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13</w:t>
            </w:r>
          </w:p>
        </w:tc>
        <w:tc>
          <w:tcPr>
            <w:tcW w:w="781"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血细胞分析用稀释液</w:t>
            </w:r>
          </w:p>
        </w:tc>
        <w:tc>
          <w:tcPr>
            <w:tcW w:w="352"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I</w:t>
            </w:r>
            <w:r>
              <w:rPr>
                <w:rFonts w:hint="eastAsia" w:ascii="宋体" w:hAnsi="宋体" w:cs="宋体"/>
                <w:kern w:val="0"/>
                <w:sz w:val="20"/>
                <w:szCs w:val="24"/>
                <w:lang w:val="zh-CN"/>
              </w:rPr>
              <w:t>类</w:t>
            </w:r>
          </w:p>
        </w:tc>
        <w:tc>
          <w:tcPr>
            <w:tcW w:w="141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用于血细胞分析前，样本的稀释，制备细胞悬液。</w:t>
            </w:r>
          </w:p>
        </w:tc>
        <w:tc>
          <w:tcPr>
            <w:tcW w:w="615" w:type="pct"/>
          </w:tcPr>
          <w:p>
            <w:pPr>
              <w:autoSpaceDE w:val="0"/>
              <w:autoSpaceDN w:val="0"/>
              <w:adjustRightInd w:val="0"/>
              <w:jc w:val="center"/>
              <w:rPr>
                <w:rFonts w:eastAsia="Times New Roman"/>
                <w:kern w:val="0"/>
                <w:szCs w:val="24"/>
                <w:lang w:val="zh-CN"/>
              </w:rPr>
            </w:pPr>
            <w:r>
              <w:rPr>
                <w:rFonts w:eastAsia="Times New Roman"/>
                <w:kern w:val="0"/>
                <w:szCs w:val="24"/>
                <w:lang w:val="zh-CN"/>
              </w:rPr>
              <w:t>2019.12.24</w:t>
            </w:r>
            <w:r>
              <w:rPr>
                <w:rFonts w:hint="eastAsia" w:ascii="宋体" w:hAnsi="宋体" w:cs="宋体"/>
                <w:kern w:val="0"/>
                <w:szCs w:val="24"/>
                <w:lang w:val="zh-CN"/>
              </w:rPr>
              <w:t>备案</w:t>
            </w:r>
          </w:p>
        </w:tc>
        <w:tc>
          <w:tcPr>
            <w:tcW w:w="48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江西澳瑞</w:t>
            </w:r>
          </w:p>
        </w:tc>
        <w:tc>
          <w:tcPr>
            <w:tcW w:w="498"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首次备案</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14</w:t>
            </w:r>
          </w:p>
        </w:tc>
        <w:tc>
          <w:tcPr>
            <w:tcW w:w="781"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血细胞分析用稀释液</w:t>
            </w:r>
          </w:p>
        </w:tc>
        <w:tc>
          <w:tcPr>
            <w:tcW w:w="352"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I</w:t>
            </w:r>
            <w:r>
              <w:rPr>
                <w:rFonts w:hint="eastAsia" w:ascii="宋体" w:hAnsi="宋体" w:cs="宋体"/>
                <w:kern w:val="0"/>
                <w:sz w:val="20"/>
                <w:szCs w:val="24"/>
                <w:lang w:val="zh-CN"/>
              </w:rPr>
              <w:t>类</w:t>
            </w:r>
          </w:p>
        </w:tc>
        <w:tc>
          <w:tcPr>
            <w:tcW w:w="141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用于血细胞分析前，样本的稀释，制备细胞悬液。</w:t>
            </w:r>
          </w:p>
        </w:tc>
        <w:tc>
          <w:tcPr>
            <w:tcW w:w="615" w:type="pct"/>
          </w:tcPr>
          <w:p>
            <w:pPr>
              <w:autoSpaceDE w:val="0"/>
              <w:autoSpaceDN w:val="0"/>
              <w:adjustRightInd w:val="0"/>
              <w:jc w:val="center"/>
              <w:rPr>
                <w:rFonts w:eastAsia="Times New Roman"/>
                <w:kern w:val="0"/>
                <w:szCs w:val="24"/>
                <w:lang w:val="zh-CN"/>
              </w:rPr>
            </w:pPr>
            <w:r>
              <w:rPr>
                <w:rFonts w:eastAsia="Times New Roman"/>
                <w:kern w:val="0"/>
                <w:szCs w:val="24"/>
                <w:lang w:val="zh-CN"/>
              </w:rPr>
              <w:t>2019.12.24</w:t>
            </w:r>
            <w:r>
              <w:rPr>
                <w:rFonts w:hint="eastAsia" w:ascii="宋体" w:hAnsi="宋体" w:cs="宋体"/>
                <w:kern w:val="0"/>
                <w:szCs w:val="24"/>
                <w:lang w:val="zh-CN"/>
              </w:rPr>
              <w:t>备案</w:t>
            </w:r>
          </w:p>
        </w:tc>
        <w:tc>
          <w:tcPr>
            <w:tcW w:w="48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江西澳瑞</w:t>
            </w:r>
          </w:p>
        </w:tc>
        <w:tc>
          <w:tcPr>
            <w:tcW w:w="498"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首次备案</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15</w:t>
            </w:r>
          </w:p>
        </w:tc>
        <w:tc>
          <w:tcPr>
            <w:tcW w:w="781"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血细胞分析用稀释液</w:t>
            </w:r>
          </w:p>
        </w:tc>
        <w:tc>
          <w:tcPr>
            <w:tcW w:w="352"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I</w:t>
            </w:r>
            <w:r>
              <w:rPr>
                <w:rFonts w:hint="eastAsia" w:ascii="宋体" w:hAnsi="宋体" w:cs="宋体"/>
                <w:kern w:val="0"/>
                <w:sz w:val="20"/>
                <w:szCs w:val="24"/>
                <w:lang w:val="zh-CN"/>
              </w:rPr>
              <w:t>类</w:t>
            </w:r>
          </w:p>
        </w:tc>
        <w:tc>
          <w:tcPr>
            <w:tcW w:w="141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用于血细胞分析前，样本的稀释，制备细胞悬液。</w:t>
            </w:r>
          </w:p>
        </w:tc>
        <w:tc>
          <w:tcPr>
            <w:tcW w:w="615" w:type="pct"/>
          </w:tcPr>
          <w:p>
            <w:pPr>
              <w:autoSpaceDE w:val="0"/>
              <w:autoSpaceDN w:val="0"/>
              <w:adjustRightInd w:val="0"/>
              <w:jc w:val="center"/>
              <w:rPr>
                <w:rFonts w:eastAsia="Times New Roman"/>
                <w:kern w:val="0"/>
                <w:szCs w:val="24"/>
                <w:lang w:val="zh-CN"/>
              </w:rPr>
            </w:pPr>
            <w:r>
              <w:rPr>
                <w:rFonts w:eastAsia="Times New Roman"/>
                <w:kern w:val="0"/>
                <w:szCs w:val="24"/>
                <w:lang w:val="zh-CN"/>
              </w:rPr>
              <w:t>2019.12.24</w:t>
            </w:r>
            <w:r>
              <w:rPr>
                <w:rFonts w:hint="eastAsia" w:ascii="宋体" w:hAnsi="宋体" w:cs="宋体"/>
                <w:kern w:val="0"/>
                <w:szCs w:val="24"/>
                <w:lang w:val="zh-CN"/>
              </w:rPr>
              <w:t>备案</w:t>
            </w:r>
          </w:p>
        </w:tc>
        <w:tc>
          <w:tcPr>
            <w:tcW w:w="48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江西澳瑞</w:t>
            </w:r>
          </w:p>
        </w:tc>
        <w:tc>
          <w:tcPr>
            <w:tcW w:w="498"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首次备案</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16</w:t>
            </w:r>
          </w:p>
        </w:tc>
        <w:tc>
          <w:tcPr>
            <w:tcW w:w="781" w:type="pct"/>
          </w:tcPr>
          <w:p>
            <w:pPr>
              <w:autoSpaceDE w:val="0"/>
              <w:autoSpaceDN w:val="0"/>
              <w:adjustRightInd w:val="0"/>
              <w:jc w:val="left"/>
              <w:rPr>
                <w:rFonts w:eastAsia="Times New Roman"/>
                <w:kern w:val="0"/>
                <w:szCs w:val="24"/>
                <w:lang w:val="zh-CN"/>
              </w:rPr>
            </w:pPr>
            <w:r>
              <w:rPr>
                <w:rFonts w:eastAsia="Times New Roman"/>
                <w:kern w:val="0"/>
                <w:szCs w:val="24"/>
                <w:lang w:val="zh-CN"/>
              </w:rPr>
              <w:t>N</w:t>
            </w:r>
            <w:r>
              <w:rPr>
                <w:rFonts w:hint="eastAsia" w:ascii="宋体" w:hAnsi="宋体" w:cs="宋体"/>
                <w:kern w:val="0"/>
                <w:szCs w:val="24"/>
                <w:lang w:val="zh-CN"/>
              </w:rPr>
              <w:t>末端脑利钠肽前体检测试剂（荧光免疫层析法）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用于体外定量测定人血清、血浆或全血中的</w:t>
            </w:r>
            <w:r>
              <w:rPr>
                <w:rFonts w:eastAsia="Times New Roman"/>
                <w:kern w:val="0"/>
                <w:szCs w:val="24"/>
                <w:lang w:val="zh-CN"/>
              </w:rPr>
              <w:t>N</w:t>
            </w:r>
            <w:r>
              <w:rPr>
                <w:rFonts w:hint="eastAsia" w:ascii="宋体" w:hAnsi="宋体" w:cs="宋体"/>
                <w:kern w:val="0"/>
                <w:szCs w:val="24"/>
                <w:lang w:val="zh-CN"/>
              </w:rPr>
              <w:t>末端脑利钠肽前体（</w:t>
            </w:r>
            <w:r>
              <w:rPr>
                <w:rFonts w:eastAsia="Times New Roman"/>
                <w:kern w:val="0"/>
                <w:szCs w:val="24"/>
                <w:lang w:val="zh-CN"/>
              </w:rPr>
              <w:t>NT-proBNP</w:t>
            </w:r>
            <w:r>
              <w:rPr>
                <w:rFonts w:hint="eastAsia" w:ascii="宋体" w:hAnsi="宋体" w:cs="宋体"/>
                <w:kern w:val="0"/>
                <w:szCs w:val="24"/>
                <w:lang w:val="zh-CN"/>
              </w:rPr>
              <w:t>）浓度</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2024.01.17</w:t>
            </w:r>
          </w:p>
        </w:tc>
        <w:tc>
          <w:tcPr>
            <w:tcW w:w="48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17</w:t>
            </w:r>
          </w:p>
        </w:tc>
        <w:tc>
          <w:tcPr>
            <w:tcW w:w="781"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总抗氧化状态检测试剂盒（比色法）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用于人血清中总抗氧化状态浓度的定量测定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2024.01.17</w:t>
            </w:r>
          </w:p>
        </w:tc>
        <w:tc>
          <w:tcPr>
            <w:tcW w:w="48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18</w:t>
            </w:r>
          </w:p>
        </w:tc>
        <w:tc>
          <w:tcPr>
            <w:tcW w:w="781"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磷脂检测试剂盒（氧化酶法）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用于体外定量测定人血清或血浆中的磷脂（</w:t>
            </w:r>
            <w:r>
              <w:rPr>
                <w:rFonts w:eastAsia="Times New Roman"/>
                <w:kern w:val="0"/>
                <w:szCs w:val="24"/>
                <w:lang w:val="zh-CN"/>
              </w:rPr>
              <w:t>PLIP</w:t>
            </w:r>
            <w:r>
              <w:rPr>
                <w:rFonts w:hint="eastAsia" w:ascii="宋体" w:hAnsi="宋体" w:cs="宋体"/>
                <w:kern w:val="0"/>
                <w:szCs w:val="24"/>
                <w:lang w:val="zh-CN"/>
              </w:rPr>
              <w:t>）浓度</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2024.01.23</w:t>
            </w:r>
          </w:p>
        </w:tc>
        <w:tc>
          <w:tcPr>
            <w:tcW w:w="48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19</w:t>
            </w:r>
          </w:p>
        </w:tc>
        <w:tc>
          <w:tcPr>
            <w:tcW w:w="781"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促甲状腺素检测试剂盒（化学发光免疫分析法）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用于人血清和血浆中促甲状腺素浓度的定量测定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2024.02.18</w:t>
            </w:r>
          </w:p>
        </w:tc>
        <w:tc>
          <w:tcPr>
            <w:tcW w:w="48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20</w:t>
            </w:r>
          </w:p>
        </w:tc>
        <w:tc>
          <w:tcPr>
            <w:tcW w:w="781"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游离三碘甲状腺原氨酸检测试剂盒（化学发光免疫分析法）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用于人血清和血浆中游离三碘甲状腺原氨酸浓度的定量测定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2024.02.18</w:t>
            </w:r>
          </w:p>
        </w:tc>
        <w:tc>
          <w:tcPr>
            <w:tcW w:w="48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21</w:t>
            </w:r>
          </w:p>
        </w:tc>
        <w:tc>
          <w:tcPr>
            <w:tcW w:w="781"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甲状腺素检测试剂盒（化学发光免疫分析法）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用于人血清和血浆中甲状腺素浓度的定量测定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2024.02.18</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22</w:t>
            </w:r>
          </w:p>
        </w:tc>
        <w:tc>
          <w:tcPr>
            <w:tcW w:w="781" w:type="pct"/>
          </w:tcPr>
          <w:p>
            <w:pPr>
              <w:autoSpaceDE w:val="0"/>
              <w:autoSpaceDN w:val="0"/>
              <w:adjustRightInd w:val="0"/>
              <w:jc w:val="left"/>
              <w:rPr>
                <w:rFonts w:eastAsia="Times New Roman"/>
                <w:kern w:val="0"/>
                <w:szCs w:val="24"/>
                <w:lang w:val="zh-CN"/>
              </w:rPr>
            </w:pPr>
            <w:r>
              <w:rPr>
                <w:rFonts w:eastAsia="Times New Roman"/>
                <w:kern w:val="0"/>
                <w:szCs w:val="24"/>
                <w:lang w:val="zh-CN"/>
              </w:rPr>
              <w:t>N</w:t>
            </w:r>
            <w:r>
              <w:rPr>
                <w:rFonts w:hint="eastAsia" w:ascii="宋体" w:hAnsi="宋体" w:cs="宋体"/>
                <w:kern w:val="0"/>
                <w:szCs w:val="24"/>
                <w:lang w:val="zh-CN"/>
              </w:rPr>
              <w:t>末端脑利钠肽前体检测试剂盒（化学发光免疫分析法）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用于人血清和血浆中</w:t>
            </w:r>
            <w:r>
              <w:rPr>
                <w:rFonts w:eastAsia="Times New Roman"/>
                <w:kern w:val="0"/>
                <w:szCs w:val="24"/>
                <w:lang w:val="zh-CN"/>
              </w:rPr>
              <w:t>N</w:t>
            </w:r>
            <w:r>
              <w:rPr>
                <w:rFonts w:hint="eastAsia" w:ascii="宋体" w:hAnsi="宋体" w:cs="宋体"/>
                <w:kern w:val="0"/>
                <w:szCs w:val="24"/>
                <w:lang w:val="zh-CN"/>
              </w:rPr>
              <w:t>末端脑利钠肽前体浓度的定量测定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2024.02.18</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23</w:t>
            </w:r>
          </w:p>
        </w:tc>
        <w:tc>
          <w:tcPr>
            <w:tcW w:w="781"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游离甲状腺素检测试剂盒（化学发光免疫分析法）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用于人血清和血浆中游离甲状腺素浓度的定量测定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2024.03.11</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24</w:t>
            </w:r>
          </w:p>
        </w:tc>
        <w:tc>
          <w:tcPr>
            <w:tcW w:w="781"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三碘甲状腺原氨酸检测试剂盒（化学发光免疫分析法）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用于人血清和血浆中三碘甲状腺原氨酸</w:t>
            </w:r>
            <w:r>
              <w:rPr>
                <w:rFonts w:eastAsia="Times New Roman"/>
                <w:kern w:val="0"/>
                <w:szCs w:val="24"/>
                <w:lang w:val="zh-CN"/>
              </w:rPr>
              <w:t>(T3)</w:t>
            </w:r>
            <w:r>
              <w:rPr>
                <w:rFonts w:hint="eastAsia" w:ascii="宋体" w:hAnsi="宋体" w:cs="宋体"/>
                <w:kern w:val="0"/>
                <w:szCs w:val="24"/>
                <w:lang w:val="zh-CN"/>
              </w:rPr>
              <w:t>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2024.03.26</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25</w:t>
            </w:r>
          </w:p>
        </w:tc>
        <w:tc>
          <w:tcPr>
            <w:tcW w:w="781"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脂蛋白相关磷脂酶</w:t>
            </w:r>
            <w:r>
              <w:rPr>
                <w:rFonts w:eastAsia="Times New Roman"/>
                <w:kern w:val="0"/>
                <w:szCs w:val="24"/>
                <w:lang w:val="zh-CN"/>
              </w:rPr>
              <w:t>A2</w:t>
            </w:r>
            <w:r>
              <w:rPr>
                <w:rFonts w:hint="eastAsia" w:ascii="宋体" w:hAnsi="宋体" w:cs="宋体"/>
                <w:kern w:val="0"/>
                <w:szCs w:val="24"/>
                <w:lang w:val="zh-CN"/>
              </w:rPr>
              <w:t>检测试剂盒（连续监测法）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用于人血清或血浆中脂蛋白相关磷脂酶</w:t>
            </w:r>
            <w:r>
              <w:rPr>
                <w:rFonts w:eastAsia="Times New Roman"/>
                <w:kern w:val="0"/>
                <w:szCs w:val="24"/>
                <w:lang w:val="zh-CN"/>
              </w:rPr>
              <w:t>A2(Lp-pLA2)</w:t>
            </w:r>
            <w:r>
              <w:rPr>
                <w:rFonts w:hint="eastAsia" w:ascii="宋体" w:hAnsi="宋体" w:cs="宋体"/>
                <w:kern w:val="0"/>
                <w:szCs w:val="24"/>
                <w:lang w:val="zh-CN"/>
              </w:rPr>
              <w:t>活性的定量测定。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2024.05.09</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26</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透明质酸检测试剂盒</w:t>
            </w:r>
            <w:r>
              <w:rPr>
                <w:rFonts w:eastAsia="Times New Roman"/>
                <w:kern w:val="0"/>
                <w:szCs w:val="24"/>
                <w:lang w:val="zh-CN"/>
              </w:rPr>
              <w:t>(</w:t>
            </w:r>
            <w:r>
              <w:rPr>
                <w:rFonts w:hint="eastAsia" w:ascii="宋体" w:hAnsi="宋体" w:cs="宋体"/>
                <w:kern w:val="0"/>
                <w:szCs w:val="24"/>
                <w:lang w:val="zh-CN"/>
              </w:rPr>
              <w:t>化学发光免疫分析法</w:t>
            </w:r>
            <w:r>
              <w:rPr>
                <w:rFonts w:eastAsia="Times New Roman"/>
                <w:kern w:val="0"/>
                <w:szCs w:val="24"/>
                <w:lang w:val="zh-CN"/>
              </w:rPr>
              <w:t>)</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用于人血清中透明质酸</w:t>
            </w:r>
            <w:r>
              <w:rPr>
                <w:rFonts w:eastAsia="Times New Roman"/>
                <w:kern w:val="0"/>
                <w:szCs w:val="24"/>
                <w:lang w:val="zh-CN"/>
              </w:rPr>
              <w:t>(HA)</w:t>
            </w:r>
            <w:r>
              <w:rPr>
                <w:rFonts w:hint="eastAsia" w:ascii="宋体" w:hAnsi="宋体" w:cs="宋体"/>
                <w:kern w:val="0"/>
                <w:szCs w:val="24"/>
                <w:lang w:val="zh-CN"/>
              </w:rPr>
              <w:t>浓度的体外定量测定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2024.07.01</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27</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胰岛素检测试剂（化学发光免疫分析法）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用于人血清中胰岛素</w:t>
            </w:r>
            <w:r>
              <w:rPr>
                <w:rFonts w:eastAsia="Times New Roman"/>
                <w:kern w:val="0"/>
                <w:szCs w:val="24"/>
                <w:lang w:val="zh-CN"/>
              </w:rPr>
              <w:t>(INS)</w:t>
            </w:r>
            <w:r>
              <w:rPr>
                <w:rFonts w:hint="eastAsia" w:ascii="宋体" w:hAnsi="宋体" w:cs="宋体"/>
                <w:kern w:val="0"/>
                <w:szCs w:val="24"/>
                <w:lang w:val="zh-CN"/>
              </w:rPr>
              <w:t>浓度的体外定量测定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2024.07.11</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28</w:t>
            </w:r>
          </w:p>
        </w:tc>
        <w:tc>
          <w:tcPr>
            <w:tcW w:w="781" w:type="pct"/>
          </w:tcPr>
          <w:p>
            <w:pPr>
              <w:autoSpaceDE w:val="0"/>
              <w:autoSpaceDN w:val="0"/>
              <w:adjustRightInd w:val="0"/>
              <w:rPr>
                <w:rFonts w:eastAsia="Times New Roman"/>
                <w:kern w:val="0"/>
                <w:szCs w:val="24"/>
                <w:lang w:val="zh-CN"/>
              </w:rPr>
            </w:pPr>
            <w:r>
              <w:rPr>
                <w:rFonts w:eastAsia="Times New Roman"/>
                <w:kern w:val="0"/>
                <w:szCs w:val="24"/>
                <w:lang w:val="zh-CN"/>
              </w:rPr>
              <w:t>C</w:t>
            </w:r>
            <w:r>
              <w:rPr>
                <w:rFonts w:hint="eastAsia" w:ascii="宋体" w:hAnsi="宋体" w:cs="宋体"/>
                <w:kern w:val="0"/>
                <w:szCs w:val="24"/>
                <w:lang w:val="zh-CN"/>
              </w:rPr>
              <w:t>肽检测试剂盒</w:t>
            </w:r>
            <w:r>
              <w:rPr>
                <w:rFonts w:eastAsia="Times New Roman"/>
                <w:kern w:val="0"/>
                <w:szCs w:val="24"/>
                <w:lang w:val="zh-CN"/>
              </w:rPr>
              <w:t>(</w:t>
            </w:r>
            <w:r>
              <w:rPr>
                <w:rFonts w:hint="eastAsia" w:ascii="宋体" w:hAnsi="宋体" w:cs="宋体"/>
                <w:kern w:val="0"/>
                <w:szCs w:val="24"/>
                <w:lang w:val="zh-CN"/>
              </w:rPr>
              <w:t>化学发光免疫分析法</w:t>
            </w:r>
            <w:r>
              <w:rPr>
                <w:rFonts w:eastAsia="Times New Roman"/>
                <w:kern w:val="0"/>
                <w:szCs w:val="24"/>
                <w:lang w:val="zh-CN"/>
              </w:rPr>
              <w:t>)</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用于人血清中</w:t>
            </w:r>
            <w:r>
              <w:rPr>
                <w:rFonts w:eastAsia="Times New Roman"/>
                <w:kern w:val="0"/>
                <w:szCs w:val="24"/>
                <w:lang w:val="zh-CN"/>
              </w:rPr>
              <w:t>C</w:t>
            </w:r>
            <w:r>
              <w:rPr>
                <w:rFonts w:hint="eastAsia" w:ascii="宋体" w:hAnsi="宋体" w:cs="宋体"/>
                <w:kern w:val="0"/>
                <w:szCs w:val="24"/>
                <w:lang w:val="zh-CN"/>
              </w:rPr>
              <w:t>肽浓度的体外定量测定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2024.07.31</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29</w:t>
            </w:r>
          </w:p>
        </w:tc>
        <w:tc>
          <w:tcPr>
            <w:tcW w:w="781" w:type="pct"/>
          </w:tcPr>
          <w:p>
            <w:pPr>
              <w:autoSpaceDE w:val="0"/>
              <w:autoSpaceDN w:val="0"/>
              <w:adjustRightInd w:val="0"/>
              <w:rPr>
                <w:rFonts w:eastAsia="Times New Roman"/>
                <w:kern w:val="0"/>
                <w:szCs w:val="24"/>
                <w:lang w:val="zh-CN"/>
              </w:rPr>
            </w:pPr>
            <w:r>
              <w:rPr>
                <w:rFonts w:eastAsia="Times New Roman"/>
                <w:kern w:val="0"/>
                <w:szCs w:val="24"/>
                <w:lang w:val="zh-CN"/>
              </w:rPr>
              <w:t>C</w:t>
            </w:r>
            <w:r>
              <w:rPr>
                <w:rFonts w:hint="eastAsia" w:ascii="宋体" w:hAnsi="宋体" w:cs="宋体"/>
                <w:kern w:val="0"/>
                <w:szCs w:val="24"/>
                <w:lang w:val="zh-CN"/>
              </w:rPr>
              <w:t>肽检测试剂</w:t>
            </w:r>
            <w:r>
              <w:rPr>
                <w:rFonts w:eastAsia="Times New Roman"/>
                <w:kern w:val="0"/>
                <w:szCs w:val="24"/>
                <w:lang w:val="zh-CN"/>
              </w:rPr>
              <w:t>(</w:t>
            </w:r>
            <w:r>
              <w:rPr>
                <w:rFonts w:hint="eastAsia" w:ascii="宋体" w:hAnsi="宋体" w:cs="宋体"/>
                <w:kern w:val="0"/>
                <w:szCs w:val="24"/>
                <w:lang w:val="zh-CN"/>
              </w:rPr>
              <w:t>荧光免疫层析法</w:t>
            </w:r>
            <w:r>
              <w:rPr>
                <w:rFonts w:eastAsia="Times New Roman"/>
                <w:kern w:val="0"/>
                <w:szCs w:val="24"/>
                <w:lang w:val="zh-CN"/>
              </w:rPr>
              <w:t>)</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用于人血清、血浆或全血中</w:t>
            </w:r>
            <w:r>
              <w:rPr>
                <w:rFonts w:eastAsia="Times New Roman"/>
                <w:kern w:val="0"/>
                <w:szCs w:val="24"/>
                <w:lang w:val="zh-CN"/>
              </w:rPr>
              <w:t>C</w:t>
            </w:r>
            <w:r>
              <w:rPr>
                <w:rFonts w:hint="eastAsia" w:ascii="宋体" w:hAnsi="宋体" w:cs="宋体"/>
                <w:kern w:val="0"/>
                <w:szCs w:val="24"/>
                <w:lang w:val="zh-CN"/>
              </w:rPr>
              <w:t>肽浓度的体外定量测定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2024.07.31</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30</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胰岛素检测试剂（荧光免疫层析法）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用于人血清、血浆或全血中胰岛素浓度的定量测定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2024.10.08</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31</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抗甲状腺过氧化物酶抗体检测试剂盒（化学发光免疫分析法）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用于人血清中抗甲状腺过氧化物酶抗体</w:t>
            </w:r>
            <w:r>
              <w:rPr>
                <w:rFonts w:eastAsia="Times New Roman"/>
                <w:kern w:val="0"/>
                <w:szCs w:val="24"/>
                <w:lang w:val="zh-CN"/>
              </w:rPr>
              <w:t>(Anti-TPO)</w:t>
            </w:r>
            <w:r>
              <w:rPr>
                <w:rFonts w:hint="eastAsia" w:ascii="宋体" w:hAnsi="宋体" w:cs="宋体"/>
                <w:kern w:val="0"/>
                <w:szCs w:val="24"/>
                <w:lang w:val="zh-CN"/>
              </w:rPr>
              <w:t>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2024.10.27</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32</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甲状腺球蛋白检测试剂盒（化学发光免疫分析法）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用于人血清中甲状腺球蛋白</w:t>
            </w:r>
            <w:r>
              <w:rPr>
                <w:rFonts w:eastAsia="Times New Roman"/>
                <w:kern w:val="0"/>
                <w:szCs w:val="24"/>
                <w:lang w:val="zh-CN"/>
              </w:rPr>
              <w:t>(TG)</w:t>
            </w:r>
            <w:r>
              <w:rPr>
                <w:rFonts w:hint="eastAsia" w:ascii="宋体" w:hAnsi="宋体" w:cs="宋体"/>
                <w:kern w:val="0"/>
                <w:szCs w:val="24"/>
                <w:lang w:val="zh-CN"/>
              </w:rPr>
              <w:t>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2024.10.27</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33</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甲状腺球蛋白抗体检测试剂盒（化学发光免疫分析法）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用于人血清和血浆中甲状腺球蛋白抗体</w:t>
            </w:r>
            <w:r>
              <w:rPr>
                <w:rFonts w:eastAsia="Times New Roman"/>
                <w:kern w:val="0"/>
                <w:szCs w:val="24"/>
                <w:lang w:val="zh-CN"/>
              </w:rPr>
              <w:t>(TGA)</w:t>
            </w:r>
            <w:r>
              <w:rPr>
                <w:rFonts w:hint="eastAsia" w:ascii="宋体" w:hAnsi="宋体" w:cs="宋体"/>
                <w:kern w:val="0"/>
                <w:szCs w:val="24"/>
                <w:lang w:val="zh-CN"/>
              </w:rPr>
              <w:t>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2024.10.27</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34</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超敏肌钙蛋白</w:t>
            </w:r>
            <w:r>
              <w:rPr>
                <w:rFonts w:eastAsia="Times New Roman"/>
                <w:kern w:val="0"/>
                <w:szCs w:val="24"/>
                <w:lang w:val="zh-CN"/>
              </w:rPr>
              <w:t>I</w:t>
            </w:r>
            <w:r>
              <w:rPr>
                <w:rFonts w:hint="eastAsia" w:ascii="宋体" w:hAnsi="宋体" w:cs="宋体"/>
                <w:kern w:val="0"/>
                <w:szCs w:val="24"/>
                <w:lang w:val="zh-CN"/>
              </w:rPr>
              <w:t>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用于人血清和血浆中肌钙蛋白</w:t>
            </w:r>
            <w:r>
              <w:rPr>
                <w:rFonts w:eastAsia="Times New Roman"/>
                <w:kern w:val="0"/>
                <w:szCs w:val="24"/>
                <w:lang w:val="zh-CN"/>
              </w:rPr>
              <w:t>I(Hs-cTnI)</w:t>
            </w:r>
            <w:r>
              <w:rPr>
                <w:rFonts w:hint="eastAsia" w:ascii="宋体" w:hAnsi="宋体" w:cs="宋体"/>
                <w:kern w:val="0"/>
                <w:szCs w:val="24"/>
                <w:lang w:val="zh-CN"/>
              </w:rPr>
              <w:t>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2024.10.27</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35</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睾酮检测试剂盒（化学发光免疫分析法）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用于人血清和血浆中睾酮</w:t>
            </w:r>
            <w:r>
              <w:rPr>
                <w:rFonts w:eastAsia="Times New Roman"/>
                <w:kern w:val="0"/>
                <w:szCs w:val="24"/>
                <w:lang w:val="zh-CN"/>
              </w:rPr>
              <w:t>(TEST)</w:t>
            </w:r>
            <w:r>
              <w:rPr>
                <w:rFonts w:hint="eastAsia" w:ascii="宋体" w:hAnsi="宋体" w:cs="宋体"/>
                <w:kern w:val="0"/>
                <w:szCs w:val="24"/>
                <w:lang w:val="zh-CN"/>
              </w:rPr>
              <w:t>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2024.11.28</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36</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促肾上腺皮质激素检测试剂盒（化学发光免疫分析法）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用于人血浆中促肾上腺皮质激素</w:t>
            </w:r>
            <w:r>
              <w:rPr>
                <w:rFonts w:eastAsia="Times New Roman"/>
                <w:kern w:val="0"/>
                <w:szCs w:val="24"/>
                <w:lang w:val="zh-CN"/>
              </w:rPr>
              <w:t>(ACTH)</w:t>
            </w:r>
            <w:r>
              <w:rPr>
                <w:rFonts w:hint="eastAsia" w:ascii="宋体" w:hAnsi="宋体" w:cs="宋体"/>
                <w:kern w:val="0"/>
                <w:szCs w:val="24"/>
                <w:lang w:val="zh-CN"/>
              </w:rPr>
              <w:t>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2024.11.28</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37</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生长激素检测试剂盒（化学发光免疫分析法）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用于人血清中生长激素</w:t>
            </w:r>
            <w:r>
              <w:rPr>
                <w:rFonts w:eastAsia="Times New Roman"/>
                <w:kern w:val="0"/>
                <w:szCs w:val="24"/>
                <w:lang w:val="zh-CN"/>
              </w:rPr>
              <w:t>(GH)</w:t>
            </w:r>
            <w:r>
              <w:rPr>
                <w:rFonts w:hint="eastAsia" w:ascii="宋体" w:hAnsi="宋体" w:cs="宋体"/>
                <w:kern w:val="0"/>
                <w:szCs w:val="24"/>
                <w:lang w:val="zh-CN"/>
              </w:rPr>
              <w:t>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2024.11.28</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38</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泌乳素检测试剂盒（化学发光免疫分析法）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用于人血清和血浆中泌乳素</w:t>
            </w:r>
            <w:r>
              <w:rPr>
                <w:rFonts w:eastAsia="Times New Roman"/>
                <w:kern w:val="0"/>
                <w:szCs w:val="24"/>
                <w:lang w:val="zh-CN"/>
              </w:rPr>
              <w:t>(PRL)</w:t>
            </w:r>
            <w:r>
              <w:rPr>
                <w:rFonts w:hint="eastAsia" w:ascii="宋体" w:hAnsi="宋体" w:cs="宋体"/>
                <w:kern w:val="0"/>
                <w:szCs w:val="24"/>
                <w:lang w:val="zh-CN"/>
              </w:rPr>
              <w:t>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2024.11.28</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39</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促卵泡生成激素检测试剂盒（化学发光免疫分析法）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用于人血清中促卵泡生成激素（</w:t>
            </w:r>
            <w:r>
              <w:rPr>
                <w:rFonts w:eastAsia="Times New Roman"/>
                <w:kern w:val="0"/>
                <w:szCs w:val="24"/>
                <w:lang w:val="zh-CN"/>
              </w:rPr>
              <w:t>FSH</w:t>
            </w:r>
            <w:r>
              <w:rPr>
                <w:rFonts w:hint="eastAsia" w:ascii="宋体" w:hAnsi="宋体" w:cs="宋体"/>
                <w:kern w:val="0"/>
                <w:szCs w:val="24"/>
                <w:lang w:val="zh-CN"/>
              </w:rPr>
              <w:t>）浓度的定量测定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2024.12.26</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40</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人绒毛膜促性腺激素检测试剂盒（化学发光免疫分析法</w:t>
            </w:r>
            <w:r>
              <w:rPr>
                <w:rFonts w:eastAsia="Times New Roman"/>
                <w:kern w:val="0"/>
                <w:szCs w:val="24"/>
                <w:lang w:val="zh-CN"/>
              </w:rPr>
              <w:t>)</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用于人血清和血浆中人绒毛膜促性腺激素</w:t>
            </w:r>
            <w:r>
              <w:rPr>
                <w:rFonts w:eastAsia="Times New Roman"/>
                <w:kern w:val="0"/>
                <w:szCs w:val="24"/>
                <w:lang w:val="zh-CN"/>
              </w:rPr>
              <w:t>(HCG)</w:t>
            </w:r>
            <w:r>
              <w:rPr>
                <w:rFonts w:hint="eastAsia" w:ascii="宋体" w:hAnsi="宋体" w:cs="宋体"/>
                <w:kern w:val="0"/>
                <w:szCs w:val="24"/>
                <w:lang w:val="zh-CN"/>
              </w:rPr>
              <w:t>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2024.12.26</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41</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醛固酮检测试剂盒（化学发光免疫分析法）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用于人血清和血浆中醛固酮</w:t>
            </w:r>
            <w:r>
              <w:rPr>
                <w:rFonts w:eastAsia="Times New Roman"/>
                <w:kern w:val="0"/>
                <w:szCs w:val="24"/>
                <w:lang w:val="zh-CN"/>
              </w:rPr>
              <w:t>(ALD)</w:t>
            </w:r>
            <w:r>
              <w:rPr>
                <w:rFonts w:hint="eastAsia" w:ascii="宋体" w:hAnsi="宋体" w:cs="宋体"/>
                <w:kern w:val="0"/>
                <w:szCs w:val="24"/>
                <w:lang w:val="zh-CN"/>
              </w:rPr>
              <w:t>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2024.12.26</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42</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黄体生成素检测试剂盒（化学发光免疫分析法）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用于人血清和血浆中黄体生成素</w:t>
            </w:r>
            <w:r>
              <w:rPr>
                <w:rFonts w:eastAsia="Times New Roman"/>
                <w:kern w:val="0"/>
                <w:szCs w:val="24"/>
                <w:lang w:val="zh-CN"/>
              </w:rPr>
              <w:t>(LH)</w:t>
            </w:r>
            <w:r>
              <w:rPr>
                <w:rFonts w:hint="eastAsia" w:ascii="宋体" w:hAnsi="宋体" w:cs="宋体"/>
                <w:kern w:val="0"/>
                <w:szCs w:val="24"/>
                <w:lang w:val="zh-CN"/>
              </w:rPr>
              <w:t>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2024.12.26</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43</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层粘连蛋白检测试剂盒（化学发光免疫分析法</w:t>
            </w:r>
            <w:r>
              <w:rPr>
                <w:rFonts w:eastAsia="Times New Roman"/>
                <w:kern w:val="0"/>
                <w:szCs w:val="24"/>
                <w:lang w:val="zh-CN"/>
              </w:rPr>
              <w:t>)</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用于人血清中层粘连蛋白</w:t>
            </w:r>
            <w:r>
              <w:rPr>
                <w:rFonts w:eastAsia="Times New Roman"/>
                <w:kern w:val="0"/>
                <w:szCs w:val="24"/>
                <w:lang w:val="zh-CN"/>
              </w:rPr>
              <w:t>(LN)</w:t>
            </w:r>
            <w:r>
              <w:rPr>
                <w:rFonts w:hint="eastAsia" w:ascii="宋体" w:hAnsi="宋体" w:cs="宋体"/>
                <w:kern w:val="0"/>
                <w:szCs w:val="24"/>
                <w:lang w:val="zh-CN"/>
              </w:rPr>
              <w:t>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2024.12.26</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44</w:t>
            </w:r>
          </w:p>
        </w:tc>
        <w:tc>
          <w:tcPr>
            <w:tcW w:w="781" w:type="pct"/>
          </w:tcPr>
          <w:p>
            <w:pPr>
              <w:autoSpaceDE w:val="0"/>
              <w:autoSpaceDN w:val="0"/>
              <w:adjustRightInd w:val="0"/>
              <w:rPr>
                <w:rFonts w:eastAsia="Times New Roman"/>
                <w:kern w:val="0"/>
                <w:szCs w:val="24"/>
                <w:lang w:val="zh-CN"/>
              </w:rPr>
            </w:pPr>
            <w:r>
              <w:rPr>
                <w:rFonts w:eastAsia="Times New Roman"/>
                <w:kern w:val="0"/>
                <w:szCs w:val="24"/>
                <w:lang w:val="zh-CN"/>
              </w:rPr>
              <w:t>IV</w:t>
            </w:r>
            <w:r>
              <w:rPr>
                <w:rFonts w:hint="eastAsia" w:ascii="宋体" w:hAnsi="宋体" w:cs="宋体"/>
                <w:kern w:val="0"/>
                <w:szCs w:val="24"/>
                <w:lang w:val="zh-CN"/>
              </w:rPr>
              <w:t>型胶原检测试剂盒（化学发光免疫分析法）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用于人血清中</w:t>
            </w:r>
            <w:r>
              <w:rPr>
                <w:rFonts w:eastAsia="Times New Roman"/>
                <w:kern w:val="0"/>
                <w:szCs w:val="24"/>
                <w:lang w:val="zh-CN"/>
              </w:rPr>
              <w:t>Ⅳ</w:t>
            </w:r>
            <w:r>
              <w:rPr>
                <w:rFonts w:hint="eastAsia" w:ascii="宋体" w:hAnsi="宋体" w:cs="宋体"/>
                <w:kern w:val="0"/>
                <w:szCs w:val="24"/>
                <w:lang w:val="zh-CN"/>
              </w:rPr>
              <w:t>型胶原</w:t>
            </w:r>
            <w:r>
              <w:rPr>
                <w:rFonts w:eastAsia="Times New Roman"/>
                <w:kern w:val="0"/>
                <w:szCs w:val="24"/>
                <w:lang w:val="zh-CN"/>
              </w:rPr>
              <w:t>(CⅣ)</w:t>
            </w:r>
            <w:r>
              <w:rPr>
                <w:rFonts w:hint="eastAsia" w:ascii="宋体" w:hAnsi="宋体" w:cs="宋体"/>
                <w:kern w:val="0"/>
                <w:szCs w:val="24"/>
                <w:lang w:val="zh-CN"/>
              </w:rPr>
              <w:t>浓度的定量测定</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2024.12.26</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美康生物</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45</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全自动生化分析仪</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供医疗机构对人体体液样品中成分的定量检测。</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2024.07.04</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美康盛德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46</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全自动生化分析仪</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供医疗机构对人体体液样品中成分的定量检测。</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2024.08.20</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美康盛德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47</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特定蛋白分析仪</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产品与配套的检测试剂共同使用，用于定量测定人体血清、血浆、全血样本中的特定蛋白</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2024.08.26</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美康盛德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48</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全自动五分类血液细胞分析仪</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供临床检验中作血液细胞计数、白细胞五分类、血红蛋白浓度和</w:t>
            </w:r>
            <w:r>
              <w:rPr>
                <w:rFonts w:eastAsia="Times New Roman"/>
                <w:kern w:val="0"/>
                <w:szCs w:val="24"/>
                <w:lang w:val="zh-CN"/>
              </w:rPr>
              <w:t>C</w:t>
            </w:r>
            <w:r>
              <w:rPr>
                <w:rFonts w:hint="eastAsia" w:ascii="宋体" w:hAnsi="宋体" w:cs="宋体"/>
                <w:kern w:val="0"/>
                <w:szCs w:val="24"/>
                <w:lang w:val="zh-CN"/>
              </w:rPr>
              <w:t>反应蛋白浓度测量。</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2024.12.15</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美康盛德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49</w:t>
            </w:r>
          </w:p>
        </w:tc>
        <w:tc>
          <w:tcPr>
            <w:tcW w:w="781"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肝肾糖脂生化十四项测定试剂盒（微流控干化学法）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与本公司生产的全自动干式生化分析仪配套使用</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2024.04.18</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江西美康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50</w:t>
            </w:r>
          </w:p>
        </w:tc>
        <w:tc>
          <w:tcPr>
            <w:tcW w:w="781"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肌酸激酶同工酶</w:t>
            </w:r>
            <w:r>
              <w:rPr>
                <w:rFonts w:eastAsia="Times New Roman"/>
                <w:kern w:val="0"/>
                <w:szCs w:val="24"/>
                <w:lang w:val="zh-CN"/>
              </w:rPr>
              <w:t>(CK-MB)</w:t>
            </w:r>
            <w:r>
              <w:rPr>
                <w:rFonts w:hint="eastAsia" w:ascii="宋体" w:hAnsi="宋体" w:cs="宋体"/>
                <w:kern w:val="0"/>
                <w:szCs w:val="24"/>
                <w:lang w:val="zh-CN"/>
              </w:rPr>
              <w:t>测定试剂盒（微流控干化学法）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与本公司生产的全自动干式生化分析仪配套使用</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2024.04.18</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江西美康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51</w:t>
            </w:r>
          </w:p>
        </w:tc>
        <w:tc>
          <w:tcPr>
            <w:tcW w:w="781"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糖脂肾生化七项测定试剂盒（微流控干化学法）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与本公司生产的全自动干式生化分析仪配套使用</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2024.04.18</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江西美康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52</w:t>
            </w:r>
          </w:p>
        </w:tc>
        <w:tc>
          <w:tcPr>
            <w:tcW w:w="781"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心脑血管生化三项测定试剂盒（微流控干化学法）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与本公司生产的全自动干式生化分析仪配套使用</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2024.04.18</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江西美康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53</w:t>
            </w:r>
          </w:p>
        </w:tc>
        <w:tc>
          <w:tcPr>
            <w:tcW w:w="781"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心脑血管综合六项测定试剂盒（微流控干化学法）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与本公司生产的全自动干式生化分析仪配套使用</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2024.04.18</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江西美康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54</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血脂分型检测试剂盒（连续密度扫描法）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用于人血清或血浆中脂蛋白主要组分、脂蛋白亚组份的体外定量测定，以及低密度脂蛋白类型的分型。</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2024.07.15</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江西美康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55</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血脂分型检测仪</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与配套的检测试剂共同使用，在临床上用于对来源于人体的血清、血浆样品中的血脂进行定量检测</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2024.07.15</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江西美康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56</w:t>
            </w:r>
          </w:p>
        </w:tc>
        <w:tc>
          <w:tcPr>
            <w:tcW w:w="781" w:type="pct"/>
          </w:tcPr>
          <w:p>
            <w:pPr>
              <w:autoSpaceDE w:val="0"/>
              <w:autoSpaceDN w:val="0"/>
              <w:adjustRightInd w:val="0"/>
              <w:rPr>
                <w:rFonts w:eastAsia="Times New Roman"/>
                <w:kern w:val="0"/>
                <w:szCs w:val="24"/>
                <w:lang w:val="zh-CN"/>
              </w:rPr>
            </w:pPr>
            <w:r>
              <w:rPr>
                <w:rFonts w:eastAsia="Times New Roman"/>
                <w:kern w:val="0"/>
                <w:szCs w:val="24"/>
                <w:lang w:val="zh-CN"/>
              </w:rPr>
              <w:t>25-</w:t>
            </w:r>
            <w:r>
              <w:rPr>
                <w:rFonts w:hint="eastAsia" w:ascii="宋体" w:hAnsi="宋体" w:cs="宋体"/>
                <w:kern w:val="0"/>
                <w:szCs w:val="24"/>
                <w:lang w:val="zh-CN"/>
              </w:rPr>
              <w:t>羟基维生素</w:t>
            </w:r>
            <w:r>
              <w:rPr>
                <w:rFonts w:eastAsia="Times New Roman"/>
                <w:kern w:val="0"/>
                <w:szCs w:val="24"/>
                <w:lang w:val="zh-CN"/>
              </w:rPr>
              <w:t>D</w:t>
            </w:r>
            <w:r>
              <w:rPr>
                <w:rFonts w:hint="eastAsia" w:ascii="宋体" w:hAnsi="宋体" w:cs="宋体"/>
                <w:kern w:val="0"/>
                <w:szCs w:val="24"/>
                <w:lang w:val="zh-CN"/>
              </w:rPr>
              <w:t>检测试剂盒（液相色谱</w:t>
            </w:r>
            <w:r>
              <w:rPr>
                <w:rFonts w:eastAsia="Times New Roman"/>
                <w:kern w:val="0"/>
                <w:szCs w:val="24"/>
                <w:lang w:val="zh-CN"/>
              </w:rPr>
              <w:t>-</w:t>
            </w:r>
            <w:r>
              <w:rPr>
                <w:rFonts w:hint="eastAsia" w:ascii="宋体" w:hAnsi="宋体" w:cs="宋体"/>
                <w:kern w:val="0"/>
                <w:szCs w:val="24"/>
                <w:lang w:val="zh-CN"/>
              </w:rPr>
              <w:t>串联质谱法）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用于人血清</w:t>
            </w:r>
            <w:r>
              <w:rPr>
                <w:rFonts w:eastAsia="Times New Roman"/>
                <w:kern w:val="0"/>
                <w:szCs w:val="24"/>
                <w:lang w:val="zh-CN"/>
              </w:rPr>
              <w:t>25</w:t>
            </w:r>
            <w:r>
              <w:rPr>
                <w:rFonts w:hint="eastAsia" w:ascii="宋体" w:hAnsi="宋体" w:cs="宋体"/>
                <w:kern w:val="0"/>
                <w:szCs w:val="24"/>
                <w:lang w:val="zh-CN"/>
              </w:rPr>
              <w:t>（</w:t>
            </w:r>
            <w:r>
              <w:rPr>
                <w:rFonts w:eastAsia="Times New Roman"/>
                <w:kern w:val="0"/>
                <w:szCs w:val="24"/>
                <w:lang w:val="zh-CN"/>
              </w:rPr>
              <w:t>OH)D3</w:t>
            </w:r>
            <w:r>
              <w:rPr>
                <w:rFonts w:hint="eastAsia" w:ascii="宋体" w:hAnsi="宋体" w:cs="宋体"/>
                <w:kern w:val="0"/>
                <w:szCs w:val="24"/>
                <w:lang w:val="zh-CN"/>
              </w:rPr>
              <w:t>和</w:t>
            </w:r>
            <w:r>
              <w:rPr>
                <w:rFonts w:eastAsia="Times New Roman"/>
                <w:kern w:val="0"/>
                <w:szCs w:val="24"/>
                <w:lang w:val="zh-CN"/>
              </w:rPr>
              <w:t>25</w:t>
            </w:r>
            <w:r>
              <w:rPr>
                <w:rFonts w:hint="eastAsia" w:ascii="宋体" w:hAnsi="宋体" w:cs="宋体"/>
                <w:kern w:val="0"/>
                <w:szCs w:val="24"/>
                <w:lang w:val="zh-CN"/>
              </w:rPr>
              <w:t>（</w:t>
            </w:r>
            <w:r>
              <w:rPr>
                <w:rFonts w:eastAsia="Times New Roman"/>
                <w:kern w:val="0"/>
                <w:szCs w:val="24"/>
                <w:lang w:val="zh-CN"/>
              </w:rPr>
              <w:t>OH)D2</w:t>
            </w:r>
            <w:r>
              <w:rPr>
                <w:rFonts w:hint="eastAsia" w:ascii="宋体" w:hAnsi="宋体" w:cs="宋体"/>
                <w:kern w:val="0"/>
                <w:szCs w:val="24"/>
                <w:lang w:val="zh-CN"/>
              </w:rPr>
              <w:t>浓度的体外定量检测。</w:t>
            </w:r>
          </w:p>
        </w:tc>
        <w:tc>
          <w:tcPr>
            <w:tcW w:w="615"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有效期至</w:t>
            </w:r>
            <w:r>
              <w:rPr>
                <w:rFonts w:eastAsia="Times New Roman"/>
                <w:kern w:val="0"/>
                <w:sz w:val="20"/>
                <w:szCs w:val="24"/>
                <w:lang w:val="zh-CN"/>
              </w:rPr>
              <w:t>2025.01.07</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江西美康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67</w:t>
            </w:r>
          </w:p>
        </w:tc>
        <w:tc>
          <w:tcPr>
            <w:tcW w:w="781" w:type="pct"/>
          </w:tcPr>
          <w:p>
            <w:pPr>
              <w:autoSpaceDE w:val="0"/>
              <w:autoSpaceDN w:val="0"/>
              <w:adjustRightInd w:val="0"/>
              <w:rPr>
                <w:rFonts w:eastAsia="Times New Roman"/>
                <w:kern w:val="0"/>
                <w:szCs w:val="24"/>
                <w:lang w:val="zh-CN"/>
              </w:rPr>
            </w:pPr>
            <w:r>
              <w:rPr>
                <w:rFonts w:eastAsia="Times New Roman"/>
                <w:kern w:val="0"/>
                <w:szCs w:val="24"/>
                <w:lang w:val="zh-CN"/>
              </w:rPr>
              <w:t>25-</w:t>
            </w:r>
            <w:r>
              <w:rPr>
                <w:rFonts w:hint="eastAsia" w:ascii="宋体" w:hAnsi="宋体" w:cs="宋体"/>
                <w:kern w:val="0"/>
                <w:szCs w:val="24"/>
                <w:lang w:val="zh-CN"/>
              </w:rPr>
              <w:t>羟基维生素</w:t>
            </w:r>
            <w:r>
              <w:rPr>
                <w:rFonts w:eastAsia="Times New Roman"/>
                <w:kern w:val="0"/>
                <w:szCs w:val="24"/>
                <w:lang w:val="zh-CN"/>
              </w:rPr>
              <w:t>D3/D2</w:t>
            </w:r>
            <w:r>
              <w:rPr>
                <w:rFonts w:hint="eastAsia" w:ascii="宋体" w:hAnsi="宋体" w:cs="宋体"/>
                <w:kern w:val="0"/>
                <w:szCs w:val="24"/>
                <w:lang w:val="zh-CN"/>
              </w:rPr>
              <w:t>质控品</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用于人血清</w:t>
            </w:r>
            <w:r>
              <w:rPr>
                <w:rFonts w:eastAsia="Times New Roman"/>
                <w:kern w:val="0"/>
                <w:szCs w:val="24"/>
                <w:lang w:val="zh-CN"/>
              </w:rPr>
              <w:t>25</w:t>
            </w:r>
            <w:r>
              <w:rPr>
                <w:rFonts w:hint="eastAsia" w:ascii="宋体" w:hAnsi="宋体" w:cs="宋体"/>
                <w:kern w:val="0"/>
                <w:szCs w:val="24"/>
                <w:lang w:val="zh-CN"/>
              </w:rPr>
              <w:t>（</w:t>
            </w:r>
            <w:r>
              <w:rPr>
                <w:rFonts w:eastAsia="Times New Roman"/>
                <w:kern w:val="0"/>
                <w:szCs w:val="24"/>
                <w:lang w:val="zh-CN"/>
              </w:rPr>
              <w:t>OH)D3</w:t>
            </w:r>
            <w:r>
              <w:rPr>
                <w:rFonts w:hint="eastAsia" w:ascii="宋体" w:hAnsi="宋体" w:cs="宋体"/>
                <w:kern w:val="0"/>
                <w:szCs w:val="24"/>
                <w:lang w:val="zh-CN"/>
              </w:rPr>
              <w:t>和</w:t>
            </w:r>
            <w:r>
              <w:rPr>
                <w:rFonts w:eastAsia="Times New Roman"/>
                <w:kern w:val="0"/>
                <w:szCs w:val="24"/>
                <w:lang w:val="zh-CN"/>
              </w:rPr>
              <w:t>25</w:t>
            </w:r>
            <w:r>
              <w:rPr>
                <w:rFonts w:hint="eastAsia" w:ascii="宋体" w:hAnsi="宋体" w:cs="宋体"/>
                <w:kern w:val="0"/>
                <w:szCs w:val="24"/>
                <w:lang w:val="zh-CN"/>
              </w:rPr>
              <w:t>（</w:t>
            </w:r>
            <w:r>
              <w:rPr>
                <w:rFonts w:eastAsia="Times New Roman"/>
                <w:kern w:val="0"/>
                <w:szCs w:val="24"/>
                <w:lang w:val="zh-CN"/>
              </w:rPr>
              <w:t>OH)D2</w:t>
            </w:r>
            <w:r>
              <w:rPr>
                <w:rFonts w:hint="eastAsia" w:ascii="宋体" w:hAnsi="宋体" w:cs="宋体"/>
                <w:kern w:val="0"/>
                <w:szCs w:val="24"/>
                <w:lang w:val="zh-CN"/>
              </w:rPr>
              <w:t>浓度的体外定量测定时的质量控制。</w:t>
            </w:r>
          </w:p>
        </w:tc>
        <w:tc>
          <w:tcPr>
            <w:tcW w:w="615"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有效期至</w:t>
            </w:r>
            <w:r>
              <w:rPr>
                <w:rFonts w:eastAsia="Times New Roman"/>
                <w:kern w:val="0"/>
                <w:sz w:val="20"/>
                <w:szCs w:val="24"/>
                <w:lang w:val="zh-CN"/>
              </w:rPr>
              <w:t>2025.01.07</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江西美康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58</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三种免疫抑制剂检测试剂盒（液相色谱</w:t>
            </w:r>
            <w:r>
              <w:rPr>
                <w:rFonts w:eastAsia="Times New Roman"/>
                <w:kern w:val="0"/>
                <w:szCs w:val="24"/>
                <w:lang w:val="zh-CN"/>
              </w:rPr>
              <w:t>-</w:t>
            </w:r>
            <w:r>
              <w:rPr>
                <w:rFonts w:hint="eastAsia" w:ascii="宋体" w:hAnsi="宋体" w:cs="宋体"/>
                <w:kern w:val="0"/>
                <w:szCs w:val="24"/>
                <w:lang w:val="zh-CN"/>
              </w:rPr>
              <w:t>串联质谱法）</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用于人全血样本中他克莫司、雷帕霉素和环孢素</w:t>
            </w:r>
            <w:r>
              <w:rPr>
                <w:rFonts w:eastAsia="Times New Roman"/>
                <w:kern w:val="0"/>
                <w:szCs w:val="24"/>
                <w:lang w:val="zh-CN"/>
              </w:rPr>
              <w:t>A</w:t>
            </w:r>
            <w:r>
              <w:rPr>
                <w:rFonts w:hint="eastAsia" w:ascii="宋体" w:hAnsi="宋体" w:cs="宋体"/>
                <w:kern w:val="0"/>
                <w:szCs w:val="24"/>
                <w:lang w:val="zh-CN"/>
              </w:rPr>
              <w:t>浓度的体外定量检测，可适用于临床监测患者他克莫司、雷帕霉素和环孢素</w:t>
            </w:r>
            <w:r>
              <w:rPr>
                <w:rFonts w:eastAsia="Times New Roman"/>
                <w:kern w:val="0"/>
                <w:szCs w:val="24"/>
                <w:lang w:val="zh-CN"/>
              </w:rPr>
              <w:t>A</w:t>
            </w:r>
            <w:r>
              <w:rPr>
                <w:rFonts w:hint="eastAsia" w:ascii="宋体" w:hAnsi="宋体" w:cs="宋体"/>
                <w:kern w:val="0"/>
                <w:szCs w:val="24"/>
                <w:lang w:val="zh-CN"/>
              </w:rPr>
              <w:t>血药浓度。</w:t>
            </w:r>
          </w:p>
        </w:tc>
        <w:tc>
          <w:tcPr>
            <w:tcW w:w="615"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有效期至</w:t>
            </w:r>
            <w:r>
              <w:rPr>
                <w:rFonts w:eastAsia="Times New Roman"/>
                <w:kern w:val="0"/>
                <w:sz w:val="20"/>
                <w:szCs w:val="24"/>
                <w:lang w:val="zh-CN"/>
              </w:rPr>
              <w:t>2025.01.07</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江西美康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59</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免疫抑制剂质控品</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用于人全血样本中他克莫司、雷帕霉素和环孢素</w:t>
            </w:r>
            <w:r>
              <w:rPr>
                <w:rFonts w:eastAsia="Times New Roman"/>
                <w:kern w:val="0"/>
                <w:szCs w:val="24"/>
                <w:lang w:val="zh-CN"/>
              </w:rPr>
              <w:t>A</w:t>
            </w:r>
            <w:r>
              <w:rPr>
                <w:rFonts w:hint="eastAsia" w:ascii="宋体" w:hAnsi="宋体" w:cs="宋体"/>
                <w:kern w:val="0"/>
                <w:szCs w:val="24"/>
                <w:lang w:val="zh-CN"/>
              </w:rPr>
              <w:t>浓度的定量测定时的质量控制。</w:t>
            </w:r>
          </w:p>
        </w:tc>
        <w:tc>
          <w:tcPr>
            <w:tcW w:w="615"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有效期至</w:t>
            </w:r>
            <w:r>
              <w:rPr>
                <w:rFonts w:eastAsia="Times New Roman"/>
                <w:kern w:val="0"/>
                <w:sz w:val="20"/>
                <w:szCs w:val="24"/>
                <w:lang w:val="zh-CN"/>
              </w:rPr>
              <w:t>2025.01.07</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江西美康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60</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干式化学分析仪</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与本公司生产的基于干化学法的试剂条配套使用，用于人体中全血、血清、血浆中特定成分的定量检测。</w:t>
            </w:r>
          </w:p>
        </w:tc>
        <w:tc>
          <w:tcPr>
            <w:tcW w:w="615" w:type="pct"/>
          </w:tcPr>
          <w:p>
            <w:pPr>
              <w:autoSpaceDE w:val="0"/>
              <w:autoSpaceDN w:val="0"/>
              <w:adjustRightInd w:val="0"/>
              <w:rPr>
                <w:rFonts w:eastAsia="Times New Roman"/>
                <w:kern w:val="0"/>
                <w:sz w:val="20"/>
                <w:szCs w:val="24"/>
                <w:lang w:val="zh-CN"/>
              </w:rPr>
            </w:pPr>
            <w:r>
              <w:rPr>
                <w:rFonts w:hint="eastAsia" w:ascii="宋体" w:hAnsi="宋体" w:cs="宋体"/>
                <w:kern w:val="0"/>
                <w:sz w:val="20"/>
                <w:szCs w:val="24"/>
                <w:lang w:val="zh-CN"/>
              </w:rPr>
              <w:t>有效期至</w:t>
            </w:r>
            <w:r>
              <w:rPr>
                <w:rFonts w:eastAsia="Times New Roman"/>
                <w:kern w:val="0"/>
                <w:sz w:val="20"/>
                <w:szCs w:val="24"/>
                <w:lang w:val="zh-CN"/>
              </w:rPr>
              <w:t>2025.02.03</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江西美康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61</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干式化学分析仪</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与本公司生产的基于干化学法的试剂条配套使用，用于人体中全血、血清、血浆中特定成分的定量检测。</w:t>
            </w:r>
          </w:p>
        </w:tc>
        <w:tc>
          <w:tcPr>
            <w:tcW w:w="615" w:type="pct"/>
          </w:tcPr>
          <w:p>
            <w:pPr>
              <w:autoSpaceDE w:val="0"/>
              <w:autoSpaceDN w:val="0"/>
              <w:adjustRightInd w:val="0"/>
              <w:rPr>
                <w:rFonts w:eastAsia="Times New Roman"/>
                <w:kern w:val="0"/>
                <w:sz w:val="20"/>
                <w:szCs w:val="24"/>
                <w:lang w:val="zh-CN"/>
              </w:rPr>
            </w:pPr>
            <w:r>
              <w:rPr>
                <w:rFonts w:hint="eastAsia" w:ascii="宋体" w:hAnsi="宋体" w:cs="宋体"/>
                <w:kern w:val="0"/>
                <w:sz w:val="20"/>
                <w:szCs w:val="24"/>
                <w:lang w:val="zh-CN"/>
              </w:rPr>
              <w:t>有效期至</w:t>
            </w:r>
            <w:r>
              <w:rPr>
                <w:rFonts w:eastAsia="Times New Roman"/>
                <w:kern w:val="0"/>
                <w:sz w:val="20"/>
                <w:szCs w:val="24"/>
                <w:lang w:val="zh-CN"/>
              </w:rPr>
              <w:t>2025.02.03</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江西美康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62</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糖化血红蛋白分析仪</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与本公司生产的糖化血红蛋白测试卡配合使用，用于人体全血样本中糖化血红蛋白的定量检测。</w:t>
            </w:r>
          </w:p>
        </w:tc>
        <w:tc>
          <w:tcPr>
            <w:tcW w:w="615" w:type="pct"/>
          </w:tcPr>
          <w:p>
            <w:pPr>
              <w:autoSpaceDE w:val="0"/>
              <w:autoSpaceDN w:val="0"/>
              <w:adjustRightInd w:val="0"/>
              <w:rPr>
                <w:rFonts w:eastAsia="Times New Roman"/>
                <w:kern w:val="0"/>
                <w:sz w:val="20"/>
                <w:szCs w:val="24"/>
                <w:lang w:val="zh-CN"/>
              </w:rPr>
            </w:pPr>
            <w:r>
              <w:rPr>
                <w:rFonts w:hint="eastAsia" w:ascii="宋体" w:hAnsi="宋体" w:cs="宋体"/>
                <w:kern w:val="0"/>
                <w:sz w:val="20"/>
                <w:szCs w:val="24"/>
                <w:lang w:val="zh-CN"/>
              </w:rPr>
              <w:t>有效期至</w:t>
            </w:r>
            <w:r>
              <w:rPr>
                <w:rFonts w:eastAsia="Times New Roman"/>
                <w:kern w:val="0"/>
                <w:sz w:val="20"/>
                <w:szCs w:val="24"/>
                <w:lang w:val="zh-CN"/>
              </w:rPr>
              <w:t>2025.02.03</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江西美康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63</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血脂分析仪</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与本公司生产的血脂测试卡配套使用，用于人体全血中总胆固醇、甘油三酯和高密度脂蛋白胆固醇的定量检测。</w:t>
            </w:r>
          </w:p>
        </w:tc>
        <w:tc>
          <w:tcPr>
            <w:tcW w:w="615" w:type="pct"/>
          </w:tcPr>
          <w:p>
            <w:pPr>
              <w:autoSpaceDE w:val="0"/>
              <w:autoSpaceDN w:val="0"/>
              <w:adjustRightInd w:val="0"/>
              <w:rPr>
                <w:rFonts w:eastAsia="Times New Roman"/>
                <w:kern w:val="0"/>
                <w:sz w:val="20"/>
                <w:szCs w:val="24"/>
                <w:lang w:val="zh-CN"/>
              </w:rPr>
            </w:pPr>
            <w:r>
              <w:rPr>
                <w:rFonts w:hint="eastAsia" w:ascii="宋体" w:hAnsi="宋体" w:cs="宋体"/>
                <w:kern w:val="0"/>
                <w:sz w:val="20"/>
                <w:szCs w:val="24"/>
                <w:lang w:val="zh-CN"/>
              </w:rPr>
              <w:t>有效期至</w:t>
            </w:r>
            <w:r>
              <w:rPr>
                <w:rFonts w:eastAsia="Times New Roman"/>
                <w:kern w:val="0"/>
                <w:sz w:val="20"/>
                <w:szCs w:val="24"/>
                <w:lang w:val="zh-CN"/>
              </w:rPr>
              <w:t>2025.02.03</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江西美康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64</w:t>
            </w:r>
          </w:p>
        </w:tc>
        <w:tc>
          <w:tcPr>
            <w:tcW w:w="781"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液相色谱质谱联用仪</w:t>
            </w:r>
          </w:p>
        </w:tc>
        <w:tc>
          <w:tcPr>
            <w:tcW w:w="352" w:type="pct"/>
          </w:tcPr>
          <w:p>
            <w:pPr>
              <w:autoSpaceDE w:val="0"/>
              <w:autoSpaceDN w:val="0"/>
              <w:adjustRightInd w:val="0"/>
              <w:jc w:val="left"/>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基于液相色谱</w:t>
            </w:r>
            <w:r>
              <w:rPr>
                <w:rFonts w:eastAsia="Times New Roman"/>
                <w:kern w:val="0"/>
                <w:szCs w:val="24"/>
                <w:lang w:val="zh-CN"/>
              </w:rPr>
              <w:t>-</w:t>
            </w:r>
            <w:r>
              <w:rPr>
                <w:rFonts w:hint="eastAsia" w:ascii="宋体" w:hAnsi="宋体" w:cs="宋体"/>
                <w:kern w:val="0"/>
                <w:szCs w:val="24"/>
                <w:lang w:val="zh-CN"/>
              </w:rPr>
              <w:t>质谱联用技术，以液相色谱作为分离系统，质谱作为检测系统，与配套的检测试剂共同使用，在临床上用于对来源于人体血液样本中的无机或有机化合物进行定性或定量检测，包括诊断指标物（内源性物质：氨基酸、维生素、激素）和治疗监控化合物（外源性物质：治疗</w:t>
            </w:r>
            <w:r>
              <w:rPr>
                <w:rFonts w:eastAsia="Times New Roman"/>
                <w:kern w:val="0"/>
                <w:szCs w:val="24"/>
                <w:lang w:val="zh-CN"/>
              </w:rPr>
              <w:t>/</w:t>
            </w:r>
            <w:r>
              <w:rPr>
                <w:rFonts w:hint="eastAsia" w:ascii="宋体" w:hAnsi="宋体" w:cs="宋体"/>
                <w:kern w:val="0"/>
                <w:szCs w:val="24"/>
                <w:lang w:val="zh-CN"/>
              </w:rPr>
              <w:t>毒性药物）</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2024.12.03</w:t>
            </w:r>
          </w:p>
        </w:tc>
        <w:tc>
          <w:tcPr>
            <w:tcW w:w="489"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苏州盛德</w:t>
            </w:r>
          </w:p>
        </w:tc>
        <w:tc>
          <w:tcPr>
            <w:tcW w:w="498" w:type="pct"/>
          </w:tcPr>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57" w:type="pct"/>
          </w:tcPr>
          <w:p>
            <w:pPr>
              <w:autoSpaceDE w:val="0"/>
              <w:autoSpaceDN w:val="0"/>
              <w:adjustRightInd w:val="0"/>
              <w:jc w:val="center"/>
              <w:rPr>
                <w:rFonts w:eastAsia="Times New Roman"/>
                <w:kern w:val="0"/>
                <w:szCs w:val="24"/>
                <w:lang w:val="zh-CN"/>
              </w:rPr>
            </w:pPr>
            <w:r>
              <w:rPr>
                <w:rFonts w:eastAsia="Times New Roman"/>
                <w:kern w:val="0"/>
                <w:szCs w:val="24"/>
                <w:lang w:val="zh-CN"/>
              </w:rPr>
              <w:t>65</w:t>
            </w:r>
          </w:p>
        </w:tc>
        <w:tc>
          <w:tcPr>
            <w:tcW w:w="781"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便携式尿液分析仪</w:t>
            </w:r>
          </w:p>
        </w:tc>
        <w:tc>
          <w:tcPr>
            <w:tcW w:w="352" w:type="pct"/>
          </w:tcPr>
          <w:p>
            <w:pPr>
              <w:autoSpaceDE w:val="0"/>
              <w:autoSpaceDN w:val="0"/>
              <w:adjustRightInd w:val="0"/>
              <w:jc w:val="center"/>
              <w:rPr>
                <w:rFonts w:eastAsia="Times New Roman"/>
                <w:kern w:val="0"/>
                <w:szCs w:val="24"/>
                <w:lang w:val="zh-CN"/>
              </w:rPr>
            </w:pPr>
            <w:r>
              <w:rPr>
                <w:rFonts w:eastAsia="Times New Roman"/>
                <w:kern w:val="0"/>
                <w:szCs w:val="24"/>
                <w:lang w:val="zh-CN"/>
              </w:rPr>
              <w:t>Ⅱ</w:t>
            </w:r>
            <w:r>
              <w:rPr>
                <w:rFonts w:hint="eastAsia" w:ascii="宋体" w:hAnsi="宋体" w:cs="宋体"/>
                <w:kern w:val="0"/>
                <w:szCs w:val="24"/>
                <w:lang w:val="zh-CN"/>
              </w:rPr>
              <w:t>类</w:t>
            </w:r>
          </w:p>
        </w:tc>
        <w:tc>
          <w:tcPr>
            <w:tcW w:w="141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与京都弘益生物科技（苏州）有限公司尿液分析试纸条配套使用，供医疗机构对人体尿液样本中的生化成分进行半定量或定性检测，为临床检验和诊断提供参考。可检测项目包括：尿胆原、潜血、胆红素、酮体、白细胞、葡萄糖、蛋白质、酸碱度、亚硝酸盐、比重、维生素</w:t>
            </w:r>
            <w:r>
              <w:rPr>
                <w:rFonts w:eastAsia="Times New Roman"/>
                <w:kern w:val="0"/>
                <w:szCs w:val="24"/>
                <w:lang w:val="zh-CN"/>
              </w:rPr>
              <w:t>C</w:t>
            </w:r>
            <w:r>
              <w:rPr>
                <w:rFonts w:hint="eastAsia" w:ascii="宋体" w:hAnsi="宋体" w:cs="宋体"/>
                <w:kern w:val="0"/>
                <w:szCs w:val="24"/>
                <w:lang w:val="zh-CN"/>
              </w:rPr>
              <w:t>。</w:t>
            </w:r>
          </w:p>
        </w:tc>
        <w:tc>
          <w:tcPr>
            <w:tcW w:w="61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有效期至</w:t>
            </w:r>
            <w:r>
              <w:rPr>
                <w:rFonts w:eastAsia="Times New Roman"/>
                <w:kern w:val="0"/>
                <w:szCs w:val="24"/>
                <w:lang w:val="zh-CN"/>
              </w:rPr>
              <w:t>2025.02.09</w:t>
            </w:r>
          </w:p>
        </w:tc>
        <w:tc>
          <w:tcPr>
            <w:tcW w:w="489"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苏州盛德</w:t>
            </w:r>
          </w:p>
        </w:tc>
        <w:tc>
          <w:tcPr>
            <w:tcW w:w="498"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首次注册</w:t>
            </w:r>
          </w:p>
        </w:tc>
        <w:tc>
          <w:tcPr>
            <w:tcW w:w="489" w:type="pct"/>
          </w:tcPr>
          <w:p>
            <w:pPr>
              <w:autoSpaceDE w:val="0"/>
              <w:autoSpaceDN w:val="0"/>
              <w:adjustRightInd w:val="0"/>
              <w:rPr>
                <w:rFonts w:eastAsia="Times New Roman"/>
                <w:kern w:val="0"/>
                <w:szCs w:val="24"/>
                <w:lang w:val="zh-CN"/>
              </w:rPr>
            </w:pPr>
            <w:r>
              <w:rPr>
                <w:rFonts w:hint="eastAsia" w:ascii="宋体" w:hAnsi="宋体" w:cs="宋体"/>
                <w:kern w:val="0"/>
                <w:szCs w:val="24"/>
                <w:lang w:val="zh-CN"/>
              </w:rPr>
              <w:t>否</w:t>
            </w:r>
          </w:p>
        </w:tc>
      </w:tr>
    </w:tbl>
    <w:p>
      <w:pPr>
        <w:autoSpaceDE w:val="0"/>
        <w:autoSpaceDN w:val="0"/>
        <w:adjustRightInd w:val="0"/>
        <w:spacing w:before="0" w:after="0"/>
        <w:jc w:val="left"/>
        <w:rPr>
          <w:rFonts w:eastAsia="Times New Roman"/>
          <w:kern w:val="0"/>
          <w:szCs w:val="24"/>
          <w:lang w:val="zh-CN"/>
        </w:rPr>
      </w:pP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截止本报告披露日，公司共有</w:t>
      </w:r>
      <w:r>
        <w:rPr>
          <w:rFonts w:eastAsia="Times New Roman"/>
          <w:kern w:val="0"/>
          <w:szCs w:val="24"/>
          <w:lang w:val="zh-CN"/>
        </w:rPr>
        <w:t>7</w:t>
      </w:r>
      <w:r>
        <w:rPr>
          <w:rFonts w:eastAsiaTheme="minorEastAsia"/>
          <w:kern w:val="0"/>
          <w:szCs w:val="24"/>
          <w:lang w:val="zh-CN"/>
        </w:rPr>
        <w:t>3</w:t>
      </w:r>
      <w:r>
        <w:rPr>
          <w:rFonts w:hint="eastAsia" w:ascii="宋体" w:hAnsi="宋体" w:cs="宋体"/>
          <w:kern w:val="0"/>
          <w:szCs w:val="24"/>
          <w:lang w:val="zh-CN"/>
        </w:rPr>
        <w:t>个产品正在中国境内进行注册申报，具体如下：</w:t>
      </w:r>
    </w:p>
    <w:tbl>
      <w:tblPr>
        <w:tblStyle w:val="9"/>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10" w:type="dxa"/>
          <w:left w:w="10" w:type="dxa"/>
          <w:bottom w:w="10" w:type="dxa"/>
          <w:right w:w="10" w:type="dxa"/>
        </w:tblCellMar>
      </w:tblPr>
      <w:tblGrid>
        <w:gridCol w:w="583"/>
        <w:gridCol w:w="2892"/>
        <w:gridCol w:w="707"/>
        <w:gridCol w:w="2797"/>
        <w:gridCol w:w="972"/>
        <w:gridCol w:w="664"/>
        <w:gridCol w:w="10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序号</w:t>
            </w:r>
          </w:p>
        </w:tc>
        <w:tc>
          <w:tcPr>
            <w:tcW w:w="1497"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产品名称</w:t>
            </w:r>
          </w:p>
        </w:tc>
        <w:tc>
          <w:tcPr>
            <w:tcW w:w="366"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注册分类</w:t>
            </w:r>
          </w:p>
        </w:tc>
        <w:tc>
          <w:tcPr>
            <w:tcW w:w="1448"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临床用途</w:t>
            </w:r>
          </w:p>
        </w:tc>
        <w:tc>
          <w:tcPr>
            <w:tcW w:w="503"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注册所处阶段</w:t>
            </w:r>
          </w:p>
        </w:tc>
        <w:tc>
          <w:tcPr>
            <w:tcW w:w="344"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注册人</w:t>
            </w:r>
          </w:p>
        </w:tc>
        <w:tc>
          <w:tcPr>
            <w:tcW w:w="540"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是否申报创新医疗器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葡萄糖</w:t>
            </w:r>
            <w:r>
              <w:rPr>
                <w:rFonts w:eastAsia="Times New Roman"/>
                <w:kern w:val="0"/>
                <w:sz w:val="20"/>
                <w:szCs w:val="24"/>
                <w:lang w:val="zh-CN"/>
              </w:rPr>
              <w:t>-6-</w:t>
            </w:r>
            <w:r>
              <w:rPr>
                <w:rFonts w:hint="eastAsia" w:ascii="宋体" w:hAnsi="宋体" w:cs="宋体"/>
                <w:kern w:val="0"/>
                <w:sz w:val="20"/>
                <w:szCs w:val="24"/>
                <w:lang w:val="zh-CN"/>
              </w:rPr>
              <w:t>磷酸脱氢酶检测试剂盒（连续监测法）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用于人体红细胞中葡萄糖</w:t>
            </w:r>
            <w:r>
              <w:rPr>
                <w:rFonts w:eastAsia="Times New Roman"/>
                <w:kern w:val="0"/>
                <w:sz w:val="20"/>
                <w:szCs w:val="24"/>
                <w:lang w:val="zh-CN"/>
              </w:rPr>
              <w:t>-6-</w:t>
            </w:r>
            <w:r>
              <w:rPr>
                <w:rFonts w:hint="eastAsia" w:ascii="宋体" w:hAnsi="宋体" w:cs="宋体"/>
                <w:kern w:val="0"/>
                <w:sz w:val="20"/>
                <w:szCs w:val="24"/>
                <w:lang w:val="zh-CN"/>
              </w:rPr>
              <w:t>磷酸脱氢酶</w:t>
            </w:r>
            <w:r>
              <w:rPr>
                <w:rFonts w:eastAsia="Times New Roman"/>
                <w:kern w:val="0"/>
                <w:sz w:val="20"/>
                <w:szCs w:val="24"/>
                <w:lang w:val="zh-CN"/>
              </w:rPr>
              <w:t>(G6PD)</w:t>
            </w:r>
            <w:r>
              <w:rPr>
                <w:rFonts w:hint="eastAsia" w:ascii="宋体" w:hAnsi="宋体" w:cs="宋体"/>
                <w:kern w:val="0"/>
                <w:sz w:val="20"/>
                <w:szCs w:val="24"/>
                <w:lang w:val="zh-CN"/>
              </w:rPr>
              <w:t>活性的定量测定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雌二醇体检测试剂盒</w:t>
            </w:r>
            <w:r>
              <w:rPr>
                <w:rFonts w:eastAsia="Times New Roman"/>
                <w:kern w:val="0"/>
                <w:sz w:val="20"/>
                <w:szCs w:val="24"/>
                <w:lang w:val="zh-CN"/>
              </w:rPr>
              <w:t>(</w:t>
            </w:r>
            <w:r>
              <w:rPr>
                <w:rFonts w:hint="eastAsia" w:ascii="宋体" w:hAnsi="宋体" w:cs="宋体"/>
                <w:kern w:val="0"/>
                <w:sz w:val="20"/>
                <w:szCs w:val="24"/>
                <w:lang w:val="zh-CN"/>
              </w:rPr>
              <w:t>化学发光免疫分析法</w:t>
            </w:r>
            <w:r>
              <w:rPr>
                <w:rFonts w:eastAsia="Times New Roman"/>
                <w:kern w:val="0"/>
                <w:sz w:val="20"/>
                <w:szCs w:val="24"/>
                <w:lang w:val="zh-CN"/>
              </w:rPr>
              <w:t>)</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用于人血清和血浆中雌二醇（</w:t>
            </w:r>
            <w:r>
              <w:rPr>
                <w:rFonts w:eastAsia="Times New Roman"/>
                <w:kern w:val="0"/>
                <w:sz w:val="20"/>
                <w:szCs w:val="24"/>
                <w:lang w:val="zh-CN"/>
              </w:rPr>
              <w:t>E2</w:t>
            </w:r>
            <w:r>
              <w:rPr>
                <w:rFonts w:hint="eastAsia" w:ascii="宋体" w:hAnsi="宋体" w:cs="宋体"/>
                <w:kern w:val="0"/>
                <w:sz w:val="20"/>
                <w:szCs w:val="24"/>
                <w:lang w:val="zh-CN"/>
              </w:rPr>
              <w:t>）浓度的定量测定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w:t>
            </w:r>
          </w:p>
        </w:tc>
        <w:tc>
          <w:tcPr>
            <w:tcW w:w="1497"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型前胶原检测试剂盒</w:t>
            </w:r>
            <w:r>
              <w:rPr>
                <w:rFonts w:eastAsia="Times New Roman"/>
                <w:kern w:val="0"/>
                <w:sz w:val="20"/>
                <w:szCs w:val="24"/>
                <w:lang w:val="zh-CN"/>
              </w:rPr>
              <w:t>(</w:t>
            </w:r>
            <w:r>
              <w:rPr>
                <w:rFonts w:hint="eastAsia" w:ascii="宋体" w:hAnsi="宋体" w:cs="宋体"/>
                <w:kern w:val="0"/>
                <w:sz w:val="20"/>
                <w:szCs w:val="24"/>
                <w:lang w:val="zh-CN"/>
              </w:rPr>
              <w:t>化学发光免疫分析法</w:t>
            </w:r>
            <w:r>
              <w:rPr>
                <w:rFonts w:eastAsia="Times New Roman"/>
                <w:kern w:val="0"/>
                <w:sz w:val="20"/>
                <w:szCs w:val="24"/>
                <w:lang w:val="zh-CN"/>
              </w:rPr>
              <w:t>)</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w:t>
            </w:r>
            <w:r>
              <w:rPr>
                <w:rFonts w:eastAsia="Times New Roman"/>
                <w:kern w:val="0"/>
                <w:sz w:val="20"/>
                <w:szCs w:val="24"/>
                <w:lang w:val="zh-CN"/>
              </w:rPr>
              <w:t>Ⅲ</w:t>
            </w:r>
            <w:r>
              <w:rPr>
                <w:rFonts w:hint="eastAsia" w:ascii="宋体" w:hAnsi="宋体" w:cs="宋体"/>
                <w:kern w:val="0"/>
                <w:sz w:val="20"/>
                <w:szCs w:val="24"/>
                <w:lang w:val="zh-CN"/>
              </w:rPr>
              <w:t>型前胶原</w:t>
            </w:r>
            <w:r>
              <w:rPr>
                <w:rFonts w:eastAsia="Times New Roman"/>
                <w:kern w:val="0"/>
                <w:sz w:val="20"/>
                <w:szCs w:val="24"/>
                <w:lang w:val="zh-CN"/>
              </w:rPr>
              <w:t>(PⅢP NP)</w:t>
            </w:r>
            <w:r>
              <w:rPr>
                <w:rFonts w:hint="eastAsia" w:ascii="宋体" w:hAnsi="宋体" w:cs="宋体"/>
                <w:kern w:val="0"/>
                <w:sz w:val="20"/>
                <w:szCs w:val="24"/>
                <w:lang w:val="zh-CN"/>
              </w:rPr>
              <w:t>浓度的定量测定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抗缪勒管激素检测试剂盒</w:t>
            </w:r>
            <w:r>
              <w:rPr>
                <w:rFonts w:eastAsia="Times New Roman"/>
                <w:kern w:val="0"/>
                <w:sz w:val="20"/>
                <w:szCs w:val="24"/>
                <w:lang w:val="zh-CN"/>
              </w:rPr>
              <w:t>(</w:t>
            </w:r>
            <w:r>
              <w:rPr>
                <w:rFonts w:hint="eastAsia" w:ascii="宋体" w:hAnsi="宋体" w:cs="宋体"/>
                <w:kern w:val="0"/>
                <w:sz w:val="20"/>
                <w:szCs w:val="24"/>
                <w:lang w:val="zh-CN"/>
              </w:rPr>
              <w:t>化学发光免疫分析法</w:t>
            </w:r>
            <w:r>
              <w:rPr>
                <w:rFonts w:eastAsia="Times New Roman"/>
                <w:kern w:val="0"/>
                <w:sz w:val="20"/>
                <w:szCs w:val="24"/>
                <w:lang w:val="zh-CN"/>
              </w:rPr>
              <w:t>)</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用于人血清中抗缪勒管激素</w:t>
            </w:r>
            <w:r>
              <w:rPr>
                <w:rFonts w:eastAsia="Times New Roman"/>
                <w:kern w:val="0"/>
                <w:sz w:val="20"/>
                <w:szCs w:val="24"/>
                <w:lang w:val="zh-CN"/>
              </w:rPr>
              <w:t>(AMH)</w:t>
            </w:r>
            <w:r>
              <w:rPr>
                <w:rFonts w:hint="eastAsia" w:ascii="宋体" w:hAnsi="宋体" w:cs="宋体"/>
                <w:kern w:val="0"/>
                <w:sz w:val="20"/>
                <w:szCs w:val="24"/>
                <w:lang w:val="zh-CN"/>
              </w:rPr>
              <w:t>浓度的定量测定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孕酮检测试剂盒</w:t>
            </w:r>
            <w:r>
              <w:rPr>
                <w:rFonts w:eastAsia="Times New Roman"/>
                <w:kern w:val="0"/>
                <w:sz w:val="20"/>
                <w:szCs w:val="24"/>
                <w:lang w:val="zh-CN"/>
              </w:rPr>
              <w:t>(</w:t>
            </w:r>
            <w:r>
              <w:rPr>
                <w:rFonts w:hint="eastAsia" w:ascii="宋体" w:hAnsi="宋体" w:cs="宋体"/>
                <w:kern w:val="0"/>
                <w:sz w:val="20"/>
                <w:szCs w:val="24"/>
                <w:lang w:val="zh-CN"/>
              </w:rPr>
              <w:t>化学发光免疫分析法</w:t>
            </w:r>
            <w:r>
              <w:rPr>
                <w:rFonts w:eastAsia="Times New Roman"/>
                <w:kern w:val="0"/>
                <w:sz w:val="20"/>
                <w:szCs w:val="24"/>
                <w:lang w:val="zh-CN"/>
              </w:rPr>
              <w:t xml:space="preserve">)  </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用于人血清和血浆中孕酮</w:t>
            </w:r>
            <w:r>
              <w:rPr>
                <w:rFonts w:eastAsia="Times New Roman"/>
                <w:kern w:val="0"/>
                <w:sz w:val="20"/>
                <w:szCs w:val="24"/>
                <w:lang w:val="zh-CN"/>
              </w:rPr>
              <w:t>(PROG)</w:t>
            </w:r>
            <w:r>
              <w:rPr>
                <w:rFonts w:hint="eastAsia" w:ascii="宋体" w:hAnsi="宋体" w:cs="宋体"/>
                <w:kern w:val="0"/>
                <w:sz w:val="20"/>
                <w:szCs w:val="24"/>
                <w:lang w:val="zh-CN"/>
              </w:rPr>
              <w:t>浓度的定量测定。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6</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甲胎蛋白（</w:t>
            </w:r>
            <w:r>
              <w:rPr>
                <w:rFonts w:eastAsia="Times New Roman"/>
                <w:kern w:val="0"/>
                <w:sz w:val="20"/>
                <w:szCs w:val="24"/>
                <w:lang w:val="zh-CN"/>
              </w:rPr>
              <w:t>AFP</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本试剂盒用于体外定量测定人血清中甲胎蛋白</w:t>
            </w:r>
            <w:r>
              <w:rPr>
                <w:rFonts w:eastAsia="Times New Roman"/>
                <w:kern w:val="0"/>
                <w:sz w:val="20"/>
                <w:szCs w:val="24"/>
                <w:lang w:val="zh-CN"/>
              </w:rPr>
              <w:t>(AFP)</w:t>
            </w:r>
            <w:r>
              <w:rPr>
                <w:rFonts w:hint="eastAsia" w:ascii="宋体" w:hAnsi="宋体" w:cs="宋体"/>
                <w:kern w:val="0"/>
                <w:sz w:val="20"/>
                <w:szCs w:val="24"/>
                <w:lang w:val="zh-CN"/>
              </w:rPr>
              <w:t>的浓度。</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7</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癌抗原</w:t>
            </w:r>
            <w:r>
              <w:rPr>
                <w:rFonts w:eastAsia="Times New Roman"/>
                <w:kern w:val="0"/>
                <w:sz w:val="20"/>
                <w:szCs w:val="24"/>
                <w:lang w:val="zh-CN"/>
              </w:rPr>
              <w:t>15-3</w:t>
            </w:r>
            <w:r>
              <w:rPr>
                <w:rFonts w:hint="eastAsia" w:ascii="宋体" w:hAnsi="宋体" w:cs="宋体"/>
                <w:kern w:val="0"/>
                <w:sz w:val="20"/>
                <w:szCs w:val="24"/>
                <w:lang w:val="zh-CN"/>
              </w:rPr>
              <w:t>（</w:t>
            </w:r>
            <w:r>
              <w:rPr>
                <w:rFonts w:eastAsia="Times New Roman"/>
                <w:kern w:val="0"/>
                <w:sz w:val="20"/>
                <w:szCs w:val="24"/>
                <w:lang w:val="zh-CN"/>
              </w:rPr>
              <w:t>CA15-3</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Cs w:val="24"/>
                <w:lang w:val="zh-CN"/>
              </w:rPr>
            </w:pPr>
            <w:r>
              <w:rPr>
                <w:rFonts w:hint="eastAsia" w:ascii="宋体" w:hAnsi="宋体" w:cs="宋体"/>
                <w:kern w:val="0"/>
                <w:sz w:val="20"/>
                <w:szCs w:val="24"/>
                <w:lang w:val="zh-CN"/>
              </w:rPr>
              <w:t>本试剂盒用于体外定量检测人血清中糖类抗原</w:t>
            </w:r>
            <w:r>
              <w:rPr>
                <w:rFonts w:eastAsia="Times New Roman"/>
                <w:kern w:val="0"/>
                <w:szCs w:val="24"/>
                <w:lang w:val="zh-CN"/>
              </w:rPr>
              <w:t>15-3</w:t>
            </w:r>
            <w:r>
              <w:rPr>
                <w:rFonts w:hint="eastAsia" w:ascii="宋体" w:hAnsi="宋体" w:cs="宋体"/>
                <w:kern w:val="0"/>
                <w:szCs w:val="24"/>
                <w:lang w:val="zh-CN"/>
              </w:rPr>
              <w:t>（</w:t>
            </w:r>
            <w:r>
              <w:rPr>
                <w:rFonts w:eastAsia="Times New Roman"/>
                <w:kern w:val="0"/>
                <w:szCs w:val="24"/>
                <w:lang w:val="zh-CN"/>
              </w:rPr>
              <w:t>CA15-3</w:t>
            </w:r>
            <w:r>
              <w:rPr>
                <w:rFonts w:hint="eastAsia" w:ascii="宋体" w:hAnsi="宋体" w:cs="宋体"/>
                <w:kern w:val="0"/>
                <w:szCs w:val="24"/>
                <w:lang w:val="zh-CN"/>
              </w:rPr>
              <w:t>）的含量。</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8</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糖类抗原</w:t>
            </w:r>
            <w:r>
              <w:rPr>
                <w:rFonts w:eastAsia="Times New Roman"/>
                <w:kern w:val="0"/>
                <w:sz w:val="20"/>
                <w:szCs w:val="24"/>
                <w:lang w:val="zh-CN"/>
              </w:rPr>
              <w:t>19-9</w:t>
            </w:r>
            <w:r>
              <w:rPr>
                <w:rFonts w:hint="eastAsia" w:ascii="宋体" w:hAnsi="宋体" w:cs="宋体"/>
                <w:kern w:val="0"/>
                <w:sz w:val="20"/>
                <w:szCs w:val="24"/>
                <w:lang w:val="zh-CN"/>
              </w:rPr>
              <w:t>（</w:t>
            </w:r>
            <w:r>
              <w:rPr>
                <w:rFonts w:eastAsia="Times New Roman"/>
                <w:kern w:val="0"/>
                <w:sz w:val="20"/>
                <w:szCs w:val="24"/>
                <w:lang w:val="zh-CN"/>
              </w:rPr>
              <w:t>CA19-9</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Cs w:val="24"/>
                <w:lang w:val="zh-CN"/>
              </w:rPr>
            </w:pPr>
            <w:r>
              <w:rPr>
                <w:rFonts w:hint="eastAsia" w:ascii="宋体" w:hAnsi="宋体" w:cs="宋体"/>
                <w:kern w:val="0"/>
                <w:sz w:val="20"/>
                <w:szCs w:val="24"/>
                <w:lang w:val="zh-CN"/>
              </w:rPr>
              <w:t>本试剂盒用于体外定量测定人血清中糖类抗原</w:t>
            </w:r>
            <w:r>
              <w:rPr>
                <w:rFonts w:eastAsia="Times New Roman"/>
                <w:kern w:val="0"/>
                <w:szCs w:val="24"/>
                <w:lang w:val="zh-CN"/>
              </w:rPr>
              <w:t>19-9</w:t>
            </w:r>
            <w:r>
              <w:rPr>
                <w:rFonts w:hint="eastAsia" w:ascii="宋体" w:hAnsi="宋体" w:cs="宋体"/>
                <w:kern w:val="0"/>
                <w:szCs w:val="24"/>
                <w:lang w:val="zh-CN"/>
              </w:rPr>
              <w:t>（</w:t>
            </w:r>
            <w:r>
              <w:rPr>
                <w:rFonts w:eastAsia="Times New Roman"/>
                <w:kern w:val="0"/>
                <w:szCs w:val="24"/>
                <w:lang w:val="zh-CN"/>
              </w:rPr>
              <w:t>CA19-9</w:t>
            </w:r>
            <w:r>
              <w:rPr>
                <w:rFonts w:hint="eastAsia" w:ascii="宋体" w:hAnsi="宋体" w:cs="宋体"/>
                <w:kern w:val="0"/>
                <w:szCs w:val="24"/>
                <w:lang w:val="zh-CN"/>
              </w:rPr>
              <w:t>）的浓度。</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9</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癌胚抗原（</w:t>
            </w:r>
            <w:r>
              <w:rPr>
                <w:rFonts w:eastAsia="Times New Roman"/>
                <w:kern w:val="0"/>
                <w:sz w:val="20"/>
                <w:szCs w:val="24"/>
                <w:lang w:val="zh-CN"/>
              </w:rPr>
              <w:t>CEA</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Cs w:val="24"/>
                <w:lang w:val="zh-CN"/>
              </w:rPr>
            </w:pPr>
            <w:r>
              <w:rPr>
                <w:rFonts w:hint="eastAsia" w:ascii="宋体" w:hAnsi="宋体" w:cs="宋体"/>
                <w:kern w:val="0"/>
                <w:sz w:val="20"/>
                <w:szCs w:val="24"/>
                <w:lang w:val="zh-CN"/>
              </w:rPr>
              <w:t>用于人血清中癌胚抗原（</w:t>
            </w:r>
            <w:r>
              <w:rPr>
                <w:rFonts w:eastAsia="Times New Roman"/>
                <w:kern w:val="0"/>
                <w:szCs w:val="24"/>
                <w:lang w:val="zh-CN"/>
              </w:rPr>
              <w:t>CEA</w:t>
            </w:r>
            <w:r>
              <w:rPr>
                <w:rFonts w:hint="eastAsia" w:ascii="宋体" w:hAnsi="宋体" w:cs="宋体"/>
                <w:kern w:val="0"/>
                <w:szCs w:val="24"/>
                <w:lang w:val="zh-CN"/>
              </w:rPr>
              <w:t>）浓度的定量测定。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10</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癌抗原</w:t>
            </w:r>
            <w:r>
              <w:rPr>
                <w:rFonts w:eastAsia="Times New Roman"/>
                <w:kern w:val="0"/>
                <w:sz w:val="20"/>
                <w:szCs w:val="24"/>
                <w:lang w:val="zh-CN"/>
              </w:rPr>
              <w:t>72-4</w:t>
            </w:r>
            <w:r>
              <w:rPr>
                <w:rFonts w:hint="eastAsia" w:ascii="宋体" w:hAnsi="宋体" w:cs="宋体"/>
                <w:kern w:val="0"/>
                <w:sz w:val="20"/>
                <w:szCs w:val="24"/>
                <w:lang w:val="zh-CN"/>
              </w:rPr>
              <w:t>（</w:t>
            </w:r>
            <w:r>
              <w:rPr>
                <w:rFonts w:eastAsia="Times New Roman"/>
                <w:kern w:val="0"/>
                <w:sz w:val="20"/>
                <w:szCs w:val="24"/>
                <w:lang w:val="zh-CN"/>
              </w:rPr>
              <w:t>CA72-4</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用于人血清中糖类抗原</w:t>
            </w:r>
            <w:r>
              <w:rPr>
                <w:rFonts w:eastAsia="Times New Roman"/>
                <w:kern w:val="0"/>
                <w:sz w:val="20"/>
                <w:szCs w:val="24"/>
                <w:lang w:val="zh-CN"/>
              </w:rPr>
              <w:t>72-4</w:t>
            </w:r>
            <w:r>
              <w:rPr>
                <w:rFonts w:hint="eastAsia" w:ascii="宋体" w:hAnsi="宋体" w:cs="宋体"/>
                <w:kern w:val="0"/>
                <w:sz w:val="20"/>
                <w:szCs w:val="24"/>
                <w:lang w:val="zh-CN"/>
              </w:rPr>
              <w:t>（</w:t>
            </w:r>
            <w:r>
              <w:rPr>
                <w:rFonts w:eastAsia="Times New Roman"/>
                <w:kern w:val="0"/>
                <w:sz w:val="20"/>
                <w:szCs w:val="24"/>
                <w:lang w:val="zh-CN"/>
              </w:rPr>
              <w:t>CA72-4</w:t>
            </w:r>
            <w:r>
              <w:rPr>
                <w:rFonts w:hint="eastAsia" w:ascii="宋体" w:hAnsi="宋体" w:cs="宋体"/>
                <w:kern w:val="0"/>
                <w:sz w:val="20"/>
                <w:szCs w:val="24"/>
                <w:lang w:val="zh-CN"/>
              </w:rPr>
              <w:t>）浓度的定量测定。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11</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糖类抗原</w:t>
            </w:r>
            <w:r>
              <w:rPr>
                <w:rFonts w:eastAsia="Times New Roman"/>
                <w:kern w:val="0"/>
                <w:sz w:val="20"/>
                <w:szCs w:val="24"/>
                <w:lang w:val="zh-CN"/>
              </w:rPr>
              <w:t>50</w:t>
            </w:r>
            <w:r>
              <w:rPr>
                <w:rFonts w:hint="eastAsia" w:ascii="宋体" w:hAnsi="宋体" w:cs="宋体"/>
                <w:kern w:val="0"/>
                <w:sz w:val="20"/>
                <w:szCs w:val="24"/>
                <w:lang w:val="zh-CN"/>
              </w:rPr>
              <w:t>（</w:t>
            </w:r>
            <w:r>
              <w:rPr>
                <w:rFonts w:eastAsia="Times New Roman"/>
                <w:kern w:val="0"/>
                <w:sz w:val="20"/>
                <w:szCs w:val="24"/>
                <w:lang w:val="zh-CN"/>
              </w:rPr>
              <w:t>CA50</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Cs w:val="24"/>
                <w:lang w:val="zh-CN"/>
              </w:rPr>
            </w:pPr>
            <w:r>
              <w:rPr>
                <w:rFonts w:hint="eastAsia" w:ascii="宋体" w:hAnsi="宋体" w:cs="宋体"/>
                <w:kern w:val="0"/>
                <w:sz w:val="20"/>
                <w:szCs w:val="24"/>
                <w:lang w:val="zh-CN"/>
              </w:rPr>
              <w:t>本试剂盒用于体外定量检测人血清中糖类抗原</w:t>
            </w:r>
            <w:r>
              <w:rPr>
                <w:rFonts w:eastAsia="Times New Roman"/>
                <w:kern w:val="0"/>
                <w:szCs w:val="24"/>
                <w:lang w:val="zh-CN"/>
              </w:rPr>
              <w:t>50</w:t>
            </w:r>
            <w:r>
              <w:rPr>
                <w:rFonts w:hint="eastAsia" w:ascii="宋体" w:hAnsi="宋体" w:cs="宋体"/>
                <w:kern w:val="0"/>
                <w:szCs w:val="24"/>
                <w:lang w:val="zh-CN"/>
              </w:rPr>
              <w:t>（</w:t>
            </w:r>
            <w:r>
              <w:rPr>
                <w:rFonts w:eastAsia="Times New Roman"/>
                <w:kern w:val="0"/>
                <w:szCs w:val="24"/>
                <w:lang w:val="zh-CN"/>
              </w:rPr>
              <w:t>CA50</w:t>
            </w:r>
            <w:r>
              <w:rPr>
                <w:rFonts w:hint="eastAsia" w:ascii="宋体" w:hAnsi="宋体" w:cs="宋体"/>
                <w:kern w:val="0"/>
                <w:szCs w:val="24"/>
                <w:lang w:val="zh-CN"/>
              </w:rPr>
              <w:t>）的含量。</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12</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总前列腺特异抗原（</w:t>
            </w:r>
            <w:r>
              <w:rPr>
                <w:rFonts w:eastAsia="Times New Roman"/>
                <w:kern w:val="0"/>
                <w:sz w:val="20"/>
                <w:szCs w:val="24"/>
                <w:lang w:val="zh-CN"/>
              </w:rPr>
              <w:t>tPSA)</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Cs w:val="24"/>
                <w:lang w:val="zh-CN"/>
              </w:rPr>
            </w:pPr>
            <w:r>
              <w:rPr>
                <w:rFonts w:hint="eastAsia" w:ascii="宋体" w:hAnsi="宋体" w:cs="宋体"/>
                <w:kern w:val="0"/>
                <w:sz w:val="20"/>
                <w:szCs w:val="24"/>
                <w:lang w:val="zh-CN"/>
              </w:rPr>
              <w:t>本试剂盒用于体外定量测定人血清中总前列腺特异性抗原</w:t>
            </w:r>
            <w:r>
              <w:rPr>
                <w:rFonts w:eastAsia="Times New Roman"/>
                <w:kern w:val="0"/>
                <w:szCs w:val="24"/>
                <w:lang w:val="zh-CN"/>
              </w:rPr>
              <w:t>(tPSA)</w:t>
            </w:r>
            <w:r>
              <w:rPr>
                <w:rFonts w:hint="eastAsia" w:ascii="宋体" w:hAnsi="宋体" w:cs="宋体"/>
                <w:kern w:val="0"/>
                <w:szCs w:val="24"/>
                <w:lang w:val="zh-CN"/>
              </w:rPr>
              <w:t>的浓度。</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13</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游离前列腺特异抗原</w:t>
            </w:r>
            <w:r>
              <w:rPr>
                <w:rFonts w:eastAsia="Times New Roman"/>
                <w:kern w:val="0"/>
                <w:sz w:val="20"/>
                <w:szCs w:val="24"/>
                <w:lang w:val="zh-CN"/>
              </w:rPr>
              <w:t>(fPSA)</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Cs w:val="24"/>
                <w:lang w:val="zh-CN"/>
              </w:rPr>
            </w:pPr>
            <w:r>
              <w:rPr>
                <w:rFonts w:hint="eastAsia" w:ascii="宋体" w:hAnsi="宋体" w:cs="宋体"/>
                <w:kern w:val="0"/>
                <w:sz w:val="20"/>
                <w:szCs w:val="24"/>
                <w:lang w:val="zh-CN"/>
              </w:rPr>
              <w:t>本试剂盒用于体外定量测定人血清中游离前列腺特异性抗原</w:t>
            </w:r>
            <w:r>
              <w:rPr>
                <w:rFonts w:eastAsia="Times New Roman"/>
                <w:kern w:val="0"/>
                <w:szCs w:val="24"/>
                <w:lang w:val="zh-CN"/>
              </w:rPr>
              <w:t>(fPSA)</w:t>
            </w:r>
            <w:r>
              <w:rPr>
                <w:rFonts w:hint="eastAsia" w:ascii="宋体" w:hAnsi="宋体" w:cs="宋体"/>
                <w:kern w:val="0"/>
                <w:szCs w:val="24"/>
                <w:lang w:val="zh-CN"/>
              </w:rPr>
              <w:t>的浓度。</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14</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铁蛋白检测试剂盒（化学发光免疫分析法）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本试剂盒用于体外定量测定人血清中铁蛋白（</w:t>
            </w:r>
            <w:r>
              <w:rPr>
                <w:rFonts w:eastAsia="Times New Roman"/>
                <w:kern w:val="0"/>
                <w:sz w:val="20"/>
                <w:szCs w:val="24"/>
                <w:lang w:val="zh-CN"/>
              </w:rPr>
              <w:t>Fer</w:t>
            </w:r>
            <w:r>
              <w:rPr>
                <w:rFonts w:hint="eastAsia" w:ascii="宋体" w:hAnsi="宋体" w:cs="宋体"/>
                <w:kern w:val="0"/>
                <w:sz w:val="20"/>
                <w:szCs w:val="24"/>
                <w:lang w:val="zh-CN"/>
              </w:rPr>
              <w:t>）的浓度。</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15</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糖类抗原</w:t>
            </w:r>
            <w:r>
              <w:rPr>
                <w:rFonts w:eastAsia="Times New Roman"/>
                <w:kern w:val="0"/>
                <w:sz w:val="20"/>
                <w:szCs w:val="24"/>
                <w:lang w:val="zh-CN"/>
              </w:rPr>
              <w:t>125</w:t>
            </w:r>
            <w:r>
              <w:rPr>
                <w:rFonts w:hint="eastAsia" w:ascii="宋体" w:hAnsi="宋体" w:cs="宋体"/>
                <w:kern w:val="0"/>
                <w:sz w:val="20"/>
                <w:szCs w:val="24"/>
                <w:lang w:val="zh-CN"/>
              </w:rPr>
              <w:t>（</w:t>
            </w:r>
            <w:r>
              <w:rPr>
                <w:rFonts w:eastAsia="Times New Roman"/>
                <w:kern w:val="0"/>
                <w:sz w:val="20"/>
                <w:szCs w:val="24"/>
                <w:lang w:val="zh-CN"/>
              </w:rPr>
              <w:t>CA125</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试剂盒用于体外定量检测人血清中糖类抗原</w:t>
            </w:r>
            <w:r>
              <w:rPr>
                <w:rFonts w:eastAsia="Times New Roman"/>
                <w:kern w:val="0"/>
                <w:sz w:val="20"/>
                <w:szCs w:val="24"/>
                <w:lang w:val="zh-CN"/>
              </w:rPr>
              <w:t>125</w:t>
            </w:r>
            <w:r>
              <w:rPr>
                <w:rFonts w:hint="eastAsia" w:ascii="宋体" w:hAnsi="宋体" w:cs="宋体"/>
                <w:kern w:val="0"/>
                <w:sz w:val="20"/>
                <w:szCs w:val="24"/>
                <w:lang w:val="zh-CN"/>
              </w:rPr>
              <w:t>（</w:t>
            </w:r>
            <w:r>
              <w:rPr>
                <w:rFonts w:eastAsia="Times New Roman"/>
                <w:kern w:val="0"/>
                <w:sz w:val="20"/>
                <w:szCs w:val="24"/>
                <w:lang w:val="zh-CN"/>
              </w:rPr>
              <w:t>CA125</w:t>
            </w:r>
            <w:r>
              <w:rPr>
                <w:rFonts w:hint="eastAsia" w:ascii="宋体" w:hAnsi="宋体" w:cs="宋体"/>
                <w:kern w:val="0"/>
                <w:sz w:val="20"/>
                <w:szCs w:val="24"/>
                <w:lang w:val="zh-CN"/>
              </w:rPr>
              <w:t>）的含量。</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16</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鳞状上皮细胞癌抗原（</w:t>
            </w:r>
            <w:r>
              <w:rPr>
                <w:rFonts w:eastAsia="Times New Roman"/>
                <w:kern w:val="0"/>
                <w:sz w:val="20"/>
                <w:szCs w:val="24"/>
                <w:lang w:val="zh-CN"/>
              </w:rPr>
              <w:t>SCC</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用于人血清中鳞状上皮细胞癌抗原</w:t>
            </w:r>
            <w:r>
              <w:rPr>
                <w:rFonts w:eastAsia="Times New Roman"/>
                <w:kern w:val="0"/>
                <w:sz w:val="20"/>
                <w:szCs w:val="24"/>
                <w:lang w:val="zh-CN"/>
              </w:rPr>
              <w:t>(SCCA)</w:t>
            </w:r>
            <w:r>
              <w:rPr>
                <w:rFonts w:hint="eastAsia" w:ascii="宋体" w:hAnsi="宋体" w:cs="宋体"/>
                <w:kern w:val="0"/>
                <w:sz w:val="20"/>
                <w:szCs w:val="24"/>
                <w:lang w:val="zh-CN"/>
              </w:rPr>
              <w:t>浓度的定量测定。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17</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细胞角蛋白</w:t>
            </w:r>
            <w:r>
              <w:rPr>
                <w:rFonts w:eastAsia="Times New Roman"/>
                <w:kern w:val="0"/>
                <w:sz w:val="20"/>
                <w:szCs w:val="24"/>
                <w:lang w:val="zh-CN"/>
              </w:rPr>
              <w:t>19</w:t>
            </w:r>
            <w:r>
              <w:rPr>
                <w:rFonts w:hint="eastAsia" w:ascii="宋体" w:hAnsi="宋体" w:cs="宋体"/>
                <w:kern w:val="0"/>
                <w:sz w:val="20"/>
                <w:szCs w:val="24"/>
                <w:lang w:val="zh-CN"/>
              </w:rPr>
              <w:t>片段（</w:t>
            </w:r>
            <w:r>
              <w:rPr>
                <w:rFonts w:eastAsia="Times New Roman"/>
                <w:kern w:val="0"/>
                <w:sz w:val="20"/>
                <w:szCs w:val="24"/>
                <w:lang w:val="zh-CN"/>
              </w:rPr>
              <w:t>CYFRA21-1</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用于人血清中细胞角蛋白</w:t>
            </w:r>
            <w:r>
              <w:rPr>
                <w:rFonts w:eastAsia="Times New Roman"/>
                <w:kern w:val="0"/>
                <w:sz w:val="20"/>
                <w:szCs w:val="24"/>
                <w:lang w:val="zh-CN"/>
              </w:rPr>
              <w:t>19</w:t>
            </w:r>
            <w:r>
              <w:rPr>
                <w:rFonts w:hint="eastAsia" w:ascii="宋体" w:hAnsi="宋体" w:cs="宋体"/>
                <w:kern w:val="0"/>
                <w:sz w:val="20"/>
                <w:szCs w:val="24"/>
                <w:lang w:val="zh-CN"/>
              </w:rPr>
              <w:t>片段</w:t>
            </w:r>
            <w:r>
              <w:rPr>
                <w:rFonts w:eastAsia="Times New Roman"/>
                <w:kern w:val="0"/>
                <w:sz w:val="20"/>
                <w:szCs w:val="24"/>
                <w:lang w:val="zh-CN"/>
              </w:rPr>
              <w:t>(CYFRA21-1)</w:t>
            </w:r>
            <w:r>
              <w:rPr>
                <w:rFonts w:hint="eastAsia" w:ascii="宋体" w:hAnsi="宋体" w:cs="宋体"/>
                <w:kern w:val="0"/>
                <w:sz w:val="20"/>
                <w:szCs w:val="24"/>
                <w:lang w:val="zh-CN"/>
              </w:rPr>
              <w:t>浓度的定量测定。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18</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胃蛋白酶原</w:t>
            </w:r>
            <w:r>
              <w:rPr>
                <w:rFonts w:eastAsia="Times New Roman"/>
                <w:kern w:val="0"/>
                <w:sz w:val="20"/>
                <w:szCs w:val="24"/>
                <w:lang w:val="zh-CN"/>
              </w:rPr>
              <w:t>I</w:t>
            </w:r>
            <w:r>
              <w:rPr>
                <w:rFonts w:hint="eastAsia" w:ascii="宋体" w:hAnsi="宋体" w:cs="宋体"/>
                <w:kern w:val="0"/>
                <w:sz w:val="20"/>
                <w:szCs w:val="24"/>
                <w:lang w:val="zh-CN"/>
              </w:rPr>
              <w:t>（</w:t>
            </w:r>
            <w:r>
              <w:rPr>
                <w:rFonts w:eastAsia="Times New Roman"/>
                <w:kern w:val="0"/>
                <w:sz w:val="20"/>
                <w:szCs w:val="24"/>
                <w:lang w:val="zh-CN"/>
              </w:rPr>
              <w:t>PGI</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用于人体外定量检测人血清中的胃蛋白酶原</w:t>
            </w:r>
            <w:r>
              <w:rPr>
                <w:rFonts w:eastAsia="Times New Roman"/>
                <w:kern w:val="0"/>
                <w:sz w:val="20"/>
                <w:szCs w:val="24"/>
                <w:lang w:val="zh-CN"/>
              </w:rPr>
              <w:t>Ⅰ</w:t>
            </w:r>
            <w:r>
              <w:rPr>
                <w:rFonts w:hint="eastAsia" w:ascii="宋体" w:hAnsi="宋体" w:cs="宋体"/>
                <w:kern w:val="0"/>
                <w:sz w:val="20"/>
                <w:szCs w:val="24"/>
                <w:lang w:val="zh-CN"/>
              </w:rPr>
              <w:t>（</w:t>
            </w:r>
            <w:r>
              <w:rPr>
                <w:rFonts w:eastAsia="Times New Roman"/>
                <w:kern w:val="0"/>
                <w:sz w:val="20"/>
                <w:szCs w:val="24"/>
                <w:lang w:val="zh-CN"/>
              </w:rPr>
              <w:t>PGⅠ</w:t>
            </w:r>
            <w:r>
              <w:rPr>
                <w:rFonts w:hint="eastAsia" w:ascii="宋体" w:hAnsi="宋体" w:cs="宋体"/>
                <w:kern w:val="0"/>
                <w:sz w:val="20"/>
                <w:szCs w:val="24"/>
                <w:lang w:val="zh-CN"/>
              </w:rPr>
              <w:t>）。</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19</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胃蛋白酶原</w:t>
            </w:r>
            <w:r>
              <w:rPr>
                <w:rFonts w:eastAsia="Times New Roman"/>
                <w:kern w:val="0"/>
                <w:sz w:val="20"/>
                <w:szCs w:val="24"/>
                <w:lang w:val="zh-CN"/>
              </w:rPr>
              <w:t>Ⅱ</w:t>
            </w:r>
            <w:r>
              <w:rPr>
                <w:rFonts w:hint="eastAsia" w:ascii="宋体" w:hAnsi="宋体" w:cs="宋体"/>
                <w:kern w:val="0"/>
                <w:sz w:val="20"/>
                <w:szCs w:val="24"/>
                <w:lang w:val="zh-CN"/>
              </w:rPr>
              <w:t>（</w:t>
            </w:r>
            <w:r>
              <w:rPr>
                <w:rFonts w:eastAsia="Times New Roman"/>
                <w:kern w:val="0"/>
                <w:sz w:val="20"/>
                <w:szCs w:val="24"/>
                <w:lang w:val="zh-CN"/>
              </w:rPr>
              <w:t>PGⅡ</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用于人体外定量检测人血清中的胃蛋白酶原</w:t>
            </w:r>
            <w:r>
              <w:rPr>
                <w:rFonts w:eastAsia="Times New Roman"/>
                <w:kern w:val="0"/>
                <w:sz w:val="20"/>
                <w:szCs w:val="24"/>
                <w:lang w:val="zh-CN"/>
              </w:rPr>
              <w:t>Ⅱ</w:t>
            </w:r>
            <w:r>
              <w:rPr>
                <w:rFonts w:hint="eastAsia" w:ascii="宋体" w:hAnsi="宋体" w:cs="宋体"/>
                <w:kern w:val="0"/>
                <w:sz w:val="20"/>
                <w:szCs w:val="24"/>
                <w:lang w:val="zh-CN"/>
              </w:rPr>
              <w:t>（</w:t>
            </w:r>
            <w:r>
              <w:rPr>
                <w:rFonts w:eastAsia="Times New Roman"/>
                <w:kern w:val="0"/>
                <w:sz w:val="20"/>
                <w:szCs w:val="24"/>
                <w:lang w:val="zh-CN"/>
              </w:rPr>
              <w:t>PGⅡ</w:t>
            </w:r>
            <w:r>
              <w:rPr>
                <w:rFonts w:hint="eastAsia" w:ascii="宋体" w:hAnsi="宋体" w:cs="宋体"/>
                <w:kern w:val="0"/>
                <w:sz w:val="20"/>
                <w:szCs w:val="24"/>
                <w:lang w:val="zh-CN"/>
              </w:rPr>
              <w:t>）。</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20</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神经元特异性烯醇化酶（</w:t>
            </w:r>
            <w:r>
              <w:rPr>
                <w:rFonts w:eastAsia="Times New Roman"/>
                <w:kern w:val="0"/>
                <w:sz w:val="20"/>
                <w:szCs w:val="24"/>
                <w:lang w:val="zh-CN"/>
              </w:rPr>
              <w:t>NSE</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用于人血清中神经元特异性烯醇化酶</w:t>
            </w:r>
            <w:r>
              <w:rPr>
                <w:rFonts w:eastAsia="Times New Roman"/>
                <w:kern w:val="0"/>
                <w:sz w:val="20"/>
                <w:szCs w:val="24"/>
                <w:lang w:val="zh-CN"/>
              </w:rPr>
              <w:t>(NSE)</w:t>
            </w:r>
            <w:r>
              <w:rPr>
                <w:rFonts w:hint="eastAsia" w:ascii="宋体" w:hAnsi="宋体" w:cs="宋体"/>
                <w:kern w:val="0"/>
                <w:sz w:val="20"/>
                <w:szCs w:val="24"/>
                <w:lang w:val="zh-CN"/>
              </w:rPr>
              <w:t>浓度的定量测定。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21</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人附睾蛋白</w:t>
            </w:r>
            <w:r>
              <w:rPr>
                <w:rFonts w:eastAsia="Times New Roman"/>
                <w:kern w:val="0"/>
                <w:sz w:val="20"/>
                <w:szCs w:val="24"/>
                <w:lang w:val="zh-CN"/>
              </w:rPr>
              <w:t>4</w:t>
            </w:r>
            <w:r>
              <w:rPr>
                <w:rFonts w:hint="eastAsia" w:ascii="宋体" w:hAnsi="宋体" w:cs="宋体"/>
                <w:kern w:val="0"/>
                <w:sz w:val="20"/>
                <w:szCs w:val="24"/>
                <w:lang w:val="zh-CN"/>
              </w:rPr>
              <w:t>（</w:t>
            </w:r>
            <w:r>
              <w:rPr>
                <w:rFonts w:eastAsia="Times New Roman"/>
                <w:kern w:val="0"/>
                <w:sz w:val="20"/>
                <w:szCs w:val="24"/>
                <w:lang w:val="zh-CN"/>
              </w:rPr>
              <w:t>HE4</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用于体外定量测定人血清中人附睾蛋白</w:t>
            </w:r>
            <w:r>
              <w:rPr>
                <w:rFonts w:eastAsia="Times New Roman"/>
                <w:kern w:val="0"/>
                <w:sz w:val="20"/>
                <w:szCs w:val="24"/>
                <w:lang w:val="zh-CN"/>
              </w:rPr>
              <w:t>4</w:t>
            </w:r>
            <w:r>
              <w:rPr>
                <w:rFonts w:hint="eastAsia" w:ascii="宋体" w:hAnsi="宋体" w:cs="宋体"/>
                <w:kern w:val="0"/>
                <w:sz w:val="20"/>
                <w:szCs w:val="24"/>
                <w:lang w:val="zh-CN"/>
              </w:rPr>
              <w:t>（</w:t>
            </w:r>
            <w:r>
              <w:rPr>
                <w:rFonts w:eastAsia="Times New Roman"/>
                <w:kern w:val="0"/>
                <w:sz w:val="20"/>
                <w:szCs w:val="24"/>
                <w:lang w:val="zh-CN"/>
              </w:rPr>
              <w:t>HE4</w:t>
            </w:r>
            <w:r>
              <w:rPr>
                <w:rFonts w:hint="eastAsia" w:ascii="宋体" w:hAnsi="宋体" w:cs="宋体"/>
                <w:kern w:val="0"/>
                <w:sz w:val="20"/>
                <w:szCs w:val="24"/>
                <w:lang w:val="zh-CN"/>
              </w:rPr>
              <w:t>）的浓度。</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22</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结合前列腺特异抗原</w:t>
            </w:r>
            <w:r>
              <w:rPr>
                <w:rFonts w:eastAsia="Times New Roman"/>
                <w:kern w:val="0"/>
                <w:sz w:val="20"/>
                <w:szCs w:val="24"/>
                <w:lang w:val="zh-CN"/>
              </w:rPr>
              <w:t>(cPSA)</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本试剂盒用于体外定量测定人血清中结合前列腺特异性抗原</w:t>
            </w:r>
            <w:r>
              <w:rPr>
                <w:rFonts w:eastAsia="Times New Roman"/>
                <w:kern w:val="0"/>
                <w:sz w:val="20"/>
                <w:szCs w:val="24"/>
                <w:lang w:val="zh-CN"/>
              </w:rPr>
              <w:t>(cPSA)</w:t>
            </w:r>
            <w:r>
              <w:rPr>
                <w:rFonts w:hint="eastAsia" w:ascii="宋体" w:hAnsi="宋体" w:cs="宋体"/>
                <w:kern w:val="0"/>
                <w:sz w:val="20"/>
                <w:szCs w:val="24"/>
                <w:lang w:val="zh-CN"/>
              </w:rPr>
              <w:t>的浓度。</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23</w:t>
            </w:r>
          </w:p>
        </w:tc>
        <w:tc>
          <w:tcPr>
            <w:tcW w:w="1497"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S100</w:t>
            </w:r>
            <w:r>
              <w:rPr>
                <w:rFonts w:hint="eastAsia" w:ascii="宋体" w:hAnsi="宋体" w:cs="宋体"/>
                <w:kern w:val="0"/>
                <w:sz w:val="20"/>
                <w:szCs w:val="24"/>
                <w:lang w:val="zh-CN"/>
              </w:rPr>
              <w:t>蛋白检测试剂检测试剂盒（化学发光免疫分析法）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本试剂盒用于体外定量测定人血清中</w:t>
            </w:r>
            <w:r>
              <w:rPr>
                <w:rFonts w:eastAsia="Times New Roman"/>
                <w:kern w:val="0"/>
                <w:sz w:val="20"/>
                <w:szCs w:val="24"/>
                <w:lang w:val="zh-CN"/>
              </w:rPr>
              <w:t>S100</w:t>
            </w:r>
            <w:r>
              <w:rPr>
                <w:rFonts w:hint="eastAsia" w:ascii="宋体" w:hAnsi="宋体" w:cs="宋体"/>
                <w:kern w:val="0"/>
                <w:sz w:val="20"/>
                <w:szCs w:val="24"/>
                <w:lang w:val="zh-CN"/>
              </w:rPr>
              <w:t>蛋白（</w:t>
            </w:r>
            <w:r>
              <w:rPr>
                <w:kern w:val="0"/>
                <w:sz w:val="20"/>
                <w:szCs w:val="24"/>
                <w:lang w:val="zh-CN"/>
              </w:rPr>
              <w:t>S100 α1β</w:t>
            </w:r>
            <w:r>
              <w:rPr>
                <w:rFonts w:hint="eastAsia" w:ascii="宋体" w:hAnsi="宋体" w:cs="宋体"/>
                <w:kern w:val="0"/>
                <w:sz w:val="20"/>
                <w:szCs w:val="24"/>
                <w:lang w:val="zh-CN"/>
              </w:rPr>
              <w:t>和</w:t>
            </w:r>
            <w:r>
              <w:rPr>
                <w:kern w:val="0"/>
                <w:sz w:val="20"/>
                <w:szCs w:val="24"/>
                <w:lang w:val="zh-CN"/>
              </w:rPr>
              <w:t>S100 ββ</w:t>
            </w:r>
            <w:r>
              <w:rPr>
                <w:rFonts w:hint="eastAsia" w:ascii="宋体" w:hAnsi="宋体" w:cs="宋体"/>
                <w:kern w:val="0"/>
                <w:sz w:val="20"/>
                <w:szCs w:val="24"/>
                <w:lang w:val="zh-CN"/>
              </w:rPr>
              <w:t>）的浓度。</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24</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糖类抗原</w:t>
            </w:r>
            <w:r>
              <w:rPr>
                <w:rFonts w:eastAsia="Times New Roman"/>
                <w:kern w:val="0"/>
                <w:sz w:val="20"/>
                <w:szCs w:val="24"/>
                <w:lang w:val="zh-CN"/>
              </w:rPr>
              <w:t>242</w:t>
            </w:r>
            <w:r>
              <w:rPr>
                <w:rFonts w:hint="eastAsia" w:ascii="宋体" w:hAnsi="宋体" w:cs="宋体"/>
                <w:kern w:val="0"/>
                <w:sz w:val="20"/>
                <w:szCs w:val="24"/>
                <w:lang w:val="zh-CN"/>
              </w:rPr>
              <w:t>（</w:t>
            </w:r>
            <w:r>
              <w:rPr>
                <w:rFonts w:eastAsia="Times New Roman"/>
                <w:kern w:val="0"/>
                <w:sz w:val="20"/>
                <w:szCs w:val="24"/>
                <w:lang w:val="zh-CN"/>
              </w:rPr>
              <w:t>CA242</w:t>
            </w:r>
            <w:r>
              <w:rPr>
                <w:rFonts w:hint="eastAsia" w:ascii="宋体" w:hAnsi="宋体" w:cs="宋体"/>
                <w:kern w:val="0"/>
                <w:sz w:val="20"/>
                <w:szCs w:val="24"/>
                <w:lang w:val="zh-CN"/>
              </w:rPr>
              <w:t>）检测试剂盒（化学发光免疫分析法）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用于人血清中糖类抗原</w:t>
            </w:r>
            <w:r>
              <w:rPr>
                <w:rFonts w:eastAsia="Times New Roman"/>
                <w:kern w:val="0"/>
                <w:sz w:val="20"/>
                <w:szCs w:val="24"/>
                <w:lang w:val="zh-CN"/>
              </w:rPr>
              <w:t>242</w:t>
            </w:r>
            <w:r>
              <w:rPr>
                <w:rFonts w:hint="eastAsia" w:ascii="宋体" w:hAnsi="宋体" w:cs="宋体"/>
                <w:kern w:val="0"/>
                <w:sz w:val="20"/>
                <w:szCs w:val="24"/>
                <w:lang w:val="zh-CN"/>
              </w:rPr>
              <w:t>（</w:t>
            </w:r>
            <w:r>
              <w:rPr>
                <w:rFonts w:eastAsia="Times New Roman"/>
                <w:kern w:val="0"/>
                <w:sz w:val="20"/>
                <w:szCs w:val="24"/>
                <w:lang w:val="zh-CN"/>
              </w:rPr>
              <w:t>CA242</w:t>
            </w:r>
            <w:r>
              <w:rPr>
                <w:rFonts w:hint="eastAsia" w:ascii="宋体" w:hAnsi="宋体" w:cs="宋体"/>
                <w:kern w:val="0"/>
                <w:sz w:val="20"/>
                <w:szCs w:val="24"/>
                <w:lang w:val="zh-CN"/>
              </w:rPr>
              <w:t>）浓度的定量测定。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25</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超敏</w:t>
            </w:r>
            <w:r>
              <w:rPr>
                <w:rFonts w:eastAsia="Times New Roman"/>
                <w:kern w:val="0"/>
                <w:sz w:val="20"/>
                <w:szCs w:val="24"/>
                <w:lang w:val="zh-CN"/>
              </w:rPr>
              <w:t>CRP</w:t>
            </w:r>
            <w:r>
              <w:rPr>
                <w:rFonts w:hint="eastAsia" w:ascii="宋体" w:hAnsi="宋体" w:cs="宋体"/>
                <w:kern w:val="0"/>
                <w:sz w:val="20"/>
                <w:szCs w:val="24"/>
                <w:lang w:val="zh-CN"/>
              </w:rPr>
              <w:t>试剂（胶乳增强免疫散射法）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用于全血中</w:t>
            </w:r>
            <w:r>
              <w:rPr>
                <w:rFonts w:eastAsia="Times New Roman"/>
                <w:kern w:val="0"/>
                <w:sz w:val="20"/>
                <w:szCs w:val="24"/>
                <w:lang w:val="zh-CN"/>
              </w:rPr>
              <w:t>C</w:t>
            </w:r>
            <w:r>
              <w:rPr>
                <w:rFonts w:hint="eastAsia" w:ascii="宋体" w:hAnsi="宋体" w:cs="宋体"/>
                <w:kern w:val="0"/>
                <w:sz w:val="20"/>
                <w:szCs w:val="24"/>
                <w:lang w:val="zh-CN"/>
              </w:rPr>
              <w:t>反应蛋白（</w:t>
            </w:r>
            <w:r>
              <w:rPr>
                <w:rFonts w:eastAsia="Times New Roman"/>
                <w:kern w:val="0"/>
                <w:sz w:val="20"/>
                <w:szCs w:val="24"/>
                <w:lang w:val="zh-CN"/>
              </w:rPr>
              <w:t>CRP</w:t>
            </w:r>
            <w:r>
              <w:rPr>
                <w:rFonts w:hint="eastAsia" w:ascii="宋体" w:hAnsi="宋体" w:cs="宋体"/>
                <w:kern w:val="0"/>
                <w:sz w:val="20"/>
                <w:szCs w:val="24"/>
                <w:lang w:val="zh-CN"/>
              </w:rPr>
              <w:t>）浓度的体外定量测定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26</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降钙素原试剂（胶乳增强免疫散射法）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用于人全血中降钙素原（</w:t>
            </w:r>
            <w:r>
              <w:rPr>
                <w:rFonts w:eastAsia="Times New Roman"/>
                <w:kern w:val="0"/>
                <w:sz w:val="20"/>
                <w:szCs w:val="24"/>
                <w:lang w:val="zh-CN"/>
              </w:rPr>
              <w:t>PCT</w:t>
            </w:r>
            <w:r>
              <w:rPr>
                <w:rFonts w:hint="eastAsia" w:ascii="宋体" w:hAnsi="宋体" w:cs="宋体"/>
                <w:kern w:val="0"/>
                <w:sz w:val="20"/>
                <w:szCs w:val="24"/>
                <w:lang w:val="zh-CN"/>
              </w:rPr>
              <w:t>）浓度的体外定量测定。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27</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血清淀粉样蛋白</w:t>
            </w:r>
            <w:r>
              <w:rPr>
                <w:rFonts w:eastAsia="Times New Roman"/>
                <w:kern w:val="0"/>
                <w:sz w:val="20"/>
                <w:szCs w:val="24"/>
                <w:lang w:val="zh-CN"/>
              </w:rPr>
              <w:t>A</w:t>
            </w:r>
            <w:r>
              <w:rPr>
                <w:rFonts w:hint="eastAsia" w:ascii="宋体" w:hAnsi="宋体" w:cs="宋体"/>
                <w:kern w:val="0"/>
                <w:sz w:val="20"/>
                <w:szCs w:val="24"/>
                <w:lang w:val="zh-CN"/>
              </w:rPr>
              <w:t>试剂（胶乳增强免疫散射法）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用于全血中淀粉样蛋白</w:t>
            </w:r>
            <w:r>
              <w:rPr>
                <w:rFonts w:eastAsia="Times New Roman"/>
                <w:kern w:val="0"/>
                <w:sz w:val="20"/>
                <w:szCs w:val="24"/>
                <w:lang w:val="zh-CN"/>
              </w:rPr>
              <w:t>A</w:t>
            </w:r>
            <w:r>
              <w:rPr>
                <w:rFonts w:hint="eastAsia" w:ascii="宋体" w:hAnsi="宋体" w:cs="宋体"/>
                <w:kern w:val="0"/>
                <w:sz w:val="20"/>
                <w:szCs w:val="24"/>
                <w:lang w:val="zh-CN"/>
              </w:rPr>
              <w:t>浓度的体外定量测定。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28</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尿有形成分分析仪应用试剂盒（包括调焦液、标准液、阴阳性质控液）</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试剂盒由调焦液、标准液、阳性质控液、阴性质控液组成。调焦液用于仪器显微成像系统焦面位置的确定，阴性质控液、阳性质控液和标准液用于测试过程的质量控制。</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29</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衍生化法氨基酸</w:t>
            </w:r>
            <w:r>
              <w:rPr>
                <w:rFonts w:eastAsia="Times New Roman"/>
                <w:kern w:val="0"/>
                <w:sz w:val="20"/>
                <w:szCs w:val="24"/>
                <w:lang w:val="zh-CN"/>
              </w:rPr>
              <w:t>/</w:t>
            </w:r>
            <w:r>
              <w:rPr>
                <w:rFonts w:hint="eastAsia" w:ascii="宋体" w:hAnsi="宋体" w:cs="宋体"/>
                <w:kern w:val="0"/>
                <w:sz w:val="20"/>
                <w:szCs w:val="24"/>
                <w:lang w:val="zh-CN"/>
              </w:rPr>
              <w:t>肉碱质谱检测试剂盒</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本试剂盒用于测量和评估采集到滤纸片上的新生儿干血样中的氨基酸、游离肉碱以及酰基肉碱的浓度。</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注册检测</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30</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非衍生化法氨基酸</w:t>
            </w:r>
            <w:r>
              <w:rPr>
                <w:rFonts w:eastAsia="Times New Roman"/>
                <w:kern w:val="0"/>
                <w:sz w:val="20"/>
                <w:szCs w:val="24"/>
                <w:lang w:val="zh-CN"/>
              </w:rPr>
              <w:t>/</w:t>
            </w:r>
            <w:r>
              <w:rPr>
                <w:rFonts w:hint="eastAsia" w:ascii="宋体" w:hAnsi="宋体" w:cs="宋体"/>
                <w:kern w:val="0"/>
                <w:sz w:val="20"/>
                <w:szCs w:val="24"/>
                <w:lang w:val="zh-CN"/>
              </w:rPr>
              <w:t>肉碱质谱检测试剂盒</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本试剂盒用于测量和评估采集到滤纸片上的新生儿干血样中的氨基酸、游离肉碱以及酰基肉碱的浓度。</w:t>
            </w:r>
            <w:r>
              <w:rPr>
                <w:rFonts w:eastAsia="Times New Roman"/>
                <w:kern w:val="0"/>
                <w:sz w:val="20"/>
                <w:szCs w:val="24"/>
                <w:lang w:val="zh-CN"/>
              </w:rPr>
              <w:t xml:space="preserve"> </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注册检测</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31</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皮质醇检测试剂盒（化学发光免疫分析法）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用于人血清或</w:t>
            </w:r>
            <w:r>
              <w:rPr>
                <w:rFonts w:eastAsia="Times New Roman"/>
                <w:kern w:val="0"/>
                <w:sz w:val="20"/>
                <w:szCs w:val="24"/>
                <w:lang w:val="zh-CN"/>
              </w:rPr>
              <w:t>EDTA</w:t>
            </w:r>
            <w:r>
              <w:rPr>
                <w:rFonts w:hint="eastAsia" w:ascii="宋体" w:hAnsi="宋体" w:cs="宋体"/>
                <w:kern w:val="0"/>
                <w:sz w:val="20"/>
                <w:szCs w:val="24"/>
                <w:lang w:val="zh-CN"/>
              </w:rPr>
              <w:t>血浆中皮质醇（</w:t>
            </w:r>
            <w:r>
              <w:rPr>
                <w:rFonts w:eastAsia="Times New Roman"/>
                <w:kern w:val="0"/>
                <w:sz w:val="20"/>
                <w:szCs w:val="24"/>
                <w:lang w:val="zh-CN"/>
              </w:rPr>
              <w:t>COR</w:t>
            </w:r>
            <w:r>
              <w:rPr>
                <w:rFonts w:hint="eastAsia" w:ascii="宋体" w:hAnsi="宋体" w:cs="宋体"/>
                <w:kern w:val="0"/>
                <w:sz w:val="20"/>
                <w:szCs w:val="24"/>
                <w:lang w:val="zh-CN"/>
              </w:rPr>
              <w:t>）浓度的定量测定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临床试验</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32</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全段甲状旁腺激素检测试剂盒</w:t>
            </w:r>
            <w:r>
              <w:rPr>
                <w:rFonts w:eastAsia="Times New Roman"/>
                <w:kern w:val="0"/>
                <w:sz w:val="20"/>
                <w:szCs w:val="24"/>
                <w:lang w:val="zh-CN"/>
              </w:rPr>
              <w:t>(</w:t>
            </w:r>
            <w:r>
              <w:rPr>
                <w:rFonts w:hint="eastAsia" w:ascii="宋体" w:hAnsi="宋体" w:cs="宋体"/>
                <w:kern w:val="0"/>
                <w:sz w:val="20"/>
                <w:szCs w:val="24"/>
                <w:lang w:val="zh-CN"/>
              </w:rPr>
              <w:t>化学发光免疫分析法</w:t>
            </w:r>
            <w:r>
              <w:rPr>
                <w:rFonts w:eastAsia="Times New Roman"/>
                <w:kern w:val="0"/>
                <w:sz w:val="20"/>
                <w:szCs w:val="24"/>
                <w:lang w:val="zh-CN"/>
              </w:rPr>
              <w:t>)</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用于人血清中全段甲状旁腺激素（</w:t>
            </w:r>
            <w:r>
              <w:rPr>
                <w:rFonts w:eastAsia="Times New Roman"/>
                <w:kern w:val="0"/>
                <w:sz w:val="20"/>
                <w:szCs w:val="24"/>
                <w:lang w:val="zh-CN"/>
              </w:rPr>
              <w:t>iPTH</w:t>
            </w:r>
            <w:r>
              <w:rPr>
                <w:rFonts w:hint="eastAsia" w:ascii="宋体" w:hAnsi="宋体" w:cs="宋体"/>
                <w:kern w:val="0"/>
                <w:sz w:val="20"/>
                <w:szCs w:val="24"/>
                <w:lang w:val="zh-CN"/>
              </w:rPr>
              <w:t>）浓度的定量测定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临床试验</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33</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肾素检测试剂盒</w:t>
            </w:r>
            <w:r>
              <w:rPr>
                <w:rFonts w:eastAsia="Times New Roman"/>
                <w:kern w:val="0"/>
                <w:sz w:val="20"/>
                <w:szCs w:val="24"/>
                <w:lang w:val="zh-CN"/>
              </w:rPr>
              <w:t>(</w:t>
            </w:r>
            <w:r>
              <w:rPr>
                <w:rFonts w:hint="eastAsia" w:ascii="宋体" w:hAnsi="宋体" w:cs="宋体"/>
                <w:kern w:val="0"/>
                <w:sz w:val="20"/>
                <w:szCs w:val="24"/>
                <w:lang w:val="zh-CN"/>
              </w:rPr>
              <w:t>化学发光免疫分析法</w:t>
            </w:r>
            <w:r>
              <w:rPr>
                <w:rFonts w:eastAsia="Times New Roman"/>
                <w:kern w:val="0"/>
                <w:sz w:val="20"/>
                <w:szCs w:val="24"/>
                <w:lang w:val="zh-CN"/>
              </w:rPr>
              <w:t>)</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w:t>
            </w:r>
            <w:r>
              <w:rPr>
                <w:rFonts w:eastAsia="Times New Roman"/>
                <w:kern w:val="0"/>
                <w:sz w:val="20"/>
                <w:szCs w:val="24"/>
                <w:lang w:val="zh-CN"/>
              </w:rPr>
              <w:t>EDTA</w:t>
            </w:r>
            <w:r>
              <w:rPr>
                <w:rFonts w:hint="eastAsia" w:ascii="宋体" w:hAnsi="宋体" w:cs="宋体"/>
                <w:kern w:val="0"/>
                <w:sz w:val="20"/>
                <w:szCs w:val="24"/>
                <w:lang w:val="zh-CN"/>
              </w:rPr>
              <w:t>血浆中肾素</w:t>
            </w:r>
            <w:r>
              <w:rPr>
                <w:rFonts w:eastAsia="Times New Roman"/>
                <w:kern w:val="0"/>
                <w:sz w:val="20"/>
                <w:szCs w:val="24"/>
                <w:lang w:val="zh-CN"/>
              </w:rPr>
              <w:t>(REN)</w:t>
            </w:r>
            <w:r>
              <w:rPr>
                <w:rFonts w:hint="eastAsia" w:ascii="宋体" w:hAnsi="宋体" w:cs="宋体"/>
                <w:kern w:val="0"/>
                <w:sz w:val="20"/>
                <w:szCs w:val="24"/>
                <w:lang w:val="zh-CN"/>
              </w:rPr>
              <w:t>浓度的定量测定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临床试验</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34</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二氧化碳检测试剂盒（连续监测法）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用于人血清中二氧化碳</w:t>
            </w:r>
            <w:r>
              <w:rPr>
                <w:rFonts w:eastAsia="Times New Roman"/>
                <w:kern w:val="0"/>
                <w:sz w:val="20"/>
                <w:szCs w:val="24"/>
                <w:lang w:val="zh-CN"/>
              </w:rPr>
              <w:t>(CO2)</w:t>
            </w:r>
            <w:r>
              <w:rPr>
                <w:rFonts w:hint="eastAsia" w:ascii="宋体" w:hAnsi="宋体" w:cs="宋体"/>
                <w:kern w:val="0"/>
                <w:sz w:val="20"/>
                <w:szCs w:val="24"/>
                <w:lang w:val="zh-CN"/>
              </w:rPr>
              <w:t>浓度的定量测定。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注册检测</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35</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全自动糖化血红蛋白分析仪</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用于对血液中糖化血红蛋白进行定量检测。</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36</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全自动化学发光免疫分析仪</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采用基于吖啶酯的直接化学发光法，与配套的检测试剂共同使用，在临床上用于对来源于人体的血清、血浆等样本中的被分析物进行检测。</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注册检测</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37</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全自动生化分析仪</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本仪器用于对血清、血浆、尿液以及脑脊液等样本进行临床检验。</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注册检测</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38</w:t>
            </w:r>
          </w:p>
        </w:tc>
        <w:tc>
          <w:tcPr>
            <w:tcW w:w="1497"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 xml:space="preserve">MS-G200 </w:t>
            </w:r>
            <w:r>
              <w:rPr>
                <w:rFonts w:hint="eastAsia" w:ascii="宋体" w:hAnsi="宋体" w:cs="宋体"/>
                <w:kern w:val="0"/>
                <w:sz w:val="20"/>
                <w:szCs w:val="24"/>
                <w:lang w:val="zh-CN"/>
              </w:rPr>
              <w:t>胶体金免疫分析仪</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与特定胶体金试纸配套使用，用于胶体金试纸的定性判读或半定量检测。</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39</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钙镁磷三项测定试剂盒</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与本公司生产的全自动干式生化分析仪配套使用，体外定量检测人血清或血浆中钙离子（</w:t>
            </w:r>
            <w:r>
              <w:rPr>
                <w:rFonts w:eastAsia="Times New Roman"/>
                <w:kern w:val="0"/>
                <w:sz w:val="20"/>
                <w:szCs w:val="24"/>
                <w:lang w:val="zh-CN"/>
              </w:rPr>
              <w:t>Ca</w:t>
            </w:r>
            <w:r>
              <w:rPr>
                <w:rFonts w:hint="eastAsia" w:ascii="宋体" w:hAnsi="宋体" w:cs="宋体"/>
                <w:kern w:val="0"/>
                <w:sz w:val="20"/>
                <w:szCs w:val="24"/>
                <w:lang w:val="zh-CN"/>
              </w:rPr>
              <w:t>）、镁离子（</w:t>
            </w:r>
            <w:r>
              <w:rPr>
                <w:rFonts w:eastAsia="Times New Roman"/>
                <w:kern w:val="0"/>
                <w:sz w:val="20"/>
                <w:szCs w:val="24"/>
                <w:lang w:val="zh-CN"/>
              </w:rPr>
              <w:t>Mg</w:t>
            </w:r>
            <w:r>
              <w:rPr>
                <w:rFonts w:hint="eastAsia" w:ascii="宋体" w:hAnsi="宋体" w:cs="宋体"/>
                <w:kern w:val="0"/>
                <w:sz w:val="20"/>
                <w:szCs w:val="24"/>
                <w:lang w:val="zh-CN"/>
              </w:rPr>
              <w:t>）、无机磷（</w:t>
            </w:r>
            <w:r>
              <w:rPr>
                <w:rFonts w:eastAsia="Times New Roman"/>
                <w:kern w:val="0"/>
                <w:sz w:val="20"/>
                <w:szCs w:val="24"/>
                <w:lang w:val="zh-CN"/>
              </w:rPr>
              <w:t>P</w:t>
            </w:r>
            <w:r>
              <w:rPr>
                <w:rFonts w:hint="eastAsia" w:ascii="宋体" w:hAnsi="宋体" w:cs="宋体"/>
                <w:kern w:val="0"/>
                <w:sz w:val="20"/>
                <w:szCs w:val="24"/>
                <w:lang w:val="zh-CN"/>
              </w:rPr>
              <w:t>）的水平。</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40</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血清淀粉样蛋白（</w:t>
            </w:r>
            <w:r>
              <w:rPr>
                <w:rFonts w:eastAsia="Times New Roman"/>
                <w:kern w:val="0"/>
                <w:sz w:val="20"/>
                <w:szCs w:val="24"/>
                <w:lang w:val="zh-CN"/>
              </w:rPr>
              <w:t>SAA</w:t>
            </w:r>
            <w:r>
              <w:rPr>
                <w:rFonts w:hint="eastAsia" w:ascii="宋体" w:hAnsi="宋体" w:cs="宋体"/>
                <w:kern w:val="0"/>
                <w:sz w:val="20"/>
                <w:szCs w:val="24"/>
                <w:lang w:val="zh-CN"/>
              </w:rPr>
              <w:t>）测定试剂盒</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与本公司生产的全自动干式生化分析仪配套使用，体外定量检测人血清淀粉样蛋白</w:t>
            </w:r>
            <w:r>
              <w:rPr>
                <w:rFonts w:eastAsia="Times New Roman"/>
                <w:kern w:val="0"/>
                <w:sz w:val="20"/>
                <w:szCs w:val="24"/>
                <w:lang w:val="zh-CN"/>
              </w:rPr>
              <w:t>A</w:t>
            </w:r>
            <w:r>
              <w:rPr>
                <w:rFonts w:hint="eastAsia" w:ascii="宋体" w:hAnsi="宋体" w:cs="宋体"/>
                <w:kern w:val="0"/>
                <w:sz w:val="20"/>
                <w:szCs w:val="24"/>
                <w:lang w:val="zh-CN"/>
              </w:rPr>
              <w:t>的水平</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41</w:t>
            </w:r>
          </w:p>
        </w:tc>
        <w:tc>
          <w:tcPr>
            <w:tcW w:w="1497"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C</w:t>
            </w:r>
            <w:r>
              <w:rPr>
                <w:rFonts w:hint="eastAsia" w:ascii="宋体" w:hAnsi="宋体" w:cs="宋体"/>
                <w:kern w:val="0"/>
                <w:sz w:val="20"/>
                <w:szCs w:val="24"/>
                <w:lang w:val="zh-CN"/>
              </w:rPr>
              <w:t>反应蛋白（</w:t>
            </w:r>
            <w:r>
              <w:rPr>
                <w:rFonts w:eastAsia="Times New Roman"/>
                <w:kern w:val="0"/>
                <w:sz w:val="20"/>
                <w:szCs w:val="24"/>
                <w:lang w:val="zh-CN"/>
              </w:rPr>
              <w:t>CRP</w:t>
            </w:r>
            <w:r>
              <w:rPr>
                <w:rFonts w:hint="eastAsia" w:ascii="宋体" w:hAnsi="宋体" w:cs="宋体"/>
                <w:kern w:val="0"/>
                <w:sz w:val="20"/>
                <w:szCs w:val="24"/>
                <w:lang w:val="zh-CN"/>
              </w:rPr>
              <w:t>）测定试剂盒</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与本公司生产的全自动干式生化分析仪配套使用，体外定量检测人血清或血浆中</w:t>
            </w:r>
            <w:r>
              <w:rPr>
                <w:rFonts w:eastAsia="Times New Roman"/>
                <w:kern w:val="0"/>
                <w:sz w:val="20"/>
                <w:szCs w:val="24"/>
                <w:lang w:val="zh-CN"/>
              </w:rPr>
              <w:t>C</w:t>
            </w:r>
            <w:r>
              <w:rPr>
                <w:rFonts w:hint="eastAsia" w:ascii="宋体" w:hAnsi="宋体" w:cs="宋体"/>
                <w:kern w:val="0"/>
                <w:sz w:val="20"/>
                <w:szCs w:val="24"/>
                <w:lang w:val="zh-CN"/>
              </w:rPr>
              <w:t>反应蛋白</w:t>
            </w:r>
            <w:r>
              <w:rPr>
                <w:rFonts w:eastAsia="Times New Roman"/>
                <w:kern w:val="0"/>
                <w:sz w:val="20"/>
                <w:szCs w:val="24"/>
                <w:lang w:val="zh-CN"/>
              </w:rPr>
              <w:t>(CRP)</w:t>
            </w:r>
            <w:r>
              <w:rPr>
                <w:rFonts w:hint="eastAsia" w:ascii="宋体" w:hAnsi="宋体" w:cs="宋体"/>
                <w:kern w:val="0"/>
                <w:sz w:val="20"/>
                <w:szCs w:val="24"/>
                <w:lang w:val="zh-CN"/>
              </w:rPr>
              <w:t>的水平</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42</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尿液肾功能检测三项测定试剂盒</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与本公司生产的全自动干式生化分析仪配套使用，体外定量检测人尿液中肌酐（</w:t>
            </w:r>
            <w:r>
              <w:rPr>
                <w:rFonts w:eastAsia="Times New Roman"/>
                <w:kern w:val="0"/>
                <w:sz w:val="20"/>
                <w:szCs w:val="24"/>
                <w:lang w:val="zh-CN"/>
              </w:rPr>
              <w:t>uCRE</w:t>
            </w:r>
            <w:r>
              <w:rPr>
                <w:rFonts w:hint="eastAsia" w:ascii="宋体" w:hAnsi="宋体" w:cs="宋体"/>
                <w:kern w:val="0"/>
                <w:sz w:val="20"/>
                <w:szCs w:val="24"/>
                <w:lang w:val="zh-CN"/>
              </w:rPr>
              <w:t>）、总蛋白</w:t>
            </w:r>
            <w:r>
              <w:rPr>
                <w:rFonts w:eastAsia="Times New Roman"/>
                <w:kern w:val="0"/>
                <w:sz w:val="20"/>
                <w:szCs w:val="24"/>
                <w:lang w:val="zh-CN"/>
              </w:rPr>
              <w:t>(uTP)</w:t>
            </w:r>
            <w:r>
              <w:rPr>
                <w:rFonts w:hint="eastAsia" w:ascii="宋体" w:hAnsi="宋体" w:cs="宋体"/>
                <w:kern w:val="0"/>
                <w:sz w:val="20"/>
                <w:szCs w:val="24"/>
                <w:lang w:val="zh-CN"/>
              </w:rPr>
              <w:t>和微量白蛋白（</w:t>
            </w:r>
            <w:r>
              <w:rPr>
                <w:rFonts w:eastAsia="Times New Roman"/>
                <w:kern w:val="0"/>
                <w:sz w:val="20"/>
                <w:szCs w:val="24"/>
                <w:lang w:val="zh-CN"/>
              </w:rPr>
              <w:t>mALB</w:t>
            </w:r>
            <w:r>
              <w:rPr>
                <w:rFonts w:hint="eastAsia" w:ascii="宋体" w:hAnsi="宋体" w:cs="宋体"/>
                <w:kern w:val="0"/>
                <w:sz w:val="20"/>
                <w:szCs w:val="24"/>
                <w:lang w:val="zh-CN"/>
              </w:rPr>
              <w:t>）的水平</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43</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糖化血红蛋白测试卡</w:t>
            </w:r>
            <w:r>
              <w:rPr>
                <w:rFonts w:eastAsia="Times New Roman"/>
                <w:kern w:val="0"/>
                <w:sz w:val="20"/>
                <w:szCs w:val="24"/>
                <w:lang w:val="zh-CN"/>
              </w:rPr>
              <w:t>(</w:t>
            </w:r>
            <w:r>
              <w:rPr>
                <w:rFonts w:hint="eastAsia" w:ascii="宋体" w:hAnsi="宋体" w:cs="宋体"/>
                <w:kern w:val="0"/>
                <w:sz w:val="20"/>
                <w:szCs w:val="24"/>
                <w:lang w:val="zh-CN"/>
              </w:rPr>
              <w:t>干化学法</w:t>
            </w:r>
            <w:r>
              <w:rPr>
                <w:rFonts w:eastAsia="Times New Roman"/>
                <w:kern w:val="0"/>
                <w:sz w:val="20"/>
                <w:szCs w:val="24"/>
                <w:lang w:val="zh-CN"/>
              </w:rPr>
              <w:t>)</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适用于体外定量检测人手指末梢血、静脉全血样本中的糖化血红蛋白浓度。</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44</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同型半胱氨酸测试卡</w:t>
            </w:r>
            <w:r>
              <w:rPr>
                <w:rFonts w:eastAsia="Times New Roman"/>
                <w:kern w:val="0"/>
                <w:sz w:val="20"/>
                <w:szCs w:val="24"/>
                <w:lang w:val="zh-CN"/>
              </w:rPr>
              <w:t>(</w:t>
            </w:r>
            <w:r>
              <w:rPr>
                <w:rFonts w:hint="eastAsia" w:ascii="宋体" w:hAnsi="宋体" w:cs="宋体"/>
                <w:kern w:val="0"/>
                <w:sz w:val="20"/>
                <w:szCs w:val="24"/>
                <w:lang w:val="zh-CN"/>
              </w:rPr>
              <w:t>干化学法</w:t>
            </w:r>
            <w:r>
              <w:rPr>
                <w:rFonts w:eastAsia="Times New Roman"/>
                <w:kern w:val="0"/>
                <w:sz w:val="20"/>
                <w:szCs w:val="24"/>
                <w:lang w:val="zh-CN"/>
              </w:rPr>
              <w:t>)</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适用于体外定量检测人手指末梢血、血清样本中的同型半胱氨酸浓度。</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45</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血脂测试卡</w:t>
            </w:r>
            <w:r>
              <w:rPr>
                <w:rFonts w:eastAsia="Times New Roman"/>
                <w:kern w:val="0"/>
                <w:sz w:val="20"/>
                <w:szCs w:val="24"/>
                <w:lang w:val="zh-CN"/>
              </w:rPr>
              <w:t>(</w:t>
            </w:r>
            <w:r>
              <w:rPr>
                <w:rFonts w:hint="eastAsia" w:ascii="宋体" w:hAnsi="宋体" w:cs="宋体"/>
                <w:kern w:val="0"/>
                <w:sz w:val="20"/>
                <w:szCs w:val="24"/>
                <w:lang w:val="zh-CN"/>
              </w:rPr>
              <w:t>干化学法</w:t>
            </w:r>
            <w:r>
              <w:rPr>
                <w:rFonts w:eastAsia="Times New Roman"/>
                <w:kern w:val="0"/>
                <w:sz w:val="20"/>
                <w:szCs w:val="24"/>
                <w:lang w:val="zh-CN"/>
              </w:rPr>
              <w:t>)</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血脂测试卡（干化学法）用于体外定量检测人体全血（（手指末梢血和静脉血））、血浆或血清中的总胆固醇（</w:t>
            </w:r>
            <w:r>
              <w:rPr>
                <w:rFonts w:eastAsia="Times New Roman"/>
                <w:kern w:val="0"/>
                <w:sz w:val="20"/>
                <w:szCs w:val="24"/>
                <w:lang w:val="zh-CN"/>
              </w:rPr>
              <w:t>T-CH</w:t>
            </w:r>
            <w:r>
              <w:rPr>
                <w:rFonts w:hint="eastAsia" w:ascii="宋体" w:hAnsi="宋体" w:cs="宋体"/>
                <w:kern w:val="0"/>
                <w:sz w:val="20"/>
                <w:szCs w:val="24"/>
                <w:lang w:val="zh-CN"/>
              </w:rPr>
              <w:t>）、高密度脂蛋白胆固醇（</w:t>
            </w:r>
            <w:r>
              <w:rPr>
                <w:rFonts w:eastAsia="Times New Roman"/>
                <w:kern w:val="0"/>
                <w:sz w:val="20"/>
                <w:szCs w:val="24"/>
                <w:lang w:val="zh-CN"/>
              </w:rPr>
              <w:t>HDL-C</w:t>
            </w:r>
            <w:r>
              <w:rPr>
                <w:rFonts w:hint="eastAsia" w:ascii="宋体" w:hAnsi="宋体" w:cs="宋体"/>
                <w:kern w:val="0"/>
                <w:sz w:val="20"/>
                <w:szCs w:val="24"/>
                <w:lang w:val="zh-CN"/>
              </w:rPr>
              <w:t>）和甘油三脂（</w:t>
            </w:r>
            <w:r>
              <w:rPr>
                <w:rFonts w:eastAsia="Times New Roman"/>
                <w:kern w:val="0"/>
                <w:sz w:val="20"/>
                <w:szCs w:val="24"/>
                <w:lang w:val="zh-CN"/>
              </w:rPr>
              <w:t>TG</w:t>
            </w:r>
            <w:r>
              <w:rPr>
                <w:rFonts w:hint="eastAsia" w:ascii="宋体" w:hAnsi="宋体" w:cs="宋体"/>
                <w:kern w:val="0"/>
                <w:sz w:val="20"/>
                <w:szCs w:val="24"/>
                <w:lang w:val="zh-CN"/>
              </w:rPr>
              <w:t>）的含量。</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46</w:t>
            </w:r>
          </w:p>
        </w:tc>
        <w:tc>
          <w:tcPr>
            <w:tcW w:w="1497"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ALT&amp;AST</w:t>
            </w:r>
            <w:r>
              <w:rPr>
                <w:rFonts w:hint="eastAsia" w:ascii="宋体" w:hAnsi="宋体" w:cs="宋体"/>
                <w:kern w:val="0"/>
                <w:sz w:val="20"/>
                <w:szCs w:val="24"/>
                <w:lang w:val="zh-CN"/>
              </w:rPr>
              <w:t>双联检测试剂</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丙氨酸氨基转移酶、天冬氨酸氨基转移酶二联测试卡（干化学法）是与干式化学分析仪配套使用的专用测试卡，用于人体全血（手指末梢血和静脉血）、血浆或血清中丙氨酸氨基转移酶（</w:t>
            </w:r>
            <w:r>
              <w:rPr>
                <w:rFonts w:eastAsia="Times New Roman"/>
                <w:kern w:val="0"/>
                <w:sz w:val="20"/>
                <w:szCs w:val="24"/>
                <w:lang w:val="zh-CN"/>
              </w:rPr>
              <w:t>ALT</w:t>
            </w:r>
            <w:r>
              <w:rPr>
                <w:rFonts w:hint="eastAsia" w:ascii="宋体" w:hAnsi="宋体" w:cs="宋体"/>
                <w:kern w:val="0"/>
                <w:sz w:val="20"/>
                <w:szCs w:val="24"/>
                <w:lang w:val="zh-CN"/>
              </w:rPr>
              <w:t>）和天冬氨酸氨基转移酶（</w:t>
            </w:r>
            <w:r>
              <w:rPr>
                <w:rFonts w:eastAsia="Times New Roman"/>
                <w:kern w:val="0"/>
                <w:sz w:val="20"/>
                <w:szCs w:val="24"/>
                <w:lang w:val="zh-CN"/>
              </w:rPr>
              <w:t>AST</w:t>
            </w:r>
            <w:r>
              <w:rPr>
                <w:rFonts w:hint="eastAsia" w:ascii="宋体" w:hAnsi="宋体" w:cs="宋体"/>
                <w:kern w:val="0"/>
                <w:sz w:val="20"/>
                <w:szCs w:val="24"/>
                <w:lang w:val="zh-CN"/>
              </w:rPr>
              <w:t>）的体外定量检测。</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47</w:t>
            </w:r>
          </w:p>
        </w:tc>
        <w:tc>
          <w:tcPr>
            <w:tcW w:w="1497"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ALT&amp;HB</w:t>
            </w:r>
            <w:r>
              <w:rPr>
                <w:rFonts w:hint="eastAsia" w:ascii="宋体" w:hAnsi="宋体" w:cs="宋体"/>
                <w:kern w:val="0"/>
                <w:sz w:val="20"/>
                <w:szCs w:val="24"/>
                <w:lang w:val="zh-CN"/>
              </w:rPr>
              <w:t>双联检测试剂</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丙氨酸氨基转移酶、血红蛋白二联测试卡（干化学法）是与干式化学分析仪配套使用的专用测试卡，用于人体全血（手指末梢血和静脉血）中丙氨酸氨基转移酶（</w:t>
            </w:r>
            <w:r>
              <w:rPr>
                <w:rFonts w:eastAsia="Times New Roman"/>
                <w:kern w:val="0"/>
                <w:sz w:val="20"/>
                <w:szCs w:val="24"/>
                <w:lang w:val="zh-CN"/>
              </w:rPr>
              <w:t>ALT</w:t>
            </w:r>
            <w:r>
              <w:rPr>
                <w:rFonts w:hint="eastAsia" w:ascii="宋体" w:hAnsi="宋体" w:cs="宋体"/>
                <w:kern w:val="0"/>
                <w:sz w:val="20"/>
                <w:szCs w:val="24"/>
                <w:lang w:val="zh-CN"/>
              </w:rPr>
              <w:t>）和血红蛋白（</w:t>
            </w:r>
            <w:r>
              <w:rPr>
                <w:rFonts w:eastAsia="Times New Roman"/>
                <w:kern w:val="0"/>
                <w:sz w:val="20"/>
                <w:szCs w:val="24"/>
                <w:lang w:val="zh-CN"/>
              </w:rPr>
              <w:t>Hb</w:t>
            </w:r>
            <w:r>
              <w:rPr>
                <w:rFonts w:hint="eastAsia" w:ascii="宋体" w:hAnsi="宋体" w:cs="宋体"/>
                <w:kern w:val="0"/>
                <w:sz w:val="20"/>
                <w:szCs w:val="24"/>
                <w:lang w:val="zh-CN"/>
              </w:rPr>
              <w:t>）的体外定量检测。</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48</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肌红蛋白检测试剂盒（荧光免疫层析法）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用于人血清、血浆或全血中肌红蛋白</w:t>
            </w:r>
            <w:r>
              <w:rPr>
                <w:rFonts w:eastAsia="Times New Roman"/>
                <w:kern w:val="0"/>
                <w:sz w:val="20"/>
                <w:szCs w:val="24"/>
                <w:lang w:val="zh-CN"/>
              </w:rPr>
              <w:t>(MB)</w:t>
            </w:r>
            <w:r>
              <w:rPr>
                <w:rFonts w:hint="eastAsia" w:ascii="宋体" w:hAnsi="宋体" w:cs="宋体"/>
                <w:kern w:val="0"/>
                <w:sz w:val="20"/>
                <w:szCs w:val="24"/>
                <w:lang w:val="zh-CN"/>
              </w:rPr>
              <w:t>浓度的体外定量测定。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49</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心型脂肪酸结合蛋白检测试剂盒（荧光免疫层析法）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用于人血清、血浆或全血中心型脂肪酸结合蛋白</w:t>
            </w:r>
            <w:r>
              <w:rPr>
                <w:rFonts w:eastAsia="Times New Roman"/>
                <w:kern w:val="0"/>
                <w:sz w:val="20"/>
                <w:szCs w:val="24"/>
                <w:lang w:val="zh-CN"/>
              </w:rPr>
              <w:t>(H-FABP)</w:t>
            </w:r>
            <w:r>
              <w:rPr>
                <w:rFonts w:hint="eastAsia" w:ascii="宋体" w:hAnsi="宋体" w:cs="宋体"/>
                <w:kern w:val="0"/>
                <w:sz w:val="20"/>
                <w:szCs w:val="24"/>
                <w:lang w:val="zh-CN"/>
              </w:rPr>
              <w:t>浓度的体外定量测定。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50</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肌酸激酶同工酶检测试剂盒（荧光免疫层析法）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用于人血清、血浆或全血中肌酸激酶同工酶</w:t>
            </w:r>
            <w:r>
              <w:rPr>
                <w:rFonts w:eastAsia="Times New Roman"/>
                <w:kern w:val="0"/>
                <w:sz w:val="20"/>
                <w:szCs w:val="24"/>
                <w:lang w:val="zh-CN"/>
              </w:rPr>
              <w:t>MB(CK-MB)</w:t>
            </w:r>
            <w:r>
              <w:rPr>
                <w:rFonts w:hint="eastAsia" w:ascii="宋体" w:hAnsi="宋体" w:cs="宋体"/>
                <w:kern w:val="0"/>
                <w:sz w:val="20"/>
                <w:szCs w:val="24"/>
                <w:lang w:val="zh-CN"/>
              </w:rPr>
              <w:t>浓度的体外定量测定。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51</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血清淀粉样蛋白</w:t>
            </w:r>
            <w:r>
              <w:rPr>
                <w:rFonts w:eastAsia="Times New Roman"/>
                <w:kern w:val="0"/>
                <w:sz w:val="20"/>
                <w:szCs w:val="24"/>
                <w:lang w:val="zh-CN"/>
              </w:rPr>
              <w:t>A</w:t>
            </w:r>
            <w:r>
              <w:rPr>
                <w:rFonts w:hint="eastAsia" w:ascii="宋体" w:hAnsi="宋体" w:cs="宋体"/>
                <w:kern w:val="0"/>
                <w:sz w:val="20"/>
                <w:szCs w:val="24"/>
                <w:lang w:val="zh-CN"/>
              </w:rPr>
              <w:t>检测试剂（荧光免疫层析法）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用于人血清、血浆或全血中</w:t>
            </w:r>
            <w:r>
              <w:rPr>
                <w:rFonts w:eastAsia="Times New Roman"/>
                <w:kern w:val="0"/>
                <w:sz w:val="20"/>
                <w:szCs w:val="24"/>
                <w:lang w:val="zh-CN"/>
              </w:rPr>
              <w:t>SAA</w:t>
            </w:r>
            <w:r>
              <w:rPr>
                <w:rFonts w:hint="eastAsia" w:ascii="宋体" w:hAnsi="宋体" w:cs="宋体"/>
                <w:kern w:val="0"/>
                <w:sz w:val="20"/>
                <w:szCs w:val="24"/>
                <w:lang w:val="zh-CN"/>
              </w:rPr>
              <w:t>浓度的体外定量测定。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52</w:t>
            </w:r>
          </w:p>
        </w:tc>
        <w:tc>
          <w:tcPr>
            <w:tcW w:w="1497"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D</w:t>
            </w:r>
            <w:r>
              <w:rPr>
                <w:rFonts w:hint="eastAsia" w:ascii="宋体" w:hAnsi="宋体" w:cs="宋体"/>
                <w:kern w:val="0"/>
                <w:sz w:val="20"/>
                <w:szCs w:val="24"/>
                <w:lang w:val="zh-CN"/>
              </w:rPr>
              <w:t>二聚体检测试剂盒（荧光免疫层析法）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用于人血浆、全血中的</w:t>
            </w:r>
            <w:r>
              <w:rPr>
                <w:rFonts w:eastAsia="Times New Roman"/>
                <w:kern w:val="0"/>
                <w:sz w:val="20"/>
                <w:szCs w:val="24"/>
                <w:lang w:val="zh-CN"/>
              </w:rPr>
              <w:t>D-</w:t>
            </w:r>
            <w:r>
              <w:rPr>
                <w:rFonts w:hint="eastAsia" w:ascii="宋体" w:hAnsi="宋体" w:cs="宋体"/>
                <w:kern w:val="0"/>
                <w:sz w:val="20"/>
                <w:szCs w:val="24"/>
                <w:lang w:val="zh-CN"/>
              </w:rPr>
              <w:t>二聚体浓度的体外定量测定。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临床试验</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53</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抗穆勒氏管激素检测试剂（荧光免疫层析法）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用于人血清、血浆或全血中抗缪勒氏管激素</w:t>
            </w:r>
            <w:r>
              <w:rPr>
                <w:rFonts w:eastAsia="Times New Roman"/>
                <w:kern w:val="0"/>
                <w:sz w:val="20"/>
                <w:szCs w:val="24"/>
                <w:lang w:val="zh-CN"/>
              </w:rPr>
              <w:t>(AMH)</w:t>
            </w:r>
            <w:r>
              <w:rPr>
                <w:rFonts w:hint="eastAsia" w:ascii="宋体" w:hAnsi="宋体" w:cs="宋体"/>
                <w:kern w:val="0"/>
                <w:sz w:val="20"/>
                <w:szCs w:val="24"/>
                <w:lang w:val="zh-CN"/>
              </w:rPr>
              <w:t>浓度的体外定量测定。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临床试验</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54</w:t>
            </w:r>
          </w:p>
        </w:tc>
        <w:tc>
          <w:tcPr>
            <w:tcW w:w="1497"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ST2</w:t>
            </w:r>
            <w:r>
              <w:rPr>
                <w:rFonts w:hint="eastAsia" w:ascii="宋体" w:hAnsi="宋体" w:cs="宋体"/>
                <w:kern w:val="0"/>
                <w:sz w:val="20"/>
                <w:szCs w:val="24"/>
                <w:lang w:val="zh-CN"/>
              </w:rPr>
              <w:t>检测试剂（荧光免疫层析法）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用于人血清、血浆或全血中可溶性生长刺激表达基因</w:t>
            </w:r>
            <w:r>
              <w:rPr>
                <w:rFonts w:eastAsia="Times New Roman"/>
                <w:kern w:val="0"/>
                <w:sz w:val="20"/>
                <w:szCs w:val="24"/>
                <w:lang w:val="zh-CN"/>
              </w:rPr>
              <w:t>2</w:t>
            </w:r>
            <w:r>
              <w:rPr>
                <w:rFonts w:hint="eastAsia" w:ascii="宋体" w:hAnsi="宋体" w:cs="宋体"/>
                <w:kern w:val="0"/>
                <w:sz w:val="20"/>
                <w:szCs w:val="24"/>
                <w:lang w:val="zh-CN"/>
              </w:rPr>
              <w:t>蛋白（</w:t>
            </w:r>
            <w:r>
              <w:rPr>
                <w:rFonts w:eastAsia="Times New Roman"/>
                <w:kern w:val="0"/>
                <w:sz w:val="20"/>
                <w:szCs w:val="24"/>
                <w:lang w:val="zh-CN"/>
              </w:rPr>
              <w:t>ST2</w:t>
            </w:r>
            <w:r>
              <w:rPr>
                <w:rFonts w:hint="eastAsia" w:ascii="宋体" w:hAnsi="宋体" w:cs="宋体"/>
                <w:kern w:val="0"/>
                <w:sz w:val="20"/>
                <w:szCs w:val="24"/>
                <w:lang w:val="zh-CN"/>
              </w:rPr>
              <w:t>）浓度的体外定量测定。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临床试验</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55</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糖化血红蛋白检测试剂（荧光免疫层析法）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用于体外定量检测人全血样本中糖化血红蛋白（</w:t>
            </w:r>
            <w:r>
              <w:rPr>
                <w:rFonts w:eastAsia="Times New Roman"/>
                <w:kern w:val="0"/>
                <w:sz w:val="20"/>
                <w:szCs w:val="24"/>
                <w:lang w:val="zh-CN"/>
              </w:rPr>
              <w:t>HbA1c</w:t>
            </w:r>
            <w:r>
              <w:rPr>
                <w:rFonts w:hint="eastAsia" w:ascii="宋体" w:hAnsi="宋体" w:cs="宋体"/>
                <w:kern w:val="0"/>
                <w:sz w:val="20"/>
                <w:szCs w:val="24"/>
                <w:lang w:val="zh-CN"/>
              </w:rPr>
              <w:t>）的含量。</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56</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心肌肌钙蛋白</w:t>
            </w:r>
            <w:r>
              <w:rPr>
                <w:rFonts w:eastAsia="Times New Roman"/>
                <w:kern w:val="0"/>
                <w:sz w:val="20"/>
                <w:szCs w:val="24"/>
                <w:lang w:val="zh-CN"/>
              </w:rPr>
              <w:t>I</w:t>
            </w:r>
            <w:r>
              <w:rPr>
                <w:rFonts w:hint="eastAsia" w:ascii="宋体" w:hAnsi="宋体" w:cs="宋体"/>
                <w:kern w:val="0"/>
                <w:sz w:val="20"/>
                <w:szCs w:val="24"/>
                <w:lang w:val="zh-CN"/>
              </w:rPr>
              <w:t>检测试剂盒（荧光免疫层析法）</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用于人血清、血浆或全血中心肌肌钙蛋白</w:t>
            </w:r>
            <w:r>
              <w:rPr>
                <w:rFonts w:eastAsia="Times New Roman"/>
                <w:kern w:val="0"/>
                <w:sz w:val="20"/>
                <w:szCs w:val="24"/>
                <w:lang w:val="zh-CN"/>
              </w:rPr>
              <w:t>I(cTnI)</w:t>
            </w:r>
            <w:r>
              <w:rPr>
                <w:rFonts w:hint="eastAsia" w:ascii="宋体" w:hAnsi="宋体" w:cs="宋体"/>
                <w:kern w:val="0"/>
                <w:sz w:val="20"/>
                <w:szCs w:val="24"/>
                <w:lang w:val="zh-CN"/>
              </w:rPr>
              <w:t>浓度的体外定量测定。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江西美康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57</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全自动尿液有形成分分析仪</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供临床检验中作尿液有形成分分析</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苏州盛德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58</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飞行时间质谱仪</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与飞行时间质谱试剂盒配套使用</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苏州盛德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59</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干化学尿液分析仪</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与基于干化学法的试剂条配套使用，用于人体全血、血清、血浆中特定成份的定量检测。</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苏州盛德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60</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全自动凝血分析仪</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供临床测定凝血酶原时间</w:t>
            </w:r>
            <w:r>
              <w:rPr>
                <w:rFonts w:eastAsia="Times New Roman"/>
                <w:kern w:val="0"/>
                <w:sz w:val="20"/>
                <w:szCs w:val="24"/>
                <w:lang w:val="zh-CN"/>
              </w:rPr>
              <w:t>(PT)</w:t>
            </w:r>
            <w:r>
              <w:rPr>
                <w:rFonts w:hint="eastAsia" w:ascii="宋体" w:hAnsi="宋体" w:cs="宋体"/>
                <w:kern w:val="0"/>
                <w:sz w:val="20"/>
                <w:szCs w:val="24"/>
                <w:lang w:val="zh-CN"/>
              </w:rPr>
              <w:t>、活化部分凝血活酶时间</w:t>
            </w:r>
            <w:r>
              <w:rPr>
                <w:rFonts w:eastAsia="Times New Roman"/>
                <w:kern w:val="0"/>
                <w:sz w:val="20"/>
                <w:szCs w:val="24"/>
                <w:lang w:val="zh-CN"/>
              </w:rPr>
              <w:t>(APTT)</w:t>
            </w:r>
            <w:r>
              <w:rPr>
                <w:rFonts w:hint="eastAsia" w:ascii="宋体" w:hAnsi="宋体" w:cs="宋体"/>
                <w:kern w:val="0"/>
                <w:sz w:val="20"/>
                <w:szCs w:val="24"/>
                <w:lang w:val="zh-CN"/>
              </w:rPr>
              <w:t>、凝血酶时间</w:t>
            </w:r>
            <w:r>
              <w:rPr>
                <w:rFonts w:eastAsia="Times New Roman"/>
                <w:kern w:val="0"/>
                <w:sz w:val="20"/>
                <w:szCs w:val="24"/>
                <w:lang w:val="zh-CN"/>
              </w:rPr>
              <w:t>(TT)</w:t>
            </w:r>
            <w:r>
              <w:rPr>
                <w:rFonts w:hint="eastAsia" w:ascii="宋体" w:hAnsi="宋体" w:cs="宋体"/>
                <w:kern w:val="0"/>
                <w:sz w:val="20"/>
                <w:szCs w:val="24"/>
                <w:lang w:val="zh-CN"/>
              </w:rPr>
              <w:t>、纤维蛋白原</w:t>
            </w:r>
            <w:r>
              <w:rPr>
                <w:rFonts w:eastAsia="Times New Roman"/>
                <w:kern w:val="0"/>
                <w:sz w:val="20"/>
                <w:szCs w:val="24"/>
                <w:lang w:val="zh-CN"/>
              </w:rPr>
              <w:t>(FIB)</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苏州盛德</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61</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全自动三分群血液细胞分析仪</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供临床检验中作血液细胞计数、白细胞三分群、血红蛋白浓度测量。</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江西澳瑞</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62</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全自动五分类血液细胞分析仪（</w:t>
            </w:r>
            <w:r>
              <w:rPr>
                <w:rFonts w:eastAsia="Times New Roman"/>
                <w:kern w:val="0"/>
                <w:sz w:val="20"/>
                <w:szCs w:val="24"/>
                <w:lang w:val="zh-CN"/>
              </w:rPr>
              <w:t>CS-H6500</w:t>
            </w:r>
            <w:r>
              <w:rPr>
                <w:rFonts w:hint="eastAsia" w:ascii="宋体" w:hAnsi="宋体" w:cs="宋体"/>
                <w:kern w:val="0"/>
                <w:sz w:val="20"/>
                <w:szCs w:val="24"/>
                <w:lang w:val="zh-CN"/>
              </w:rPr>
              <w:t>系列）</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供临床检验中作血液细胞计数、白细胞五分类、血红蛋白浓度测量。</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江西澳瑞</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63</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全自动五分类血液细胞分析仪（</w:t>
            </w:r>
            <w:r>
              <w:rPr>
                <w:rFonts w:eastAsia="Times New Roman"/>
                <w:kern w:val="0"/>
                <w:sz w:val="20"/>
                <w:szCs w:val="24"/>
                <w:lang w:val="zh-CN"/>
              </w:rPr>
              <w:t>CS-H6520</w:t>
            </w:r>
            <w:r>
              <w:rPr>
                <w:rFonts w:hint="eastAsia" w:ascii="宋体" w:hAnsi="宋体" w:cs="宋体"/>
                <w:kern w:val="0"/>
                <w:sz w:val="20"/>
                <w:szCs w:val="24"/>
                <w:lang w:val="zh-CN"/>
              </w:rPr>
              <w:t>系列）</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供临床检验中作血液细胞计数、白细胞五分类、血红蛋白浓度测量。</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江西澳瑞</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64</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全自动五分类血液细胞分析仪（</w:t>
            </w:r>
            <w:r>
              <w:rPr>
                <w:rFonts w:eastAsia="Times New Roman"/>
                <w:kern w:val="0"/>
                <w:sz w:val="20"/>
                <w:szCs w:val="24"/>
                <w:lang w:val="zh-CN"/>
              </w:rPr>
              <w:t>CS-H6550</w:t>
            </w:r>
            <w:r>
              <w:rPr>
                <w:rFonts w:hint="eastAsia" w:ascii="宋体" w:hAnsi="宋体" w:cs="宋体"/>
                <w:kern w:val="0"/>
                <w:sz w:val="20"/>
                <w:szCs w:val="24"/>
                <w:lang w:val="zh-CN"/>
              </w:rPr>
              <w:t>系列）</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供临床检验中作血液细胞计数、白细胞五分类、血红蛋白浓度测量。</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江西澳瑞</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65</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全自动五分类血液细胞分析仪（</w:t>
            </w:r>
            <w:r>
              <w:rPr>
                <w:rFonts w:eastAsia="Times New Roman"/>
                <w:kern w:val="0"/>
                <w:sz w:val="20"/>
                <w:szCs w:val="24"/>
                <w:lang w:val="zh-CN"/>
              </w:rPr>
              <w:t>CS-H6600</w:t>
            </w:r>
            <w:r>
              <w:rPr>
                <w:rFonts w:hint="eastAsia" w:ascii="宋体" w:hAnsi="宋体" w:cs="宋体"/>
                <w:kern w:val="0"/>
                <w:sz w:val="20"/>
                <w:szCs w:val="24"/>
                <w:lang w:val="zh-CN"/>
              </w:rPr>
              <w:t>系列）</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供临床检验中血液细胞计数、白细胞五分类、血红蛋白浓度和</w:t>
            </w:r>
            <w:r>
              <w:rPr>
                <w:rFonts w:eastAsia="Times New Roman"/>
                <w:kern w:val="0"/>
                <w:sz w:val="20"/>
                <w:szCs w:val="24"/>
                <w:lang w:val="zh-CN"/>
              </w:rPr>
              <w:t>C</w:t>
            </w:r>
            <w:r>
              <w:rPr>
                <w:rFonts w:hint="eastAsia" w:ascii="宋体" w:hAnsi="宋体" w:cs="宋体"/>
                <w:kern w:val="0"/>
                <w:sz w:val="20"/>
                <w:szCs w:val="24"/>
                <w:lang w:val="zh-CN"/>
              </w:rPr>
              <w:t>反应蛋白浓度测量。</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江西澳瑞</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66</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全自动五分类血液细胞分析仪（</w:t>
            </w:r>
            <w:r>
              <w:rPr>
                <w:rFonts w:eastAsia="Times New Roman"/>
                <w:kern w:val="0"/>
                <w:sz w:val="20"/>
                <w:szCs w:val="24"/>
                <w:lang w:val="zh-CN"/>
              </w:rPr>
              <w:t>CS-H6800</w:t>
            </w:r>
            <w:r>
              <w:rPr>
                <w:rFonts w:hint="eastAsia" w:ascii="宋体" w:hAnsi="宋体" w:cs="宋体"/>
                <w:kern w:val="0"/>
                <w:sz w:val="20"/>
                <w:szCs w:val="24"/>
                <w:lang w:val="zh-CN"/>
              </w:rPr>
              <w:t>系列）</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供临床检验中血液细胞计数、白细胞五分类、血红蛋白浓度和</w:t>
            </w:r>
            <w:r>
              <w:rPr>
                <w:rFonts w:eastAsia="Times New Roman"/>
                <w:kern w:val="0"/>
                <w:sz w:val="20"/>
                <w:szCs w:val="24"/>
                <w:lang w:val="zh-CN"/>
              </w:rPr>
              <w:t>C</w:t>
            </w:r>
            <w:r>
              <w:rPr>
                <w:rFonts w:hint="eastAsia" w:ascii="宋体" w:hAnsi="宋体" w:cs="宋体"/>
                <w:kern w:val="0"/>
                <w:sz w:val="20"/>
                <w:szCs w:val="24"/>
                <w:lang w:val="zh-CN"/>
              </w:rPr>
              <w:t>反应蛋白浓度测量。</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江西澳瑞</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67</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特定蛋白分析仪</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用于人体体液样品中特定蛋白的测定。</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江西澳瑞</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68</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金标免疫层析分析仪</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与特定胶体金试纸配套使用，用于胶体金试纸的定性判读或半定量检测。</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江西澳瑞</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69</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便携式尿液分析仪</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与尿液分析仪试纸条配套使用，供医疗机构对人体尿液样本中的生化成分进行半定量或定性检测，为临床检验和诊断提供参考。</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江西澳瑞</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70</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全自动尿液干化学分析仪</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与全自动尿液分析试纸条配套使用，供医疗机构对人体尿液样本中的生化成分进行半定量检测，为临床检验和诊断提供参考。</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江西澳瑞</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71</w:t>
            </w:r>
          </w:p>
        </w:tc>
        <w:tc>
          <w:tcPr>
            <w:tcW w:w="149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全自动尿液有形成分分析仪</w:t>
            </w:r>
          </w:p>
        </w:tc>
        <w:tc>
          <w:tcPr>
            <w:tcW w:w="366"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Ⅱ</w:t>
            </w:r>
            <w:r>
              <w:rPr>
                <w:rFonts w:hint="eastAsia" w:ascii="宋体" w:hAnsi="宋体" w:cs="宋体"/>
                <w:kern w:val="0"/>
                <w:sz w:val="20"/>
                <w:szCs w:val="24"/>
                <w:lang w:val="zh-CN"/>
              </w:rPr>
              <w:t>类</w:t>
            </w:r>
          </w:p>
        </w:tc>
        <w:tc>
          <w:tcPr>
            <w:tcW w:w="1448"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用于自动模拟显微镜操作技术流程，对尿液中的有形成分进行自动影像分析鉴别。</w:t>
            </w:r>
          </w:p>
        </w:tc>
        <w:tc>
          <w:tcPr>
            <w:tcW w:w="503"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江西澳瑞</w:t>
            </w:r>
          </w:p>
        </w:tc>
        <w:tc>
          <w:tcPr>
            <w:tcW w:w="54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heme="minorEastAsia"/>
                <w:kern w:val="0"/>
                <w:sz w:val="20"/>
                <w:szCs w:val="24"/>
                <w:lang w:val="zh-CN"/>
              </w:rPr>
            </w:pPr>
            <w:r>
              <w:rPr>
                <w:rFonts w:hint="eastAsia" w:eastAsiaTheme="minorEastAsia"/>
                <w:kern w:val="0"/>
                <w:sz w:val="20"/>
                <w:szCs w:val="24"/>
                <w:lang w:val="zh-CN"/>
              </w:rPr>
              <w:t>7</w:t>
            </w:r>
            <w:r>
              <w:rPr>
                <w:rFonts w:eastAsiaTheme="minorEastAsia"/>
                <w:kern w:val="0"/>
                <w:sz w:val="20"/>
                <w:szCs w:val="24"/>
                <w:lang w:val="zh-CN"/>
              </w:rPr>
              <w:t>2</w:t>
            </w:r>
          </w:p>
        </w:tc>
        <w:tc>
          <w:tcPr>
            <w:tcW w:w="1497" w:type="pct"/>
          </w:tcPr>
          <w:p>
            <w:pPr>
              <w:autoSpaceDE w:val="0"/>
              <w:autoSpaceDN w:val="0"/>
              <w:adjustRightInd w:val="0"/>
              <w:jc w:val="left"/>
              <w:rPr>
                <w:rFonts w:ascii="宋体" w:hAnsi="宋体" w:cs="宋体"/>
                <w:kern w:val="0"/>
                <w:sz w:val="20"/>
                <w:szCs w:val="24"/>
                <w:lang w:val="zh-CN"/>
              </w:rPr>
            </w:pPr>
            <w:r>
              <w:rPr>
                <w:rFonts w:hint="eastAsia" w:ascii="宋体" w:hAnsi="宋体" w:cs="宋体"/>
                <w:kern w:val="0"/>
                <w:sz w:val="20"/>
                <w:szCs w:val="24"/>
                <w:lang w:val="zh-CN"/>
              </w:rPr>
              <w:t>新型冠状病毒2019-nCoV抗体（IgM /IgG）联合检测试剂盒（乳胶法）</w:t>
            </w:r>
          </w:p>
        </w:tc>
        <w:tc>
          <w:tcPr>
            <w:tcW w:w="366" w:type="pct"/>
          </w:tcPr>
          <w:p>
            <w:pPr>
              <w:autoSpaceDE w:val="0"/>
              <w:autoSpaceDN w:val="0"/>
              <w:adjustRightInd w:val="0"/>
              <w:jc w:val="center"/>
              <w:rPr>
                <w:rFonts w:eastAsiaTheme="minorEastAsia"/>
                <w:kern w:val="0"/>
                <w:sz w:val="20"/>
                <w:szCs w:val="24"/>
                <w:lang w:val="zh-CN"/>
              </w:rPr>
            </w:pPr>
            <w:r>
              <w:rPr>
                <w:rFonts w:hint="eastAsia"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ascii="宋体" w:hAnsi="宋体" w:cs="宋体"/>
                <w:kern w:val="0"/>
                <w:sz w:val="20"/>
                <w:szCs w:val="24"/>
                <w:lang w:val="zh-CN"/>
              </w:rPr>
            </w:pPr>
            <w:r>
              <w:rPr>
                <w:rFonts w:hint="eastAsia" w:ascii="宋体" w:hAnsi="宋体" w:cs="宋体"/>
                <w:kern w:val="0"/>
                <w:sz w:val="20"/>
                <w:szCs w:val="24"/>
                <w:lang w:val="zh-CN"/>
              </w:rPr>
              <w:t>用于体外定性检测人血清、血浆、全血样本中新型冠状病毒IgM/IgG抗体。</w:t>
            </w:r>
          </w:p>
        </w:tc>
        <w:tc>
          <w:tcPr>
            <w:tcW w:w="503" w:type="pct"/>
          </w:tcPr>
          <w:p>
            <w:pPr>
              <w:autoSpaceDE w:val="0"/>
              <w:autoSpaceDN w:val="0"/>
              <w:adjustRightInd w:val="0"/>
              <w:jc w:val="center"/>
              <w:rPr>
                <w:rFonts w:ascii="宋体" w:hAnsi="宋体" w:cs="宋体"/>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ascii="宋体" w:hAnsi="宋体" w:cs="宋体"/>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ascii="宋体" w:hAnsi="宋体" w:cs="宋体"/>
                <w:kern w:val="0"/>
                <w:sz w:val="20"/>
                <w:szCs w:val="24"/>
                <w:lang w:val="zh-CN"/>
              </w:rPr>
            </w:pPr>
            <w:r>
              <w:rPr>
                <w:rFonts w:hint="eastAsia" w:ascii="宋体" w:hAnsi="宋体" w:cs="宋体"/>
                <w:kern w:val="0"/>
                <w:sz w:val="20"/>
                <w:szCs w:val="24"/>
                <w:lang w:val="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302" w:type="pct"/>
          </w:tcPr>
          <w:p>
            <w:pPr>
              <w:autoSpaceDE w:val="0"/>
              <w:autoSpaceDN w:val="0"/>
              <w:adjustRightInd w:val="0"/>
              <w:jc w:val="center"/>
              <w:rPr>
                <w:rFonts w:eastAsiaTheme="minorEastAsia"/>
                <w:kern w:val="0"/>
                <w:sz w:val="20"/>
                <w:szCs w:val="24"/>
                <w:lang w:val="zh-CN"/>
              </w:rPr>
            </w:pPr>
            <w:r>
              <w:rPr>
                <w:rFonts w:hint="eastAsia" w:eastAsiaTheme="minorEastAsia"/>
                <w:kern w:val="0"/>
                <w:sz w:val="20"/>
                <w:szCs w:val="24"/>
                <w:lang w:val="zh-CN"/>
              </w:rPr>
              <w:t>7</w:t>
            </w:r>
            <w:r>
              <w:rPr>
                <w:rFonts w:eastAsiaTheme="minorEastAsia"/>
                <w:kern w:val="0"/>
                <w:sz w:val="20"/>
                <w:szCs w:val="24"/>
                <w:lang w:val="zh-CN"/>
              </w:rPr>
              <w:t>3</w:t>
            </w:r>
          </w:p>
        </w:tc>
        <w:tc>
          <w:tcPr>
            <w:tcW w:w="1497" w:type="pct"/>
          </w:tcPr>
          <w:p>
            <w:pPr>
              <w:autoSpaceDE w:val="0"/>
              <w:autoSpaceDN w:val="0"/>
              <w:adjustRightInd w:val="0"/>
              <w:jc w:val="left"/>
              <w:rPr>
                <w:rFonts w:ascii="宋体" w:hAnsi="宋体" w:cs="宋体"/>
                <w:kern w:val="0"/>
                <w:sz w:val="20"/>
                <w:szCs w:val="24"/>
                <w:lang w:val="zh-CN"/>
              </w:rPr>
            </w:pPr>
            <w:r>
              <w:rPr>
                <w:rFonts w:hint="eastAsia" w:ascii="宋体" w:hAnsi="宋体" w:cs="宋体"/>
                <w:kern w:val="0"/>
                <w:sz w:val="20"/>
                <w:szCs w:val="24"/>
                <w:lang w:val="zh-CN"/>
              </w:rPr>
              <w:t>新型冠状病毒 2019-nCoV 核酸检测试剂盒（荧光PCR法）</w:t>
            </w:r>
          </w:p>
        </w:tc>
        <w:tc>
          <w:tcPr>
            <w:tcW w:w="366" w:type="pct"/>
          </w:tcPr>
          <w:p>
            <w:pPr>
              <w:autoSpaceDE w:val="0"/>
              <w:autoSpaceDN w:val="0"/>
              <w:adjustRightInd w:val="0"/>
              <w:jc w:val="center"/>
              <w:rPr>
                <w:rFonts w:eastAsia="Times New Roman"/>
                <w:kern w:val="0"/>
                <w:sz w:val="20"/>
                <w:szCs w:val="24"/>
                <w:lang w:val="zh-CN"/>
              </w:rPr>
            </w:pPr>
            <w:r>
              <w:rPr>
                <w:rFonts w:hint="eastAsia" w:eastAsia="Times New Roman"/>
                <w:kern w:val="0"/>
                <w:sz w:val="20"/>
                <w:szCs w:val="24"/>
                <w:lang w:val="zh-CN"/>
              </w:rPr>
              <w:t>Ⅲ</w:t>
            </w:r>
            <w:r>
              <w:rPr>
                <w:rFonts w:hint="eastAsia" w:ascii="宋体" w:hAnsi="宋体" w:cs="宋体"/>
                <w:kern w:val="0"/>
                <w:sz w:val="20"/>
                <w:szCs w:val="24"/>
                <w:lang w:val="zh-CN"/>
              </w:rPr>
              <w:t>类</w:t>
            </w:r>
          </w:p>
        </w:tc>
        <w:tc>
          <w:tcPr>
            <w:tcW w:w="1448" w:type="pct"/>
          </w:tcPr>
          <w:p>
            <w:pPr>
              <w:autoSpaceDE w:val="0"/>
              <w:autoSpaceDN w:val="0"/>
              <w:adjustRightInd w:val="0"/>
              <w:jc w:val="left"/>
              <w:rPr>
                <w:rFonts w:ascii="宋体" w:hAnsi="宋体" w:cs="宋体"/>
                <w:kern w:val="0"/>
                <w:sz w:val="20"/>
                <w:szCs w:val="24"/>
                <w:lang w:val="zh-CN"/>
              </w:rPr>
            </w:pPr>
            <w:r>
              <w:rPr>
                <w:rFonts w:hint="eastAsia" w:ascii="宋体" w:hAnsi="宋体" w:cs="宋体"/>
                <w:kern w:val="0"/>
                <w:sz w:val="20"/>
                <w:szCs w:val="24"/>
                <w:lang w:val="zh-CN"/>
              </w:rPr>
              <w:t>用于体外定性检测新型冠状病毒感染的肺炎疑似病例、疑似聚集性病例患者、其他需要进行新型冠状病毒感染诊断或鉴别诊断者的鼻咽拭子、痰液和肺泡灌洗液样本中，新型冠状病毒（2019-nCoV）ORF1ab和N基因。</w:t>
            </w:r>
          </w:p>
        </w:tc>
        <w:tc>
          <w:tcPr>
            <w:tcW w:w="503" w:type="pct"/>
          </w:tcPr>
          <w:p>
            <w:pPr>
              <w:autoSpaceDE w:val="0"/>
              <w:autoSpaceDN w:val="0"/>
              <w:adjustRightInd w:val="0"/>
              <w:jc w:val="center"/>
              <w:rPr>
                <w:rFonts w:ascii="宋体" w:hAnsi="宋体" w:cs="宋体"/>
                <w:kern w:val="0"/>
                <w:sz w:val="20"/>
                <w:szCs w:val="24"/>
                <w:lang w:val="zh-CN"/>
              </w:rPr>
            </w:pPr>
            <w:r>
              <w:rPr>
                <w:rFonts w:hint="eastAsia" w:ascii="宋体" w:hAnsi="宋体" w:cs="宋体"/>
                <w:kern w:val="0"/>
                <w:sz w:val="20"/>
                <w:szCs w:val="24"/>
                <w:lang w:val="zh-CN"/>
              </w:rPr>
              <w:t>注册申报</w:t>
            </w:r>
          </w:p>
        </w:tc>
        <w:tc>
          <w:tcPr>
            <w:tcW w:w="344" w:type="pct"/>
          </w:tcPr>
          <w:p>
            <w:pPr>
              <w:autoSpaceDE w:val="0"/>
              <w:autoSpaceDN w:val="0"/>
              <w:adjustRightInd w:val="0"/>
              <w:jc w:val="center"/>
              <w:rPr>
                <w:rFonts w:ascii="宋体" w:hAnsi="宋体" w:cs="宋体"/>
                <w:kern w:val="0"/>
                <w:sz w:val="20"/>
                <w:szCs w:val="24"/>
                <w:lang w:val="zh-CN"/>
              </w:rPr>
            </w:pPr>
            <w:r>
              <w:rPr>
                <w:rFonts w:hint="eastAsia" w:ascii="宋体" w:hAnsi="宋体" w:cs="宋体"/>
                <w:kern w:val="0"/>
                <w:sz w:val="20"/>
                <w:szCs w:val="24"/>
                <w:lang w:val="zh-CN"/>
              </w:rPr>
              <w:t>美康生物</w:t>
            </w:r>
          </w:p>
        </w:tc>
        <w:tc>
          <w:tcPr>
            <w:tcW w:w="540" w:type="pct"/>
          </w:tcPr>
          <w:p>
            <w:pPr>
              <w:autoSpaceDE w:val="0"/>
              <w:autoSpaceDN w:val="0"/>
              <w:adjustRightInd w:val="0"/>
              <w:jc w:val="center"/>
              <w:rPr>
                <w:rFonts w:ascii="宋体" w:hAnsi="宋体" w:cs="宋体"/>
                <w:kern w:val="0"/>
                <w:sz w:val="20"/>
                <w:szCs w:val="24"/>
                <w:lang w:val="zh-CN"/>
              </w:rPr>
            </w:pPr>
            <w:r>
              <w:rPr>
                <w:rFonts w:hint="eastAsia" w:ascii="宋体" w:hAnsi="宋体" w:cs="宋体"/>
                <w:kern w:val="0"/>
                <w:sz w:val="20"/>
                <w:szCs w:val="24"/>
                <w:lang w:val="zh-CN"/>
              </w:rPr>
              <w:t>否</w:t>
            </w:r>
          </w:p>
        </w:tc>
      </w:tr>
    </w:tbl>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2</w:t>
      </w:r>
      <w:r>
        <w:rPr>
          <w:rFonts w:hint="eastAsia" w:ascii="宋体" w:hAnsi="宋体" w:cs="宋体"/>
          <w:kern w:val="0"/>
          <w:szCs w:val="24"/>
          <w:lang w:val="zh-CN"/>
        </w:rPr>
        <w:t>）中国境外产品注册情况</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本报告期内（</w:t>
      </w:r>
      <w:r>
        <w:rPr>
          <w:rFonts w:eastAsia="Times New Roman"/>
          <w:kern w:val="0"/>
          <w:szCs w:val="24"/>
          <w:lang w:val="zh-CN"/>
        </w:rPr>
        <w:t>2019.1.1-2019.12.31</w:t>
      </w:r>
      <w:r>
        <w:rPr>
          <w:rFonts w:hint="eastAsia" w:ascii="宋体" w:hAnsi="宋体" w:cs="宋体"/>
          <w:kern w:val="0"/>
          <w:szCs w:val="24"/>
          <w:lang w:val="zh-CN"/>
        </w:rPr>
        <w:t>），公司共持有</w:t>
      </w:r>
      <w:r>
        <w:rPr>
          <w:rFonts w:eastAsia="Times New Roman"/>
          <w:kern w:val="0"/>
          <w:szCs w:val="24"/>
          <w:lang w:val="zh-CN"/>
        </w:rPr>
        <w:t>188</w:t>
      </w:r>
      <w:r>
        <w:rPr>
          <w:rFonts w:hint="eastAsia" w:ascii="宋体" w:hAnsi="宋体" w:cs="宋体"/>
          <w:kern w:val="0"/>
          <w:szCs w:val="24"/>
          <w:lang w:val="zh-CN"/>
        </w:rPr>
        <w:t>项境外注册产品（含欧盟</w:t>
      </w:r>
      <w:r>
        <w:rPr>
          <w:rFonts w:eastAsia="Times New Roman"/>
          <w:kern w:val="0"/>
          <w:szCs w:val="24"/>
          <w:lang w:val="zh-CN"/>
        </w:rPr>
        <w:t>CE</w:t>
      </w:r>
      <w:r>
        <w:rPr>
          <w:rFonts w:hint="eastAsia" w:ascii="宋体" w:hAnsi="宋体" w:cs="宋体"/>
          <w:kern w:val="0"/>
          <w:szCs w:val="24"/>
          <w:lang w:val="zh-CN"/>
        </w:rPr>
        <w:t>认证、美国</w:t>
      </w:r>
      <w:r>
        <w:rPr>
          <w:rFonts w:eastAsia="Times New Roman"/>
          <w:kern w:val="0"/>
          <w:szCs w:val="24"/>
          <w:lang w:val="zh-CN"/>
        </w:rPr>
        <w:t>FDA</w:t>
      </w:r>
      <w:r>
        <w:rPr>
          <w:rFonts w:hint="eastAsia" w:ascii="宋体" w:hAnsi="宋体" w:cs="宋体"/>
          <w:kern w:val="0"/>
          <w:szCs w:val="24"/>
          <w:lang w:val="zh-CN"/>
        </w:rPr>
        <w:t>认证、韩国</w:t>
      </w:r>
      <w:r>
        <w:rPr>
          <w:rFonts w:eastAsia="Times New Roman"/>
          <w:kern w:val="0"/>
          <w:szCs w:val="24"/>
          <w:lang w:val="zh-CN"/>
        </w:rPr>
        <w:t>KFDA</w:t>
      </w:r>
      <w:r>
        <w:rPr>
          <w:rFonts w:hint="eastAsia" w:ascii="宋体" w:hAnsi="宋体" w:cs="宋体"/>
          <w:kern w:val="0"/>
          <w:szCs w:val="24"/>
          <w:lang w:val="zh-CN"/>
        </w:rPr>
        <w:t>认证和印尼</w:t>
      </w:r>
      <w:r>
        <w:rPr>
          <w:rFonts w:eastAsia="Times New Roman"/>
          <w:kern w:val="0"/>
          <w:szCs w:val="24"/>
          <w:lang w:val="zh-CN"/>
        </w:rPr>
        <w:t>IndonesiaMOH</w:t>
      </w:r>
      <w:r>
        <w:rPr>
          <w:rFonts w:hint="eastAsia" w:ascii="宋体" w:hAnsi="宋体" w:cs="宋体"/>
          <w:kern w:val="0"/>
          <w:szCs w:val="24"/>
          <w:lang w:val="zh-CN"/>
        </w:rPr>
        <w:t>认证等）。</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w:t>
      </w:r>
      <w:r>
        <w:rPr>
          <w:rFonts w:hint="eastAsia" w:ascii="宋体" w:hAnsi="宋体" w:cs="宋体"/>
          <w:kern w:val="0"/>
          <w:szCs w:val="24"/>
          <w:lang w:val="zh-CN"/>
        </w:rPr>
        <w:t>月至本报告披露日，公司共持有</w:t>
      </w:r>
      <w:r>
        <w:rPr>
          <w:rFonts w:eastAsia="Times New Roman"/>
          <w:kern w:val="0"/>
          <w:szCs w:val="24"/>
          <w:highlight w:val="white"/>
          <w:lang w:val="zh-CN"/>
        </w:rPr>
        <w:t>227</w:t>
      </w:r>
      <w:r>
        <w:rPr>
          <w:rFonts w:hint="eastAsia" w:ascii="宋体" w:hAnsi="宋体" w:cs="宋体"/>
          <w:kern w:val="0"/>
          <w:szCs w:val="24"/>
          <w:lang w:val="zh-CN"/>
        </w:rPr>
        <w:t>项境外注册产品，其中新增注册产品</w:t>
      </w:r>
      <w:r>
        <w:rPr>
          <w:rFonts w:eastAsia="Times New Roman"/>
          <w:kern w:val="0"/>
          <w:szCs w:val="24"/>
          <w:highlight w:val="white"/>
          <w:lang w:val="zh-CN"/>
        </w:rPr>
        <w:t>55</w:t>
      </w:r>
      <w:r>
        <w:rPr>
          <w:rFonts w:hint="eastAsia" w:ascii="宋体" w:hAnsi="宋体" w:cs="宋体"/>
          <w:kern w:val="0"/>
          <w:szCs w:val="24"/>
          <w:lang w:val="zh-CN"/>
        </w:rPr>
        <w:t>项，具体新增产品情况如下：</w:t>
      </w:r>
    </w:p>
    <w:tbl>
      <w:tblPr>
        <w:tblStyle w:val="9"/>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10" w:type="dxa"/>
          <w:left w:w="10" w:type="dxa"/>
          <w:bottom w:w="10" w:type="dxa"/>
          <w:right w:w="10" w:type="dxa"/>
        </w:tblCellMar>
      </w:tblPr>
      <w:tblGrid>
        <w:gridCol w:w="499"/>
        <w:gridCol w:w="2176"/>
        <w:gridCol w:w="1110"/>
        <w:gridCol w:w="722"/>
        <w:gridCol w:w="2401"/>
        <w:gridCol w:w="920"/>
        <w:gridCol w:w="688"/>
        <w:gridCol w:w="11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序号</w:t>
            </w:r>
          </w:p>
        </w:tc>
        <w:tc>
          <w:tcPr>
            <w:tcW w:w="1141"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产品名称</w:t>
            </w:r>
          </w:p>
        </w:tc>
        <w:tc>
          <w:tcPr>
            <w:tcW w:w="589"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注册地</w:t>
            </w:r>
          </w:p>
        </w:tc>
        <w:tc>
          <w:tcPr>
            <w:tcW w:w="388"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注册</w:t>
            </w:r>
            <w:r>
              <w:rPr>
                <w:rFonts w:eastAsia="Times New Roman"/>
                <w:b/>
                <w:kern w:val="0"/>
                <w:szCs w:val="24"/>
                <w:lang w:val="zh-CN"/>
              </w:rPr>
              <w:br w:type="textWrapping"/>
            </w:r>
            <w:r>
              <w:rPr>
                <w:rFonts w:hint="eastAsia" w:ascii="宋体" w:hAnsi="宋体" w:cs="宋体"/>
                <w:b/>
                <w:kern w:val="0"/>
                <w:szCs w:val="24"/>
                <w:lang w:val="zh-CN"/>
              </w:rPr>
              <w:t>分类</w:t>
            </w:r>
          </w:p>
        </w:tc>
        <w:tc>
          <w:tcPr>
            <w:tcW w:w="1257"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临床用途</w:t>
            </w:r>
          </w:p>
        </w:tc>
        <w:tc>
          <w:tcPr>
            <w:tcW w:w="377"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有效期</w:t>
            </w:r>
          </w:p>
        </w:tc>
        <w:tc>
          <w:tcPr>
            <w:tcW w:w="370"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注册人</w:t>
            </w:r>
          </w:p>
        </w:tc>
        <w:tc>
          <w:tcPr>
            <w:tcW w:w="605"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截止报告期变化情况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Automated Hematology Analyzer (MS-H630)</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产品供临床检验中作血液细胞计数、白细胞三分群、血红蛋白浓度测量。</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Automated Hematology Analyzer (MS-H650)</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产品供临床检验中作血液细胞计数、白细胞五分类、血红蛋白浓度测量。</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Automated Hematology Analyzer (MS-H652)</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产品供临床检验中作血液细胞计数、白细胞五分类、血红蛋白浓度测量。</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High-Density Lipoprotein -Density Lipoprotein Cholesterol Control</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印度尼西亚</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用于人血清中高密度脂蛋白胆固醇（</w:t>
            </w:r>
            <w:r>
              <w:rPr>
                <w:rFonts w:eastAsia="Times New Roman"/>
                <w:kern w:val="0"/>
                <w:sz w:val="20"/>
                <w:szCs w:val="24"/>
                <w:lang w:val="zh-CN"/>
              </w:rPr>
              <w:t>HDL-C</w:t>
            </w:r>
            <w:r>
              <w:rPr>
                <w:rFonts w:hint="eastAsia" w:ascii="宋体" w:hAnsi="宋体" w:cs="宋体"/>
                <w:kern w:val="0"/>
                <w:sz w:val="20"/>
                <w:szCs w:val="24"/>
                <w:lang w:val="zh-CN"/>
              </w:rPr>
              <w:t>）浓度的体外定量测定中的质量控制</w:t>
            </w:r>
          </w:p>
        </w:tc>
        <w:tc>
          <w:tcPr>
            <w:tcW w:w="377"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2021.12.01</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High-Density Lipoprotein -Density Lipoprotein Cholesterol Calibrator</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印度尼西亚</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用于人血清中高密度脂蛋白胆固醇（</w:t>
            </w:r>
            <w:r>
              <w:rPr>
                <w:rFonts w:eastAsia="Times New Roman"/>
                <w:kern w:val="0"/>
                <w:sz w:val="20"/>
                <w:szCs w:val="24"/>
                <w:lang w:val="zh-CN"/>
              </w:rPr>
              <w:t>HDL-C</w:t>
            </w:r>
            <w:r>
              <w:rPr>
                <w:rFonts w:hint="eastAsia" w:ascii="宋体" w:hAnsi="宋体" w:cs="宋体"/>
                <w:kern w:val="0"/>
                <w:sz w:val="20"/>
                <w:szCs w:val="24"/>
                <w:lang w:val="zh-CN"/>
              </w:rPr>
              <w:t>）浓度的体外定量测定中的质量控制</w:t>
            </w:r>
          </w:p>
        </w:tc>
        <w:tc>
          <w:tcPr>
            <w:tcW w:w="377"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2021.12.01</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6</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Automated Chemistry Analyzer (MS-2080)</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供医疗机构对人体体液样品中成分的定量检测。</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7</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Automated Chemistry Analyzer (MS-680)</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产品供医疗机构对人体体液样本中成分的定量检测</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8</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25-Hydroxy Vitamin D Kit (Latex-Enhanced Immunoturbidimetric Method)</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韩国</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II</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w:t>
            </w:r>
            <w:r>
              <w:rPr>
                <w:rFonts w:eastAsia="Times New Roman"/>
                <w:kern w:val="0"/>
                <w:sz w:val="20"/>
                <w:szCs w:val="24"/>
                <w:lang w:val="zh-CN"/>
              </w:rPr>
              <w:t>25-</w:t>
            </w:r>
            <w:r>
              <w:rPr>
                <w:rFonts w:hint="eastAsia" w:ascii="宋体" w:hAnsi="宋体" w:cs="宋体"/>
                <w:kern w:val="0"/>
                <w:sz w:val="20"/>
                <w:szCs w:val="24"/>
                <w:lang w:val="zh-CN"/>
              </w:rPr>
              <w:t>羟基维生素</w:t>
            </w:r>
            <w:r>
              <w:rPr>
                <w:rFonts w:eastAsia="Times New Roman"/>
                <w:kern w:val="0"/>
                <w:sz w:val="20"/>
                <w:szCs w:val="24"/>
                <w:lang w:val="zh-CN"/>
              </w:rPr>
              <w:t>D</w:t>
            </w:r>
            <w:r>
              <w:rPr>
                <w:rFonts w:hint="eastAsia" w:ascii="宋体" w:hAnsi="宋体" w:cs="宋体"/>
                <w:kern w:val="0"/>
                <w:sz w:val="20"/>
                <w:szCs w:val="24"/>
                <w:lang w:val="zh-CN"/>
              </w:rPr>
              <w:t>（</w:t>
            </w:r>
            <w:r>
              <w:rPr>
                <w:rFonts w:eastAsia="Times New Roman"/>
                <w:kern w:val="0"/>
                <w:sz w:val="20"/>
                <w:szCs w:val="24"/>
                <w:lang w:val="zh-CN"/>
              </w:rPr>
              <w:t>Vitamin D</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9</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Automatic Urine Analyzer (MS-U530)</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与全自动尿液分析试纸条配套使用，供医疗机构对人体尿液样本中的生化成分进行半定量或定性检测，为临床检验和诊断提供参考。</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10</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Urine Formed Element Analyzer(MS-U580)</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本分析仪用于自动模拟显微镜操作技术流程，对尿液中的有形成分进行自动影像分析鉴别</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11</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Automated Hematology Analyzer (MS-H655)</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供临床检验中作血液细胞计数、白细胞五分类、血红蛋白浓度和</w:t>
            </w:r>
            <w:r>
              <w:rPr>
                <w:rFonts w:eastAsia="Times New Roman"/>
                <w:kern w:val="0"/>
                <w:sz w:val="20"/>
                <w:szCs w:val="24"/>
                <w:lang w:val="zh-CN"/>
              </w:rPr>
              <w:t>C</w:t>
            </w:r>
            <w:r>
              <w:rPr>
                <w:rFonts w:hint="eastAsia" w:ascii="宋体" w:hAnsi="宋体" w:cs="宋体"/>
                <w:kern w:val="0"/>
                <w:sz w:val="20"/>
                <w:szCs w:val="24"/>
                <w:lang w:val="zh-CN"/>
              </w:rPr>
              <w:t>反应蛋白浓度测量。</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12</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Automated Hematology Analyzer (MS-H660)</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供临床检验中作血液细胞计数、白细胞五分类、血红蛋白浓度和</w:t>
            </w:r>
            <w:r>
              <w:rPr>
                <w:rFonts w:eastAsia="Times New Roman"/>
                <w:kern w:val="0"/>
                <w:sz w:val="20"/>
                <w:szCs w:val="24"/>
                <w:lang w:val="zh-CN"/>
              </w:rPr>
              <w:t>C</w:t>
            </w:r>
            <w:r>
              <w:rPr>
                <w:rFonts w:hint="eastAsia" w:ascii="宋体" w:hAnsi="宋体" w:cs="宋体"/>
                <w:kern w:val="0"/>
                <w:sz w:val="20"/>
                <w:szCs w:val="24"/>
                <w:lang w:val="zh-CN"/>
              </w:rPr>
              <w:t>反应蛋白浓度测量。</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13</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HbA1c Anlyzer (MS-S100)</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该产品与特定的糖化血红蛋白检测试剂配合使用，用于人体全血样本中糖化血红蛋白的定量检测。</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14</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Lipid Anlyzer (MS-S200)</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该产品与特定的血脂检测试剂配合使用，用于人体血液样本中总胆固醇、甘油三酯和高密度脂蛋白胆固醇的定量检测。</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15</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Dry Chemistry Anlyzer (MS-S300)</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与基于干化学法的试剂条配套使用，用于人体全血、血清、血浆中特定成份的定量检测。</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16</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Automatic Glycohemoglobin Analyzer  (MS-H200)</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用于对血液中糖化血红蛋白进行定量检测</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17</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Bicarbonate Kit (Kinetic Method)</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韩国</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II</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用于人血清中二氧化碳（</w:t>
            </w:r>
            <w:r>
              <w:rPr>
                <w:rFonts w:eastAsia="Times New Roman"/>
                <w:kern w:val="0"/>
                <w:sz w:val="20"/>
                <w:szCs w:val="24"/>
                <w:lang w:val="zh-CN"/>
              </w:rPr>
              <w:t>CO2</w:t>
            </w:r>
            <w:r>
              <w:rPr>
                <w:rFonts w:hint="eastAsia" w:ascii="宋体" w:hAnsi="宋体" w:cs="宋体"/>
                <w:kern w:val="0"/>
                <w:sz w:val="20"/>
                <w:szCs w:val="24"/>
                <w:lang w:val="zh-CN"/>
              </w:rPr>
              <w:t>）浓度的体外定量测定</w:t>
            </w:r>
            <w:r>
              <w:rPr>
                <w:rFonts w:eastAsia="Times New Roman"/>
                <w:kern w:val="0"/>
                <w:sz w:val="20"/>
                <w:szCs w:val="24"/>
                <w:lang w:val="zh-CN"/>
              </w:rPr>
              <w:t>.</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18</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Bicarbonate Control</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韩国</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II</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用于人血清中二氧化碳</w:t>
            </w:r>
            <w:r>
              <w:rPr>
                <w:rFonts w:eastAsia="Times New Roman"/>
                <w:kern w:val="0"/>
                <w:sz w:val="20"/>
                <w:szCs w:val="24"/>
                <w:lang w:val="zh-CN"/>
              </w:rPr>
              <w:t>(CO2)</w:t>
            </w:r>
            <w:r>
              <w:rPr>
                <w:rFonts w:hint="eastAsia" w:ascii="宋体" w:hAnsi="宋体" w:cs="宋体"/>
                <w:kern w:val="0"/>
                <w:sz w:val="20"/>
                <w:szCs w:val="24"/>
                <w:lang w:val="zh-CN"/>
              </w:rPr>
              <w:t>定量测定时的质量控制，与本公司二氧化碳检测试剂盒（连续监测法）配套使用。</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19</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Small Dense Low-Density Lipoprotein Cholesterol Kit (Peroxidase Method)</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用于人血清和血浆中小而密低密度脂蛋白胆固醇</w:t>
            </w:r>
            <w:r>
              <w:rPr>
                <w:rFonts w:eastAsia="Times New Roman"/>
                <w:kern w:val="0"/>
                <w:sz w:val="20"/>
                <w:szCs w:val="24"/>
                <w:lang w:val="zh-CN"/>
              </w:rPr>
              <w:t xml:space="preserve"> (sdLDL-C)</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20</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N-terminal Pro-brain Natriuretic Peptide FIA KIT</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用于体外定量测定人血清、血浆或全血中的</w:t>
            </w:r>
            <w:r>
              <w:rPr>
                <w:rFonts w:eastAsia="Times New Roman"/>
                <w:kern w:val="0"/>
                <w:sz w:val="20"/>
                <w:szCs w:val="24"/>
                <w:lang w:val="zh-CN"/>
              </w:rPr>
              <w:t>N</w:t>
            </w:r>
            <w:r>
              <w:rPr>
                <w:rFonts w:hint="eastAsia" w:ascii="宋体" w:hAnsi="宋体" w:cs="宋体"/>
                <w:kern w:val="0"/>
                <w:sz w:val="20"/>
                <w:szCs w:val="24"/>
                <w:lang w:val="zh-CN"/>
              </w:rPr>
              <w:t>末端脑利钠肽前体（</w:t>
            </w:r>
            <w:r>
              <w:rPr>
                <w:rFonts w:eastAsia="Times New Roman"/>
                <w:kern w:val="0"/>
                <w:sz w:val="20"/>
                <w:szCs w:val="24"/>
                <w:lang w:val="zh-CN"/>
              </w:rPr>
              <w:t>NT-proBNP</w:t>
            </w:r>
            <w:r>
              <w:rPr>
                <w:rFonts w:hint="eastAsia" w:ascii="宋体" w:hAnsi="宋体" w:cs="宋体"/>
                <w:kern w:val="0"/>
                <w:sz w:val="20"/>
                <w:szCs w:val="24"/>
                <w:lang w:val="zh-CN"/>
              </w:rPr>
              <w:t>）浓度</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21</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Total Antioxidant Status Kit (Colorimetric Method)</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用于人血清中总抗氧化状态浓度的定量测定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22</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Phospholipid Kit (Enzymatic Method)</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用于体外定量测定人血清或血浆中的磷脂（</w:t>
            </w:r>
            <w:r>
              <w:rPr>
                <w:rFonts w:eastAsia="Times New Roman"/>
                <w:kern w:val="0"/>
                <w:sz w:val="20"/>
                <w:szCs w:val="24"/>
                <w:lang w:val="zh-CN"/>
              </w:rPr>
              <w:t>PLIP</w:t>
            </w:r>
            <w:r>
              <w:rPr>
                <w:rFonts w:hint="eastAsia" w:ascii="宋体" w:hAnsi="宋体" w:cs="宋体"/>
                <w:kern w:val="0"/>
                <w:sz w:val="20"/>
                <w:szCs w:val="24"/>
                <w:lang w:val="zh-CN"/>
              </w:rPr>
              <w:t>）浓度</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23</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Procalcitonin FIA KIT</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用于人血清、血浆或全血中降钙素原</w:t>
            </w:r>
            <w:r>
              <w:rPr>
                <w:rFonts w:eastAsia="Times New Roman"/>
                <w:kern w:val="0"/>
                <w:sz w:val="20"/>
                <w:szCs w:val="24"/>
                <w:lang w:val="zh-CN"/>
              </w:rPr>
              <w:t>(PCT)</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24</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C-reactive Protein FIA KIT</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用于人血清、血浆或全血中</w:t>
            </w:r>
            <w:r>
              <w:rPr>
                <w:rFonts w:eastAsia="Times New Roman"/>
                <w:kern w:val="0"/>
                <w:sz w:val="20"/>
                <w:szCs w:val="24"/>
                <w:lang w:val="zh-CN"/>
              </w:rPr>
              <w:t>C</w:t>
            </w:r>
            <w:r>
              <w:rPr>
                <w:rFonts w:hint="eastAsia" w:ascii="宋体" w:hAnsi="宋体" w:cs="宋体"/>
                <w:kern w:val="0"/>
                <w:sz w:val="20"/>
                <w:szCs w:val="24"/>
                <w:lang w:val="zh-CN"/>
              </w:rPr>
              <w:t>反应蛋白</w:t>
            </w:r>
            <w:r>
              <w:rPr>
                <w:rFonts w:eastAsia="Times New Roman"/>
                <w:kern w:val="0"/>
                <w:sz w:val="20"/>
                <w:szCs w:val="24"/>
                <w:lang w:val="zh-CN"/>
              </w:rPr>
              <w:t>(CRP)</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25</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Insulin FIA KIT</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用于人血清、血浆或全血中胰岛素浓度的定量测定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26</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C-peptide FIA KIT</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w:t>
            </w:r>
            <w:r>
              <w:rPr>
                <w:rFonts w:eastAsia="Times New Roman"/>
                <w:kern w:val="0"/>
                <w:sz w:val="20"/>
                <w:szCs w:val="24"/>
                <w:lang w:val="zh-CN"/>
              </w:rPr>
              <w:t>C</w:t>
            </w:r>
            <w:r>
              <w:rPr>
                <w:rFonts w:hint="eastAsia" w:ascii="宋体" w:hAnsi="宋体" w:cs="宋体"/>
                <w:kern w:val="0"/>
                <w:sz w:val="20"/>
                <w:szCs w:val="24"/>
                <w:lang w:val="zh-CN"/>
              </w:rPr>
              <w:t>肽浓度的体外定量测定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27</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Thyroid Stimulating Hormone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用于人血清和血浆中促甲状腺激素浓度的定量测定。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28</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Free Triiodothyronine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用于人血清中游离三碘甲状腺原氨酸浓度的定量测定。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29</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Thyroxine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用于人血清中总甲状腺素浓度的定量测定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30</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N-terminal Pro-brain Natriuretic Peptide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用于人血清和血浆中氨基末端脑利钠肽前体浓度的定量测定。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31</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Free Thyroxine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用于人血清和血浆中游离甲状腺素浓度的定量测定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32</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Triiodothyronine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用于人血清和血浆中游离三碘甲状腺原氨酸浓度的定量测定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33</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Hyaluronic Acid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用于人血清中透明质酸</w:t>
            </w:r>
            <w:r>
              <w:rPr>
                <w:rFonts w:eastAsia="Times New Roman"/>
                <w:kern w:val="0"/>
                <w:sz w:val="20"/>
                <w:szCs w:val="24"/>
                <w:lang w:val="zh-CN"/>
              </w:rPr>
              <w:t>(HA)</w:t>
            </w:r>
            <w:r>
              <w:rPr>
                <w:rFonts w:hint="eastAsia" w:ascii="宋体" w:hAnsi="宋体" w:cs="宋体"/>
                <w:kern w:val="0"/>
                <w:sz w:val="20"/>
                <w:szCs w:val="24"/>
                <w:lang w:val="zh-CN"/>
              </w:rPr>
              <w:t>浓度的体外定量测定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34</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Insulin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用于人血清中胰岛素</w:t>
            </w:r>
            <w:r>
              <w:rPr>
                <w:rFonts w:eastAsia="Times New Roman"/>
                <w:kern w:val="0"/>
                <w:sz w:val="20"/>
                <w:szCs w:val="24"/>
                <w:lang w:val="zh-CN"/>
              </w:rPr>
              <w:t>(INS)</w:t>
            </w:r>
            <w:r>
              <w:rPr>
                <w:rFonts w:hint="eastAsia" w:ascii="宋体" w:hAnsi="宋体" w:cs="宋体"/>
                <w:kern w:val="0"/>
                <w:sz w:val="20"/>
                <w:szCs w:val="24"/>
                <w:lang w:val="zh-CN"/>
              </w:rPr>
              <w:t>浓度的体外定量测定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35</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Connecting Peptide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w:t>
            </w:r>
            <w:r>
              <w:rPr>
                <w:rFonts w:eastAsia="Times New Roman"/>
                <w:kern w:val="0"/>
                <w:sz w:val="20"/>
                <w:szCs w:val="24"/>
                <w:lang w:val="zh-CN"/>
              </w:rPr>
              <w:t>C</w:t>
            </w:r>
            <w:r>
              <w:rPr>
                <w:rFonts w:hint="eastAsia" w:ascii="宋体" w:hAnsi="宋体" w:cs="宋体"/>
                <w:kern w:val="0"/>
                <w:sz w:val="20"/>
                <w:szCs w:val="24"/>
                <w:lang w:val="zh-CN"/>
              </w:rPr>
              <w:t>肽浓度的体外定量测定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36</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Anti-Thyroid Peroxidase Antibodies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用于人血清中抗甲状腺过氧化物酶抗体</w:t>
            </w:r>
            <w:r>
              <w:rPr>
                <w:rFonts w:eastAsia="Times New Roman"/>
                <w:kern w:val="0"/>
                <w:sz w:val="20"/>
                <w:szCs w:val="24"/>
                <w:lang w:val="zh-CN"/>
              </w:rPr>
              <w:t>(Anti-TPO)</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37</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Thyroglobulin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用于人血清中甲状腺球蛋白</w:t>
            </w:r>
            <w:r>
              <w:rPr>
                <w:rFonts w:eastAsia="Times New Roman"/>
                <w:kern w:val="0"/>
                <w:sz w:val="20"/>
                <w:szCs w:val="24"/>
                <w:lang w:val="zh-CN"/>
              </w:rPr>
              <w:t>(TG)</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38</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Thyroglobulin Antibody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用于人血清和血浆中甲状腺球蛋白抗体</w:t>
            </w:r>
            <w:r>
              <w:rPr>
                <w:rFonts w:eastAsia="Times New Roman"/>
                <w:kern w:val="0"/>
                <w:sz w:val="20"/>
                <w:szCs w:val="24"/>
                <w:lang w:val="zh-CN"/>
              </w:rPr>
              <w:t>(TGA)</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39</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 xml:space="preserve">High Sensitivity Cardiac Troponin I Kit (CLIA) </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用于人血清和血浆中肌钙蛋白</w:t>
            </w:r>
            <w:r>
              <w:rPr>
                <w:rFonts w:eastAsia="Times New Roman"/>
                <w:kern w:val="0"/>
                <w:sz w:val="20"/>
                <w:szCs w:val="24"/>
                <w:lang w:val="zh-CN"/>
              </w:rPr>
              <w:t>I(Hs-cTnI)</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40</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Testosterone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用于人血清和血浆中睾酮</w:t>
            </w:r>
            <w:r>
              <w:rPr>
                <w:rFonts w:eastAsia="Times New Roman"/>
                <w:kern w:val="0"/>
                <w:sz w:val="20"/>
                <w:szCs w:val="24"/>
                <w:lang w:val="zh-CN"/>
              </w:rPr>
              <w:t>(TEST)</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41</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Adrenocorticotropic Hormone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用于人血浆中促肾上腺皮质激素</w:t>
            </w:r>
            <w:r>
              <w:rPr>
                <w:rFonts w:eastAsia="Times New Roman"/>
                <w:kern w:val="0"/>
                <w:sz w:val="20"/>
                <w:szCs w:val="24"/>
                <w:lang w:val="zh-CN"/>
              </w:rPr>
              <w:t>(ACTH)</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42</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Growth Hormone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用于人血清中生长激素</w:t>
            </w:r>
            <w:r>
              <w:rPr>
                <w:rFonts w:eastAsia="Times New Roman"/>
                <w:kern w:val="0"/>
                <w:sz w:val="20"/>
                <w:szCs w:val="24"/>
                <w:lang w:val="zh-CN"/>
              </w:rPr>
              <w:t>(GH)</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43</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Prolactin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用于人血清和血浆中泌乳素</w:t>
            </w:r>
            <w:r>
              <w:rPr>
                <w:rFonts w:eastAsia="Times New Roman"/>
                <w:kern w:val="0"/>
                <w:sz w:val="20"/>
                <w:szCs w:val="24"/>
                <w:lang w:val="zh-CN"/>
              </w:rPr>
              <w:t>(PRL)</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44</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Follicle Stimulating Hormone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用于人血清中促卵泡生成激素（</w:t>
            </w:r>
            <w:r>
              <w:rPr>
                <w:rFonts w:eastAsia="Times New Roman"/>
                <w:kern w:val="0"/>
                <w:sz w:val="20"/>
                <w:szCs w:val="24"/>
                <w:lang w:val="zh-CN"/>
              </w:rPr>
              <w:t>FSH</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45</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Human Chorionic Gonadotropin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用于人血清和血浆中人绒毛膜促性腺激素</w:t>
            </w:r>
            <w:r>
              <w:rPr>
                <w:rFonts w:eastAsia="Times New Roman"/>
                <w:kern w:val="0"/>
                <w:sz w:val="20"/>
                <w:szCs w:val="24"/>
                <w:lang w:val="zh-CN"/>
              </w:rPr>
              <w:t>(HCG)</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46</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Aldosterone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用于人血清和血浆中醛固酮</w:t>
            </w:r>
            <w:r>
              <w:rPr>
                <w:rFonts w:eastAsia="Times New Roman"/>
                <w:kern w:val="0"/>
                <w:sz w:val="20"/>
                <w:szCs w:val="24"/>
                <w:lang w:val="zh-CN"/>
              </w:rPr>
              <w:t>(ALD)</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47</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Luteinizing Hormone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用于人血清和血浆中黄体生成素</w:t>
            </w:r>
            <w:r>
              <w:rPr>
                <w:rFonts w:eastAsia="Times New Roman"/>
                <w:kern w:val="0"/>
                <w:sz w:val="20"/>
                <w:szCs w:val="24"/>
                <w:lang w:val="zh-CN"/>
              </w:rPr>
              <w:t>(LH)</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48</w:t>
            </w:r>
          </w:p>
        </w:tc>
        <w:tc>
          <w:tcPr>
            <w:tcW w:w="1141" w:type="pct"/>
          </w:tcPr>
          <w:p>
            <w:pPr>
              <w:autoSpaceDE w:val="0"/>
              <w:autoSpaceDN w:val="0"/>
              <w:adjustRightInd w:val="0"/>
              <w:jc w:val="left"/>
              <w:rPr>
                <w:rFonts w:eastAsia="Times New Roman"/>
                <w:kern w:val="0"/>
                <w:sz w:val="20"/>
                <w:szCs w:val="24"/>
                <w:lang w:val="zh-CN"/>
              </w:rPr>
            </w:pPr>
            <w:r>
              <w:rPr>
                <w:rFonts w:eastAsia="Times New Roman"/>
                <w:kern w:val="0"/>
                <w:sz w:val="20"/>
                <w:szCs w:val="24"/>
                <w:lang w:val="zh-CN"/>
              </w:rPr>
              <w:t>Laminin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用于人血清中层粘连蛋白</w:t>
            </w:r>
            <w:r>
              <w:rPr>
                <w:rFonts w:eastAsia="Times New Roman"/>
                <w:kern w:val="0"/>
                <w:sz w:val="20"/>
                <w:szCs w:val="24"/>
                <w:lang w:val="zh-CN"/>
              </w:rPr>
              <w:t>(LN)</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49</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Collagen Type Ⅳ Kit (CLIA)</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用于人血清中</w:t>
            </w:r>
            <w:r>
              <w:rPr>
                <w:rFonts w:eastAsia="Times New Roman"/>
                <w:kern w:val="0"/>
                <w:sz w:val="20"/>
                <w:szCs w:val="24"/>
                <w:lang w:val="zh-CN"/>
              </w:rPr>
              <w:t>Ⅳ</w:t>
            </w:r>
            <w:r>
              <w:rPr>
                <w:rFonts w:hint="eastAsia" w:ascii="宋体" w:hAnsi="宋体" w:cs="宋体"/>
                <w:kern w:val="0"/>
                <w:sz w:val="20"/>
                <w:szCs w:val="24"/>
                <w:lang w:val="zh-CN"/>
              </w:rPr>
              <w:t>型胶原</w:t>
            </w:r>
            <w:r>
              <w:rPr>
                <w:rFonts w:eastAsia="Times New Roman"/>
                <w:kern w:val="0"/>
                <w:sz w:val="20"/>
                <w:szCs w:val="24"/>
                <w:lang w:val="zh-CN"/>
              </w:rPr>
              <w:t>(CⅣ)</w:t>
            </w:r>
            <w:r>
              <w:rPr>
                <w:rFonts w:hint="eastAsia" w:ascii="宋体" w:hAnsi="宋体" w:cs="宋体"/>
                <w:kern w:val="0"/>
                <w:sz w:val="20"/>
                <w:szCs w:val="24"/>
                <w:lang w:val="zh-CN"/>
              </w:rPr>
              <w:t>浓度的定量测定</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50</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Coronavirus Disease 2019 Antibody  (IgM/IgG) Combined Test Kit</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用于体外定性检测人血清、血浆、全血样本中的新型冠状病毒</w:t>
            </w:r>
            <w:r>
              <w:rPr>
                <w:rFonts w:eastAsia="Times New Roman"/>
                <w:kern w:val="0"/>
                <w:sz w:val="20"/>
                <w:szCs w:val="24"/>
                <w:lang w:val="zh-CN"/>
              </w:rPr>
              <w:t>IgM</w:t>
            </w:r>
            <w:r>
              <w:rPr>
                <w:rFonts w:hint="eastAsia" w:ascii="宋体" w:hAnsi="宋体" w:cs="宋体"/>
                <w:kern w:val="0"/>
                <w:sz w:val="20"/>
                <w:szCs w:val="24"/>
                <w:lang w:val="zh-CN"/>
              </w:rPr>
              <w:t>和</w:t>
            </w:r>
            <w:r>
              <w:rPr>
                <w:rFonts w:eastAsia="Times New Roman"/>
                <w:kern w:val="0"/>
                <w:sz w:val="20"/>
                <w:szCs w:val="24"/>
                <w:lang w:val="zh-CN"/>
              </w:rPr>
              <w:t>IgG</w:t>
            </w:r>
            <w:r>
              <w:rPr>
                <w:rFonts w:hint="eastAsia" w:ascii="宋体" w:hAnsi="宋体" w:cs="宋体"/>
                <w:kern w:val="0"/>
                <w:sz w:val="20"/>
                <w:szCs w:val="24"/>
                <w:lang w:val="zh-CN"/>
              </w:rPr>
              <w:t>抗体，适用于新型冠状病毒（</w:t>
            </w:r>
            <w:r>
              <w:rPr>
                <w:rFonts w:eastAsia="Times New Roman"/>
                <w:kern w:val="0"/>
                <w:sz w:val="20"/>
                <w:szCs w:val="24"/>
                <w:lang w:val="zh-CN"/>
              </w:rPr>
              <w:t>2019-nCoV</w:t>
            </w:r>
            <w:r>
              <w:rPr>
                <w:rFonts w:hint="eastAsia" w:ascii="宋体" w:hAnsi="宋体" w:cs="宋体"/>
                <w:kern w:val="0"/>
                <w:sz w:val="20"/>
                <w:szCs w:val="24"/>
                <w:lang w:val="zh-CN"/>
              </w:rPr>
              <w:t>）感染者病程的辅助诊断</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51</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Coronavirus Disease 2019 Real Time PCR Kit</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用于体外定性检测新型冠状病毒感染的肺炎疑似病例、疑似聚集性病例患者、其他需要进行新型冠状病毒感染诊断或鉴别诊断者的鼻咽拭子、痰液和肺泡灌洗液样本中，新型冠状病毒（</w:t>
            </w:r>
            <w:r>
              <w:rPr>
                <w:rFonts w:eastAsia="Times New Roman"/>
                <w:kern w:val="0"/>
                <w:sz w:val="20"/>
                <w:szCs w:val="24"/>
                <w:lang w:val="zh-CN"/>
              </w:rPr>
              <w:t>2019-nCoV</w:t>
            </w:r>
            <w:r>
              <w:rPr>
                <w:rFonts w:hint="eastAsia" w:ascii="宋体" w:hAnsi="宋体" w:cs="宋体"/>
                <w:kern w:val="0"/>
                <w:sz w:val="20"/>
                <w:szCs w:val="24"/>
                <w:lang w:val="zh-CN"/>
              </w:rPr>
              <w:t>）</w:t>
            </w:r>
            <w:r>
              <w:rPr>
                <w:rFonts w:eastAsia="Times New Roman"/>
                <w:kern w:val="0"/>
                <w:sz w:val="20"/>
                <w:szCs w:val="24"/>
                <w:lang w:val="zh-CN"/>
              </w:rPr>
              <w:t>ORF1ab</w:t>
            </w:r>
            <w:r>
              <w:rPr>
                <w:rFonts w:hint="eastAsia" w:ascii="宋体" w:hAnsi="宋体" w:cs="宋体"/>
                <w:kern w:val="0"/>
                <w:sz w:val="20"/>
                <w:szCs w:val="24"/>
                <w:lang w:val="zh-CN"/>
              </w:rPr>
              <w:t>和</w:t>
            </w:r>
            <w:r>
              <w:rPr>
                <w:rFonts w:eastAsia="Times New Roman"/>
                <w:kern w:val="0"/>
                <w:sz w:val="20"/>
                <w:szCs w:val="24"/>
                <w:lang w:val="zh-CN"/>
              </w:rPr>
              <w:t>N</w:t>
            </w:r>
            <w:r>
              <w:rPr>
                <w:rFonts w:hint="eastAsia" w:ascii="宋体" w:hAnsi="宋体" w:cs="宋体"/>
                <w:kern w:val="0"/>
                <w:sz w:val="20"/>
                <w:szCs w:val="24"/>
                <w:lang w:val="zh-CN"/>
              </w:rPr>
              <w:t>基因。</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52</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Nucleic Acid Extraction or Purification Reagent</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用于核酸的提取、富集、纯化等步骤。其处理后的产物用于临床体外检测使用。</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53</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Nucleic Acid Extraction or Purification Reagent</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用于核酸的提取、富集、纯化等步骤。其处理后的产物用于临床体外检测使用。</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54</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SARS-CoV-2 RT-PCR Test Kit</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用于体外定性检测新型冠状病毒感染的肺炎疑似病例、疑似聚集性病例患者、其他需要进行新型冠状病毒感染诊断或鉴别诊断者的鼻咽拭子、痰液和肺泡灌洗液样本中，新型冠状病毒（</w:t>
            </w:r>
            <w:r>
              <w:rPr>
                <w:rFonts w:eastAsia="Times New Roman"/>
                <w:kern w:val="0"/>
                <w:sz w:val="20"/>
                <w:szCs w:val="24"/>
                <w:lang w:val="zh-CN"/>
              </w:rPr>
              <w:t>2019-nCoV</w:t>
            </w:r>
            <w:r>
              <w:rPr>
                <w:rFonts w:hint="eastAsia" w:ascii="宋体" w:hAnsi="宋体" w:cs="宋体"/>
                <w:kern w:val="0"/>
                <w:sz w:val="20"/>
                <w:szCs w:val="24"/>
                <w:lang w:val="zh-CN"/>
              </w:rPr>
              <w:t>）</w:t>
            </w:r>
            <w:r>
              <w:rPr>
                <w:rFonts w:eastAsia="Times New Roman"/>
                <w:kern w:val="0"/>
                <w:sz w:val="20"/>
                <w:szCs w:val="24"/>
                <w:lang w:val="zh-CN"/>
              </w:rPr>
              <w:t>ORF1ab</w:t>
            </w:r>
            <w:r>
              <w:rPr>
                <w:rFonts w:hint="eastAsia" w:ascii="宋体" w:hAnsi="宋体" w:cs="宋体"/>
                <w:kern w:val="0"/>
                <w:sz w:val="20"/>
                <w:szCs w:val="24"/>
                <w:lang w:val="zh-CN"/>
              </w:rPr>
              <w:t>、</w:t>
            </w:r>
            <w:r>
              <w:rPr>
                <w:rFonts w:eastAsia="Times New Roman"/>
                <w:kern w:val="0"/>
                <w:sz w:val="20"/>
                <w:szCs w:val="24"/>
                <w:lang w:val="zh-CN"/>
              </w:rPr>
              <w:t>N</w:t>
            </w:r>
            <w:r>
              <w:rPr>
                <w:rFonts w:hint="eastAsia" w:ascii="宋体" w:hAnsi="宋体" w:cs="宋体"/>
                <w:kern w:val="0"/>
                <w:sz w:val="20"/>
                <w:szCs w:val="24"/>
                <w:lang w:val="zh-CN"/>
              </w:rPr>
              <w:t>基因和</w:t>
            </w:r>
            <w:r>
              <w:rPr>
                <w:rFonts w:eastAsia="Times New Roman"/>
                <w:kern w:val="0"/>
                <w:sz w:val="20"/>
                <w:szCs w:val="24"/>
                <w:lang w:val="zh-CN"/>
              </w:rPr>
              <w:t>E</w:t>
            </w:r>
            <w:r>
              <w:rPr>
                <w:rFonts w:hint="eastAsia" w:ascii="宋体" w:hAnsi="宋体" w:cs="宋体"/>
                <w:kern w:val="0"/>
                <w:sz w:val="20"/>
                <w:szCs w:val="24"/>
                <w:lang w:val="zh-CN"/>
              </w:rPr>
              <w:t>基因。</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美康生物</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73"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55</w:t>
            </w:r>
          </w:p>
        </w:tc>
        <w:tc>
          <w:tcPr>
            <w:tcW w:w="1141" w:type="pct"/>
          </w:tcPr>
          <w:p>
            <w:pPr>
              <w:autoSpaceDE w:val="0"/>
              <w:autoSpaceDN w:val="0"/>
              <w:adjustRightInd w:val="0"/>
              <w:jc w:val="left"/>
              <w:rPr>
                <w:rFonts w:eastAsia="Times New Roman"/>
                <w:kern w:val="0"/>
                <w:sz w:val="20"/>
                <w:szCs w:val="24"/>
              </w:rPr>
            </w:pPr>
            <w:r>
              <w:rPr>
                <w:rFonts w:eastAsia="Times New Roman"/>
                <w:kern w:val="0"/>
                <w:sz w:val="20"/>
                <w:szCs w:val="24"/>
              </w:rPr>
              <w:t>Chemiluminescence Immunoassay Analyzer (MS-C120)</w:t>
            </w:r>
          </w:p>
        </w:tc>
        <w:tc>
          <w:tcPr>
            <w:tcW w:w="589"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欧盟</w:t>
            </w:r>
          </w:p>
        </w:tc>
        <w:tc>
          <w:tcPr>
            <w:tcW w:w="388" w:type="pct"/>
          </w:tcPr>
          <w:p>
            <w:pPr>
              <w:autoSpaceDE w:val="0"/>
              <w:autoSpaceDN w:val="0"/>
              <w:adjustRightInd w:val="0"/>
              <w:jc w:val="center"/>
              <w:rPr>
                <w:rFonts w:eastAsia="Times New Roman"/>
                <w:kern w:val="0"/>
                <w:sz w:val="20"/>
                <w:szCs w:val="24"/>
                <w:lang w:val="zh-CN"/>
              </w:rPr>
            </w:pPr>
            <w:r>
              <w:rPr>
                <w:rFonts w:eastAsia="Times New Roman"/>
                <w:kern w:val="0"/>
                <w:sz w:val="20"/>
                <w:szCs w:val="24"/>
                <w:lang w:val="zh-CN"/>
              </w:rPr>
              <w:t>Other</w:t>
            </w:r>
          </w:p>
        </w:tc>
        <w:tc>
          <w:tcPr>
            <w:tcW w:w="1257" w:type="pct"/>
          </w:tcPr>
          <w:p>
            <w:pPr>
              <w:autoSpaceDE w:val="0"/>
              <w:autoSpaceDN w:val="0"/>
              <w:adjustRightInd w:val="0"/>
              <w:jc w:val="left"/>
              <w:rPr>
                <w:rFonts w:eastAsia="Times New Roman"/>
                <w:kern w:val="0"/>
                <w:sz w:val="20"/>
                <w:szCs w:val="24"/>
                <w:lang w:val="zh-CN"/>
              </w:rPr>
            </w:pPr>
            <w:r>
              <w:rPr>
                <w:rFonts w:hint="eastAsia" w:ascii="宋体" w:hAnsi="宋体" w:cs="宋体"/>
                <w:kern w:val="0"/>
                <w:sz w:val="20"/>
                <w:szCs w:val="24"/>
                <w:lang w:val="zh-CN"/>
              </w:rPr>
              <w:t>采用基于吖啶酯的直接化学发光法，与配套的检测试剂共同使用，在临床上用于对来源于人体的血清、血浆等样本中的被分析物进行检测。</w:t>
            </w:r>
          </w:p>
        </w:tc>
        <w:tc>
          <w:tcPr>
            <w:tcW w:w="377"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永久</w:t>
            </w:r>
          </w:p>
        </w:tc>
        <w:tc>
          <w:tcPr>
            <w:tcW w:w="370" w:type="pct"/>
          </w:tcPr>
          <w:p>
            <w:pPr>
              <w:autoSpaceDE w:val="0"/>
              <w:autoSpaceDN w:val="0"/>
              <w:adjustRightInd w:val="0"/>
              <w:jc w:val="center"/>
              <w:rPr>
                <w:rFonts w:eastAsia="Times New Roman"/>
                <w:kern w:val="0"/>
                <w:sz w:val="20"/>
                <w:szCs w:val="24"/>
                <w:lang w:val="zh-CN"/>
              </w:rPr>
            </w:pPr>
            <w:r>
              <w:rPr>
                <w:rFonts w:hint="eastAsia" w:ascii="宋体" w:hAnsi="宋体" w:cs="宋体"/>
                <w:kern w:val="0"/>
                <w:sz w:val="20"/>
                <w:szCs w:val="24"/>
                <w:lang w:val="zh-CN"/>
              </w:rPr>
              <w:t>美康盛德</w:t>
            </w:r>
          </w:p>
        </w:tc>
        <w:tc>
          <w:tcPr>
            <w:tcW w:w="605" w:type="pct"/>
          </w:tcPr>
          <w:p>
            <w:pPr>
              <w:autoSpaceDE w:val="0"/>
              <w:autoSpaceDN w:val="0"/>
              <w:adjustRightInd w:val="0"/>
              <w:jc w:val="center"/>
              <w:rPr>
                <w:rFonts w:eastAsia="Times New Roman"/>
                <w:kern w:val="0"/>
                <w:szCs w:val="24"/>
                <w:lang w:val="zh-CN"/>
              </w:rPr>
            </w:pPr>
            <w:r>
              <w:rPr>
                <w:rFonts w:hint="eastAsia" w:ascii="宋体" w:hAnsi="宋体" w:cs="宋体"/>
                <w:kern w:val="0"/>
                <w:szCs w:val="24"/>
                <w:lang w:val="zh-CN"/>
              </w:rPr>
              <w:t>新增</w:t>
            </w:r>
          </w:p>
        </w:tc>
      </w:tr>
    </w:tbl>
    <w:p>
      <w:pPr>
        <w:pStyle w:val="14"/>
        <w:outlineLvl w:val="2"/>
        <w:rPr>
          <w:bCs w:val="0"/>
          <w:szCs w:val="24"/>
        </w:rPr>
      </w:pPr>
      <w:r>
        <w:rPr>
          <w:bCs w:val="0"/>
          <w:szCs w:val="24"/>
        </w:rPr>
        <w:t>5</w:t>
      </w:r>
      <w:r>
        <w:rPr>
          <w:rFonts w:hint="eastAsia"/>
          <w:bCs w:val="0"/>
          <w:szCs w:val="24"/>
        </w:rPr>
        <w:t>、现金流</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2519"/>
        <w:gridCol w:w="2265"/>
        <w:gridCol w:w="2392"/>
        <w:gridCol w:w="2392"/>
      </w:tblGrid>
      <w:tr>
        <w:tblPrEx>
          <w:tblCellMar>
            <w:top w:w="0" w:type="dxa"/>
            <w:left w:w="28" w:type="dxa"/>
            <w:bottom w:w="0" w:type="dxa"/>
            <w:right w:w="28" w:type="dxa"/>
          </w:tblCellMar>
        </w:tblPrEx>
        <w:tc>
          <w:tcPr>
            <w:tcW w:w="251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226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2019</w:t>
            </w:r>
            <w:r>
              <w:rPr>
                <w:rFonts w:hint="eastAsia"/>
                <w:szCs w:val="24"/>
              </w:rPr>
              <w:t>年</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2018</w:t>
            </w:r>
            <w:r>
              <w:rPr>
                <w:rFonts w:hint="eastAsia"/>
                <w:szCs w:val="24"/>
              </w:rPr>
              <w:t>年</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同比增减</w:t>
            </w:r>
          </w:p>
        </w:tc>
      </w:tr>
      <w:tr>
        <w:tblPrEx>
          <w:tblCellMar>
            <w:top w:w="0" w:type="dxa"/>
            <w:left w:w="28" w:type="dxa"/>
            <w:bottom w:w="0" w:type="dxa"/>
            <w:right w:w="28" w:type="dxa"/>
          </w:tblCellMar>
        </w:tblPrEx>
        <w:tc>
          <w:tcPr>
            <w:tcW w:w="251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经营活动现金流入小计</w:t>
            </w:r>
          </w:p>
        </w:tc>
        <w:tc>
          <w:tcPr>
            <w:tcW w:w="2265" w:type="dxa"/>
            <w:tcBorders>
              <w:top w:val="single" w:color="auto" w:sz="4" w:space="0"/>
              <w:left w:val="single" w:color="auto" w:sz="4" w:space="0"/>
              <w:bottom w:val="single" w:color="auto" w:sz="4" w:space="0"/>
              <w:right w:val="single" w:color="auto" w:sz="4" w:space="0"/>
            </w:tcBorders>
            <w:vAlign w:val="center"/>
          </w:tcPr>
          <w:p>
            <w:pPr>
              <w:jc w:val="right"/>
              <w:rPr>
                <w:color w:val="000000"/>
              </w:rPr>
            </w:pPr>
            <w:r>
              <w:rPr>
                <w:color w:val="000000"/>
              </w:rPr>
              <w:t>3,584,430,333.57</w:t>
            </w:r>
          </w:p>
        </w:tc>
        <w:tc>
          <w:tcPr>
            <w:tcW w:w="239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3,298,583,565.48</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8.67%</w:t>
            </w:r>
          </w:p>
        </w:tc>
      </w:tr>
      <w:tr>
        <w:tblPrEx>
          <w:tblCellMar>
            <w:top w:w="0" w:type="dxa"/>
            <w:left w:w="28" w:type="dxa"/>
            <w:bottom w:w="0" w:type="dxa"/>
            <w:right w:w="28" w:type="dxa"/>
          </w:tblCellMar>
        </w:tblPrEx>
        <w:tc>
          <w:tcPr>
            <w:tcW w:w="251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经营活动现金流出小计</w:t>
            </w:r>
          </w:p>
        </w:tc>
        <w:tc>
          <w:tcPr>
            <w:tcW w:w="2265" w:type="dxa"/>
            <w:tcBorders>
              <w:top w:val="single" w:color="auto" w:sz="4" w:space="0"/>
              <w:left w:val="single" w:color="auto" w:sz="4" w:space="0"/>
              <w:bottom w:val="single" w:color="auto" w:sz="4" w:space="0"/>
              <w:right w:val="single" w:color="auto" w:sz="4" w:space="0"/>
            </w:tcBorders>
            <w:vAlign w:val="center"/>
          </w:tcPr>
          <w:p>
            <w:pPr>
              <w:jc w:val="right"/>
              <w:rPr>
                <w:color w:val="000000"/>
              </w:rPr>
            </w:pPr>
            <w:r>
              <w:rPr>
                <w:color w:val="000000"/>
              </w:rPr>
              <w:t>2,983,259,612.74</w:t>
            </w:r>
          </w:p>
        </w:tc>
        <w:tc>
          <w:tcPr>
            <w:tcW w:w="239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2,879,780,333.76</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color w:val="000000"/>
              </w:rPr>
            </w:pPr>
            <w:r>
              <w:rPr>
                <w:color w:val="000000"/>
              </w:rPr>
              <w:t>3.59%</w:t>
            </w:r>
          </w:p>
        </w:tc>
      </w:tr>
      <w:tr>
        <w:tblPrEx>
          <w:tblCellMar>
            <w:top w:w="0" w:type="dxa"/>
            <w:left w:w="28" w:type="dxa"/>
            <w:bottom w:w="0" w:type="dxa"/>
            <w:right w:w="28" w:type="dxa"/>
          </w:tblCellMar>
        </w:tblPrEx>
        <w:tc>
          <w:tcPr>
            <w:tcW w:w="251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经营活动产生的现金流量净额</w:t>
            </w:r>
          </w:p>
        </w:tc>
        <w:tc>
          <w:tcPr>
            <w:tcW w:w="22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601,170,720.83</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418,803,231.72</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43.54%</w:t>
            </w:r>
          </w:p>
        </w:tc>
      </w:tr>
      <w:tr>
        <w:tblPrEx>
          <w:tblCellMar>
            <w:top w:w="0" w:type="dxa"/>
            <w:left w:w="28" w:type="dxa"/>
            <w:bottom w:w="0" w:type="dxa"/>
            <w:right w:w="28" w:type="dxa"/>
          </w:tblCellMar>
        </w:tblPrEx>
        <w:tc>
          <w:tcPr>
            <w:tcW w:w="251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投资活动现金流入小计</w:t>
            </w:r>
          </w:p>
        </w:tc>
        <w:tc>
          <w:tcPr>
            <w:tcW w:w="2265"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257,897,413.04</w:t>
            </w:r>
          </w:p>
        </w:tc>
        <w:tc>
          <w:tcPr>
            <w:tcW w:w="239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1,062,205,459.67</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-75.72%</w:t>
            </w:r>
          </w:p>
        </w:tc>
      </w:tr>
      <w:tr>
        <w:tblPrEx>
          <w:tblCellMar>
            <w:top w:w="0" w:type="dxa"/>
            <w:left w:w="28" w:type="dxa"/>
            <w:bottom w:w="0" w:type="dxa"/>
            <w:right w:w="28" w:type="dxa"/>
          </w:tblCellMar>
        </w:tblPrEx>
        <w:tc>
          <w:tcPr>
            <w:tcW w:w="251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投资活动现金流出小计</w:t>
            </w:r>
          </w:p>
        </w:tc>
        <w:tc>
          <w:tcPr>
            <w:tcW w:w="2265"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546,449,385.53</w:t>
            </w:r>
          </w:p>
        </w:tc>
        <w:tc>
          <w:tcPr>
            <w:tcW w:w="239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1,513,344,410.20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-63.89%</w:t>
            </w:r>
          </w:p>
        </w:tc>
      </w:tr>
      <w:tr>
        <w:tblPrEx>
          <w:tblCellMar>
            <w:top w:w="0" w:type="dxa"/>
            <w:left w:w="28" w:type="dxa"/>
            <w:bottom w:w="0" w:type="dxa"/>
            <w:right w:w="28" w:type="dxa"/>
          </w:tblCellMar>
        </w:tblPrEx>
        <w:tc>
          <w:tcPr>
            <w:tcW w:w="251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投资活动产生的现金流量净额</w:t>
            </w:r>
          </w:p>
        </w:tc>
        <w:tc>
          <w:tcPr>
            <w:tcW w:w="2265"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-288,551,972.49</w:t>
            </w:r>
          </w:p>
        </w:tc>
        <w:tc>
          <w:tcPr>
            <w:tcW w:w="239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-451,138,950.53</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-36.04%</w:t>
            </w:r>
          </w:p>
        </w:tc>
      </w:tr>
      <w:tr>
        <w:tblPrEx>
          <w:tblCellMar>
            <w:top w:w="0" w:type="dxa"/>
            <w:left w:w="28" w:type="dxa"/>
            <w:bottom w:w="0" w:type="dxa"/>
            <w:right w:w="28" w:type="dxa"/>
          </w:tblCellMar>
        </w:tblPrEx>
        <w:tc>
          <w:tcPr>
            <w:tcW w:w="251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筹资活动现金流入小计</w:t>
            </w:r>
          </w:p>
        </w:tc>
        <w:tc>
          <w:tcPr>
            <w:tcW w:w="2265"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2,128,932,656.46</w:t>
            </w:r>
          </w:p>
        </w:tc>
        <w:tc>
          <w:tcPr>
            <w:tcW w:w="239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2,430,720,036.93</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-12.42%</w:t>
            </w:r>
          </w:p>
        </w:tc>
      </w:tr>
      <w:tr>
        <w:tblPrEx>
          <w:tblCellMar>
            <w:top w:w="0" w:type="dxa"/>
            <w:left w:w="28" w:type="dxa"/>
            <w:bottom w:w="0" w:type="dxa"/>
            <w:right w:w="28" w:type="dxa"/>
          </w:tblCellMar>
        </w:tblPrEx>
        <w:tc>
          <w:tcPr>
            <w:tcW w:w="251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筹资活动现金流出小计</w:t>
            </w:r>
          </w:p>
        </w:tc>
        <w:tc>
          <w:tcPr>
            <w:tcW w:w="2265"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2,419,687,124.05</w:t>
            </w:r>
          </w:p>
        </w:tc>
        <w:tc>
          <w:tcPr>
            <w:tcW w:w="239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2,364,051,505.16</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2.35%</w:t>
            </w:r>
          </w:p>
        </w:tc>
      </w:tr>
      <w:tr>
        <w:tblPrEx>
          <w:tblCellMar>
            <w:top w:w="0" w:type="dxa"/>
            <w:left w:w="28" w:type="dxa"/>
            <w:bottom w:w="0" w:type="dxa"/>
            <w:right w:w="28" w:type="dxa"/>
          </w:tblCellMar>
        </w:tblPrEx>
        <w:tc>
          <w:tcPr>
            <w:tcW w:w="251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筹资活动产生的现金流量净额</w:t>
            </w:r>
          </w:p>
        </w:tc>
        <w:tc>
          <w:tcPr>
            <w:tcW w:w="2265"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-290,754,467.59</w:t>
            </w:r>
          </w:p>
        </w:tc>
        <w:tc>
          <w:tcPr>
            <w:tcW w:w="239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66,668,531.77</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-536.12%</w:t>
            </w:r>
          </w:p>
        </w:tc>
      </w:tr>
      <w:tr>
        <w:tblPrEx>
          <w:tblCellMar>
            <w:top w:w="0" w:type="dxa"/>
            <w:left w:w="28" w:type="dxa"/>
            <w:bottom w:w="0" w:type="dxa"/>
            <w:right w:w="28" w:type="dxa"/>
          </w:tblCellMar>
        </w:tblPrEx>
        <w:tc>
          <w:tcPr>
            <w:tcW w:w="251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现金及现金等价物净增加额</w:t>
            </w:r>
          </w:p>
        </w:tc>
        <w:tc>
          <w:tcPr>
            <w:tcW w:w="2265"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21,066,026.26</w:t>
            </w:r>
          </w:p>
        </w:tc>
        <w:tc>
          <w:tcPr>
            <w:tcW w:w="239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36,674,537.30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-42.56%</w:t>
            </w:r>
          </w:p>
        </w:tc>
      </w:tr>
    </w:tbl>
    <w:p>
      <w:pPr>
        <w:jc w:val="left"/>
        <w:rPr>
          <w:szCs w:val="24"/>
        </w:rPr>
      </w:pPr>
      <w:r>
        <w:rPr>
          <w:rFonts w:hint="eastAsia"/>
          <w:szCs w:val="24"/>
        </w:rPr>
        <w:t>相关数据同比发生重大变动的主要影响因素说明</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报告期内，经营活动产生的现金流量净额为</w:t>
      </w:r>
      <w:r>
        <w:rPr>
          <w:szCs w:val="24"/>
        </w:rPr>
        <w:t>601,170,720.83</w:t>
      </w:r>
      <w:r>
        <w:rPr>
          <w:rFonts w:hint="eastAsia" w:ascii="宋体" w:hAnsi="宋体" w:cs="宋体"/>
          <w:kern w:val="0"/>
          <w:szCs w:val="24"/>
          <w:lang w:val="zh-CN"/>
        </w:rPr>
        <w:t>元，较上年同期增加</w:t>
      </w:r>
      <w:r>
        <w:rPr>
          <w:rFonts w:eastAsia="Times New Roman"/>
          <w:kern w:val="0"/>
          <w:szCs w:val="24"/>
          <w:lang w:val="zh-CN"/>
        </w:rPr>
        <w:t>182,367,489.11</w:t>
      </w:r>
      <w:r>
        <w:rPr>
          <w:rFonts w:hint="eastAsia" w:ascii="宋体" w:hAnsi="宋体" w:cs="宋体"/>
          <w:kern w:val="0"/>
          <w:szCs w:val="24"/>
          <w:lang w:val="zh-CN"/>
        </w:rPr>
        <w:t>元，主要系公司加强资金管理，积极催收应收款项，对供应商付款信用政策进行调整，优化资金使用效率所致。</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报告期内，筹资活动产生的现金流量净额为</w:t>
      </w:r>
      <w:r>
        <w:rPr>
          <w:rFonts w:eastAsia="Times New Roman"/>
          <w:kern w:val="0"/>
          <w:szCs w:val="24"/>
          <w:lang w:val="zh-CN"/>
        </w:rPr>
        <w:t>-290,754,467.59</w:t>
      </w:r>
      <w:r>
        <w:rPr>
          <w:rFonts w:hint="eastAsia" w:ascii="宋体" w:hAnsi="宋体" w:cs="宋体"/>
          <w:kern w:val="0"/>
          <w:szCs w:val="24"/>
          <w:lang w:val="zh-CN"/>
        </w:rPr>
        <w:t>元，较上年同期减少</w:t>
      </w:r>
      <w:r>
        <w:rPr>
          <w:rFonts w:eastAsia="Times New Roman"/>
          <w:kern w:val="0"/>
          <w:szCs w:val="24"/>
          <w:lang w:val="zh-CN"/>
        </w:rPr>
        <w:t>-357,422,999.36</w:t>
      </w:r>
      <w:r>
        <w:rPr>
          <w:rFonts w:hint="eastAsia" w:ascii="宋体" w:hAnsi="宋体" w:cs="宋体"/>
          <w:kern w:val="0"/>
          <w:szCs w:val="24"/>
          <w:lang w:val="zh-CN"/>
        </w:rPr>
        <w:t>元，主要系公司归还长期应付款及抵押借款所致。</w:t>
      </w:r>
    </w:p>
    <w:p>
      <w:pPr>
        <w:jc w:val="left"/>
        <w:rPr>
          <w:szCs w:val="24"/>
        </w:rPr>
      </w:pPr>
      <w:r>
        <w:rPr>
          <w:rFonts w:hint="eastAsia"/>
          <w:szCs w:val="24"/>
        </w:rPr>
        <w:t>报告期内公司经营活动产生的现金净流量与本年度净利润存在重大差异的原因说明</w:t>
      </w:r>
    </w:p>
    <w:p>
      <w:pPr>
        <w:jc w:val="left"/>
        <w:rPr>
          <w:szCs w:val="24"/>
        </w:rPr>
      </w:pPr>
      <w:r>
        <w:rPr>
          <w:szCs w:val="24"/>
        </w:rPr>
        <w:t xml:space="preserve">√ 适用 □ 不适用 </w:t>
      </w:r>
    </w:p>
    <w:p>
      <w:pPr>
        <w:autoSpaceDE w:val="0"/>
        <w:autoSpaceDN w:val="0"/>
        <w:adjustRightInd w:val="0"/>
        <w:spacing w:before="0" w:after="0"/>
        <w:ind w:firstLine="420"/>
        <w:jc w:val="left"/>
        <w:rPr>
          <w:rFonts w:eastAsiaTheme="minorEastAsia"/>
          <w:kern w:val="0"/>
          <w:szCs w:val="24"/>
          <w:lang w:val="zh-CN"/>
        </w:rPr>
      </w:pPr>
      <w:r>
        <w:rPr>
          <w:rFonts w:hint="eastAsia" w:ascii="宋体" w:hAnsi="宋体" w:cs="宋体"/>
          <w:kern w:val="0"/>
          <w:szCs w:val="24"/>
          <w:lang w:val="zh-CN"/>
        </w:rPr>
        <w:t>报告期内公司经营活动产生的现金净流量为</w:t>
      </w:r>
      <w:r>
        <w:rPr>
          <w:rFonts w:eastAsia="Times New Roman"/>
          <w:kern w:val="0"/>
          <w:szCs w:val="24"/>
          <w:lang w:val="zh-CN"/>
        </w:rPr>
        <w:t>601,170,720.83</w:t>
      </w:r>
      <w:r>
        <w:rPr>
          <w:rFonts w:hint="eastAsia" w:ascii="宋体" w:hAnsi="宋体" w:cs="宋体"/>
          <w:kern w:val="0"/>
          <w:szCs w:val="24"/>
          <w:lang w:val="zh-CN"/>
        </w:rPr>
        <w:t>元，净利润为</w:t>
      </w:r>
      <w:r>
        <w:rPr>
          <w:rFonts w:eastAsia="Times New Roman"/>
          <w:kern w:val="0"/>
          <w:szCs w:val="24"/>
          <w:lang w:val="zh-CN"/>
        </w:rPr>
        <w:t>-576,626,718.42</w:t>
      </w:r>
      <w:r>
        <w:rPr>
          <w:rFonts w:hint="eastAsia" w:ascii="宋体" w:hAnsi="宋体" w:cs="宋体"/>
          <w:kern w:val="0"/>
          <w:szCs w:val="24"/>
          <w:lang w:val="zh-CN"/>
        </w:rPr>
        <w:t>元，差异主要系报告期内计提大额减值准备。</w:t>
      </w:r>
    </w:p>
    <w:p>
      <w:pPr>
        <w:pStyle w:val="13"/>
        <w:outlineLvl w:val="1"/>
        <w:rPr>
          <w:bCs w:val="0"/>
        </w:rPr>
      </w:pPr>
      <w:r>
        <w:rPr>
          <w:rFonts w:hint="eastAsia"/>
          <w:bCs w:val="0"/>
        </w:rPr>
        <w:t>三、非主营业务情况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3"/>
        <w:outlineLvl w:val="1"/>
        <w:rPr>
          <w:bCs w:val="0"/>
        </w:rPr>
      </w:pPr>
      <w:r>
        <w:rPr>
          <w:rFonts w:hint="eastAsia"/>
          <w:bCs w:val="0"/>
        </w:rPr>
        <w:t>四、资产及负债状况</w:t>
      </w:r>
    </w:p>
    <w:p>
      <w:pPr>
        <w:pStyle w:val="14"/>
        <w:outlineLvl w:val="2"/>
        <w:rPr>
          <w:bCs w:val="0"/>
          <w:szCs w:val="24"/>
        </w:rPr>
      </w:pPr>
      <w:r>
        <w:rPr>
          <w:bCs w:val="0"/>
          <w:szCs w:val="24"/>
        </w:rPr>
        <w:t>1</w:t>
      </w:r>
      <w:r>
        <w:rPr>
          <w:rFonts w:hint="eastAsia"/>
          <w:bCs w:val="0"/>
          <w:szCs w:val="24"/>
        </w:rPr>
        <w:t>、资产构成重大变动情况</w:t>
      </w:r>
    </w:p>
    <w:p>
      <w:pPr>
        <w:jc w:val="left"/>
        <w:rPr>
          <w:szCs w:val="24"/>
        </w:rPr>
      </w:pPr>
      <w:r>
        <w:rPr>
          <w:rFonts w:hint="eastAsia"/>
          <w:szCs w:val="24"/>
        </w:rPr>
        <w:t>公司</w:t>
      </w:r>
      <w:r>
        <w:rPr>
          <w:szCs w:val="24"/>
        </w:rPr>
        <w:t>2019</w:t>
      </w:r>
      <w:r>
        <w:rPr>
          <w:rFonts w:hint="eastAsia"/>
          <w:szCs w:val="24"/>
        </w:rPr>
        <w:t>年起首次执行新金融工具准则、新收入准则或新租赁准则且调整执行当年年初财务报表相关项目</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1368"/>
        <w:gridCol w:w="1326"/>
        <w:gridCol w:w="901"/>
        <w:gridCol w:w="1367"/>
        <w:gridCol w:w="891"/>
        <w:gridCol w:w="798"/>
        <w:gridCol w:w="2918"/>
      </w:tblGrid>
      <w:tr>
        <w:tblPrEx>
          <w:tblCellMar>
            <w:top w:w="0" w:type="dxa"/>
            <w:left w:w="28" w:type="dxa"/>
            <w:bottom w:w="0" w:type="dxa"/>
            <w:right w:w="28" w:type="dxa"/>
          </w:tblCellMar>
        </w:tblPrEx>
        <w:tc>
          <w:tcPr>
            <w:tcW w:w="136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2227"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2019</w:t>
            </w:r>
            <w:r>
              <w:rPr>
                <w:rFonts w:hint="eastAsia"/>
                <w:szCs w:val="24"/>
              </w:rPr>
              <w:t>年末</w:t>
            </w:r>
          </w:p>
        </w:tc>
        <w:tc>
          <w:tcPr>
            <w:tcW w:w="225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2019</w:t>
            </w:r>
            <w:r>
              <w:rPr>
                <w:rFonts w:hint="eastAsia"/>
                <w:szCs w:val="24"/>
              </w:rPr>
              <w:t>年初</w:t>
            </w:r>
          </w:p>
        </w:tc>
        <w:tc>
          <w:tcPr>
            <w:tcW w:w="79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比重增减</w:t>
            </w:r>
          </w:p>
        </w:tc>
        <w:tc>
          <w:tcPr>
            <w:tcW w:w="291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重大变动说明</w:t>
            </w:r>
          </w:p>
        </w:tc>
      </w:tr>
      <w:tr>
        <w:tblPrEx>
          <w:tblCellMar>
            <w:top w:w="0" w:type="dxa"/>
            <w:left w:w="28" w:type="dxa"/>
            <w:bottom w:w="0" w:type="dxa"/>
            <w:right w:w="28" w:type="dxa"/>
          </w:tblCellMar>
        </w:tblPrEx>
        <w:tc>
          <w:tcPr>
            <w:tcW w:w="136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2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90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占总资产比例</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8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占总资产比例</w:t>
            </w:r>
          </w:p>
        </w:tc>
        <w:tc>
          <w:tcPr>
            <w:tcW w:w="79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291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货币资金</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436,585,439.19</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11.67%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417,288,640.73</w:t>
            </w:r>
          </w:p>
        </w:tc>
        <w:tc>
          <w:tcPr>
            <w:tcW w:w="8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9.08%</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2.59%</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应收账款</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1,076,672,780.13</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28.78%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1,305,469,274.95</w:t>
            </w:r>
          </w:p>
        </w:tc>
        <w:tc>
          <w:tcPr>
            <w:tcW w:w="8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28.40%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0.38%</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存货</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409,521,107.83</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388,413,307.90</w:t>
            </w:r>
          </w:p>
        </w:tc>
        <w:tc>
          <w:tcPr>
            <w:tcW w:w="8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8.45%</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2.50%</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主要系发出商品尚未结算的增加所致。</w:t>
            </w: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长期股权投资</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304,157,908.35</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247,456,230.38</w:t>
            </w:r>
          </w:p>
        </w:tc>
        <w:tc>
          <w:tcPr>
            <w:tcW w:w="8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5.38%</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2.75%</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主要系出售部分子公司股权变为参股公司所致。</w:t>
            </w: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固定资产</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489,931,010.87</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13.10%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414,937,464.27</w:t>
            </w:r>
          </w:p>
        </w:tc>
        <w:tc>
          <w:tcPr>
            <w:tcW w:w="8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9.03%</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4.07%</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主要系报告期内投入的仪器、</w:t>
            </w:r>
            <w:r>
              <w:rPr>
                <w:szCs w:val="24"/>
              </w:rPr>
              <w:t xml:space="preserve"> </w:t>
            </w:r>
            <w:r>
              <w:rPr>
                <w:rFonts w:hint="eastAsia"/>
                <w:szCs w:val="24"/>
              </w:rPr>
              <w:t>设备等增加所致。</w:t>
            </w: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在建工程</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416,280,843.65</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11.13%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307,014,414.17</w:t>
            </w:r>
          </w:p>
        </w:tc>
        <w:tc>
          <w:tcPr>
            <w:tcW w:w="8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6.68%</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4.45%</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主要系报告期内在建项目投入增加所致。</w:t>
            </w: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短期借款</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1,207,438,720.83</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32.28%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1,130,490,000.00</w:t>
            </w:r>
          </w:p>
        </w:tc>
        <w:tc>
          <w:tcPr>
            <w:tcW w:w="8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24.59%</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7.69%</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主要系报告期内公司银行贷款增加所致。</w:t>
            </w: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长期借款</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243,010,000.00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6.50%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120,000,000.00</w:t>
            </w:r>
          </w:p>
        </w:tc>
        <w:tc>
          <w:tcPr>
            <w:tcW w:w="8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2.61%</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3.89%</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主要系报告期内公司银行贷款增加所致。</w:t>
            </w:r>
          </w:p>
        </w:tc>
      </w:tr>
    </w:tbl>
    <w:p>
      <w:pPr>
        <w:pStyle w:val="14"/>
        <w:outlineLvl w:val="2"/>
        <w:rPr>
          <w:bCs w:val="0"/>
          <w:szCs w:val="24"/>
        </w:rPr>
      </w:pPr>
      <w:r>
        <w:rPr>
          <w:bCs w:val="0"/>
          <w:szCs w:val="24"/>
        </w:rPr>
        <w:t>2</w:t>
      </w:r>
      <w:r>
        <w:rPr>
          <w:rFonts w:hint="eastAsia"/>
          <w:bCs w:val="0"/>
          <w:szCs w:val="24"/>
        </w:rPr>
        <w:t>、以公允价值计量的资产和负债</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981"/>
        <w:gridCol w:w="1146"/>
        <w:gridCol w:w="932"/>
        <w:gridCol w:w="1194"/>
        <w:gridCol w:w="930"/>
        <w:gridCol w:w="1196"/>
        <w:gridCol w:w="1063"/>
        <w:gridCol w:w="915"/>
        <w:gridCol w:w="1212"/>
      </w:tblGrid>
      <w:tr>
        <w:tblPrEx>
          <w:tblCellMar>
            <w:top w:w="0" w:type="dxa"/>
            <w:left w:w="28" w:type="dxa"/>
            <w:bottom w:w="0" w:type="dxa"/>
            <w:right w:w="28" w:type="dxa"/>
          </w:tblCellMar>
        </w:tblPrEx>
        <w:tc>
          <w:tcPr>
            <w:tcW w:w="98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14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期初数</w:t>
            </w:r>
          </w:p>
        </w:tc>
        <w:tc>
          <w:tcPr>
            <w:tcW w:w="93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本期公允价值变动损益</w:t>
            </w:r>
          </w:p>
        </w:tc>
        <w:tc>
          <w:tcPr>
            <w:tcW w:w="11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计入权益的累计公允价值变动</w:t>
            </w:r>
          </w:p>
        </w:tc>
        <w:tc>
          <w:tcPr>
            <w:tcW w:w="93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本期计提的减值</w:t>
            </w: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本期购买金额</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本期出售金额</w:t>
            </w:r>
          </w:p>
        </w:tc>
        <w:tc>
          <w:tcPr>
            <w:tcW w:w="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其他变动</w:t>
            </w:r>
          </w:p>
        </w:tc>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期末数</w:t>
            </w:r>
          </w:p>
        </w:tc>
      </w:tr>
      <w:tr>
        <w:tblPrEx>
          <w:tblCellMar>
            <w:top w:w="0" w:type="dxa"/>
            <w:left w:w="28" w:type="dxa"/>
            <w:bottom w:w="0" w:type="dxa"/>
            <w:right w:w="28" w:type="dxa"/>
          </w:tblCellMar>
        </w:tblPrEx>
        <w:tc>
          <w:tcPr>
            <w:tcW w:w="9569" w:type="dxa"/>
            <w:gridSpan w:val="9"/>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金融资产</w:t>
            </w:r>
          </w:p>
        </w:tc>
      </w:tr>
      <w:tr>
        <w:tblPrEx>
          <w:tblCellMar>
            <w:top w:w="0" w:type="dxa"/>
            <w:left w:w="28" w:type="dxa"/>
            <w:bottom w:w="0" w:type="dxa"/>
            <w:right w:w="28" w:type="dxa"/>
          </w:tblCellMar>
        </w:tblPrEx>
        <w:tc>
          <w:tcPr>
            <w:tcW w:w="98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4.</w:t>
            </w:r>
            <w:r>
              <w:rPr>
                <w:rFonts w:hint="eastAsia"/>
                <w:szCs w:val="24"/>
              </w:rPr>
              <w:t>其他权益工具投资</w:t>
            </w:r>
          </w:p>
        </w:tc>
        <w:tc>
          <w:tcPr>
            <w:tcW w:w="114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30,600,000.00</w:t>
            </w:r>
          </w:p>
        </w:tc>
        <w:tc>
          <w:tcPr>
            <w:tcW w:w="9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rFonts w:hint="eastAsia"/>
                <w:szCs w:val="24"/>
              </w:rPr>
              <w:t>-300,000.00</w:t>
            </w:r>
          </w:p>
        </w:tc>
        <w:tc>
          <w:tcPr>
            <w:tcW w:w="11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rFonts w:hint="eastAsia"/>
                <w:szCs w:val="24"/>
              </w:rPr>
              <w:t>-300,000.00</w:t>
            </w: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rFonts w:hint="eastAsia"/>
                <w:szCs w:val="24"/>
              </w:rPr>
              <w:t>3</w:t>
            </w:r>
            <w:r>
              <w:rPr>
                <w:szCs w:val="24"/>
              </w:rPr>
              <w:t>00,000.00</w:t>
            </w:r>
          </w:p>
        </w:tc>
        <w:tc>
          <w:tcPr>
            <w:tcW w:w="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30,060,000.00</w:t>
            </w:r>
          </w:p>
        </w:tc>
      </w:tr>
      <w:tr>
        <w:tblPrEx>
          <w:tblCellMar>
            <w:top w:w="0" w:type="dxa"/>
            <w:left w:w="28" w:type="dxa"/>
            <w:bottom w:w="0" w:type="dxa"/>
            <w:right w:w="28" w:type="dxa"/>
          </w:tblCellMar>
        </w:tblPrEx>
        <w:tc>
          <w:tcPr>
            <w:tcW w:w="98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上述合计</w:t>
            </w:r>
          </w:p>
        </w:tc>
        <w:tc>
          <w:tcPr>
            <w:tcW w:w="114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30,600,000.00</w:t>
            </w:r>
          </w:p>
        </w:tc>
        <w:tc>
          <w:tcPr>
            <w:tcW w:w="9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rFonts w:hint="eastAsia"/>
                <w:szCs w:val="24"/>
              </w:rPr>
              <w:t>-300,000.00</w:t>
            </w:r>
          </w:p>
        </w:tc>
        <w:tc>
          <w:tcPr>
            <w:tcW w:w="11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rFonts w:hint="eastAsia"/>
                <w:szCs w:val="24"/>
              </w:rPr>
              <w:t>-300,000.00</w:t>
            </w: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rFonts w:hint="eastAsia"/>
                <w:szCs w:val="24"/>
              </w:rPr>
              <w:t>3</w:t>
            </w:r>
            <w:r>
              <w:rPr>
                <w:szCs w:val="24"/>
              </w:rPr>
              <w:t>00,000.00</w:t>
            </w:r>
          </w:p>
        </w:tc>
        <w:tc>
          <w:tcPr>
            <w:tcW w:w="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30,060,000.00</w:t>
            </w:r>
          </w:p>
        </w:tc>
      </w:tr>
      <w:tr>
        <w:tblPrEx>
          <w:tblCellMar>
            <w:top w:w="0" w:type="dxa"/>
            <w:left w:w="28" w:type="dxa"/>
            <w:bottom w:w="0" w:type="dxa"/>
            <w:right w:w="28" w:type="dxa"/>
          </w:tblCellMar>
        </w:tblPrEx>
        <w:tc>
          <w:tcPr>
            <w:tcW w:w="98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金融负债</w:t>
            </w:r>
          </w:p>
        </w:tc>
        <w:tc>
          <w:tcPr>
            <w:tcW w:w="114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9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r>
    </w:tbl>
    <w:p>
      <w:pPr>
        <w:jc w:val="left"/>
        <w:rPr>
          <w:szCs w:val="24"/>
        </w:rPr>
      </w:pPr>
      <w:r>
        <w:rPr>
          <w:rFonts w:hint="eastAsia"/>
          <w:szCs w:val="24"/>
        </w:rPr>
        <w:t>其他变动的内容</w:t>
      </w:r>
    </w:p>
    <w:p>
      <w:pPr>
        <w:jc w:val="left"/>
        <w:rPr>
          <w:szCs w:val="24"/>
        </w:rPr>
      </w:pPr>
      <w:r>
        <w:rPr>
          <w:rFonts w:hint="eastAsia"/>
          <w:szCs w:val="24"/>
        </w:rPr>
        <w:t>报告期内公司主要资产计量属性是否发生重大变化</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pStyle w:val="14"/>
        <w:outlineLvl w:val="2"/>
        <w:rPr>
          <w:bCs w:val="0"/>
          <w:szCs w:val="24"/>
        </w:rPr>
      </w:pPr>
      <w:r>
        <w:rPr>
          <w:bCs w:val="0"/>
          <w:szCs w:val="24"/>
        </w:rPr>
        <w:t>3</w:t>
      </w:r>
      <w:r>
        <w:rPr>
          <w:rFonts w:hint="eastAsia"/>
          <w:bCs w:val="0"/>
          <w:szCs w:val="24"/>
        </w:rPr>
        <w:t>、截至报告期末的资产权利受限情况</w:t>
      </w:r>
    </w:p>
    <w:p>
      <w:pPr>
        <w:autoSpaceDE w:val="0"/>
        <w:autoSpaceDN w:val="0"/>
        <w:adjustRightInd w:val="0"/>
        <w:rPr>
          <w:rFonts w:eastAsiaTheme="minorEastAsia"/>
          <w:kern w:val="0"/>
          <w:szCs w:val="24"/>
          <w:lang w:val="zh-CN"/>
        </w:rPr>
      </w:pPr>
      <w:r>
        <w:rPr>
          <w:rFonts w:hint="eastAsia" w:ascii="宋体" w:hAnsi="宋体" w:cs="宋体"/>
          <w:kern w:val="0"/>
          <w:szCs w:val="24"/>
          <w:lang w:val="zh-CN"/>
        </w:rPr>
        <w:t>截止报告期末资产权利无受限情况。</w:t>
      </w:r>
    </w:p>
    <w:p>
      <w:pPr>
        <w:pStyle w:val="13"/>
        <w:outlineLvl w:val="1"/>
        <w:rPr>
          <w:bCs w:val="0"/>
        </w:rPr>
      </w:pPr>
      <w:r>
        <w:rPr>
          <w:rFonts w:hint="eastAsia"/>
          <w:bCs w:val="0"/>
        </w:rPr>
        <w:t>五、投资状况分析</w:t>
      </w:r>
    </w:p>
    <w:p>
      <w:pPr>
        <w:pStyle w:val="14"/>
        <w:outlineLvl w:val="2"/>
        <w:rPr>
          <w:bCs w:val="0"/>
          <w:szCs w:val="24"/>
        </w:rPr>
      </w:pPr>
      <w:r>
        <w:rPr>
          <w:bCs w:val="0"/>
          <w:szCs w:val="24"/>
        </w:rPr>
        <w:t>1</w:t>
      </w:r>
      <w:r>
        <w:rPr>
          <w:rFonts w:hint="eastAsia"/>
          <w:bCs w:val="0"/>
          <w:szCs w:val="24"/>
        </w:rPr>
        <w:t>、总体情况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报告期投资额（元）</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上年同期投资额（元）</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变动幅度</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w:t>
            </w:r>
            <w:r>
              <w:rPr>
                <w:rFonts w:hint="eastAsia"/>
                <w:szCs w:val="24"/>
              </w:rPr>
              <w:t>,2</w:t>
            </w:r>
            <w:r>
              <w:rPr>
                <w:szCs w:val="24"/>
              </w:rPr>
              <w:t>74</w:t>
            </w:r>
            <w:r>
              <w:rPr>
                <w:rFonts w:hint="eastAsia"/>
                <w:szCs w:val="24"/>
              </w:rPr>
              <w:t>,0</w:t>
            </w:r>
            <w:r>
              <w:rPr>
                <w:szCs w:val="24"/>
              </w:rPr>
              <w:t>82</w:t>
            </w:r>
            <w:r>
              <w:rPr>
                <w:rFonts w:hint="eastAsia"/>
                <w:szCs w:val="24"/>
              </w:rPr>
              <w:t>,6</w:t>
            </w:r>
            <w:r>
              <w:rPr>
                <w:szCs w:val="24"/>
              </w:rPr>
              <w:t>50.69</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1,695,358,086.03</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-24.85%</w:t>
            </w:r>
          </w:p>
        </w:tc>
      </w:tr>
    </w:tbl>
    <w:p>
      <w:pPr>
        <w:pStyle w:val="14"/>
        <w:outlineLvl w:val="2"/>
        <w:rPr>
          <w:bCs w:val="0"/>
          <w:szCs w:val="24"/>
        </w:rPr>
      </w:pPr>
      <w:r>
        <w:rPr>
          <w:bCs w:val="0"/>
          <w:szCs w:val="24"/>
        </w:rPr>
        <w:t>2</w:t>
      </w:r>
      <w:r>
        <w:rPr>
          <w:rFonts w:hint="eastAsia"/>
          <w:bCs w:val="0"/>
          <w:szCs w:val="24"/>
        </w:rPr>
        <w:t>、报告期内获取的重大的股权投资情况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694"/>
        <w:gridCol w:w="693"/>
        <w:gridCol w:w="662"/>
        <w:gridCol w:w="662"/>
        <w:gridCol w:w="662"/>
        <w:gridCol w:w="662"/>
        <w:gridCol w:w="658"/>
        <w:gridCol w:w="655"/>
        <w:gridCol w:w="658"/>
        <w:gridCol w:w="629"/>
        <w:gridCol w:w="739"/>
        <w:gridCol w:w="734"/>
        <w:gridCol w:w="734"/>
        <w:gridCol w:w="723"/>
      </w:tblGrid>
      <w:tr>
        <w:tblPrEx>
          <w:tblCellMar>
            <w:top w:w="0" w:type="dxa"/>
            <w:left w:w="28" w:type="dxa"/>
            <w:bottom w:w="0" w:type="dxa"/>
            <w:right w:w="28" w:type="dxa"/>
          </w:tblCellMar>
        </w:tblPrEx>
        <w:tc>
          <w:tcPr>
            <w:tcW w:w="6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被投资公司名称</w:t>
            </w:r>
          </w:p>
        </w:tc>
        <w:tc>
          <w:tcPr>
            <w:tcW w:w="6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主要业务</w:t>
            </w:r>
          </w:p>
        </w:tc>
        <w:tc>
          <w:tcPr>
            <w:tcW w:w="6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投资方式</w:t>
            </w:r>
          </w:p>
        </w:tc>
        <w:tc>
          <w:tcPr>
            <w:tcW w:w="6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投资金额</w:t>
            </w:r>
          </w:p>
        </w:tc>
        <w:tc>
          <w:tcPr>
            <w:tcW w:w="6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持股比例</w:t>
            </w:r>
          </w:p>
        </w:tc>
        <w:tc>
          <w:tcPr>
            <w:tcW w:w="6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资金来源</w:t>
            </w:r>
          </w:p>
        </w:tc>
        <w:tc>
          <w:tcPr>
            <w:tcW w:w="65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合作方</w:t>
            </w:r>
          </w:p>
        </w:tc>
        <w:tc>
          <w:tcPr>
            <w:tcW w:w="65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投资期限</w:t>
            </w:r>
          </w:p>
        </w:tc>
        <w:tc>
          <w:tcPr>
            <w:tcW w:w="65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产品类型</w:t>
            </w:r>
          </w:p>
        </w:tc>
        <w:tc>
          <w:tcPr>
            <w:tcW w:w="62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预计收益</w:t>
            </w:r>
          </w:p>
        </w:tc>
        <w:tc>
          <w:tcPr>
            <w:tcW w:w="73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本期投资盈亏</w:t>
            </w:r>
          </w:p>
        </w:tc>
        <w:tc>
          <w:tcPr>
            <w:tcW w:w="73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是否涉诉</w:t>
            </w:r>
          </w:p>
        </w:tc>
        <w:tc>
          <w:tcPr>
            <w:tcW w:w="73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披露日期（如有）</w:t>
            </w:r>
          </w:p>
        </w:tc>
        <w:tc>
          <w:tcPr>
            <w:tcW w:w="72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披露索引（如有）</w:t>
            </w:r>
          </w:p>
        </w:tc>
      </w:tr>
      <w:tr>
        <w:tblPrEx>
          <w:tblCellMar>
            <w:top w:w="0" w:type="dxa"/>
            <w:left w:w="28" w:type="dxa"/>
            <w:bottom w:w="0" w:type="dxa"/>
            <w:right w:w="28" w:type="dxa"/>
          </w:tblCellMar>
        </w:tblPrEx>
        <w:tc>
          <w:tcPr>
            <w:tcW w:w="6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杭州倚天生物技术有限公司</w:t>
            </w:r>
          </w:p>
        </w:tc>
        <w:tc>
          <w:tcPr>
            <w:tcW w:w="6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服务</w:t>
            </w:r>
            <w:r>
              <w:rPr>
                <w:szCs w:val="24"/>
              </w:rPr>
              <w:t>:</w:t>
            </w:r>
            <w:r>
              <w:rPr>
                <w:rFonts w:hint="eastAsia"/>
                <w:szCs w:val="24"/>
              </w:rPr>
              <w:t>生物技术、科学仪器的研发</w:t>
            </w:r>
            <w:r>
              <w:rPr>
                <w:szCs w:val="24"/>
              </w:rPr>
              <w:t>,</w:t>
            </w:r>
            <w:r>
              <w:rPr>
                <w:rFonts w:hint="eastAsia"/>
                <w:szCs w:val="24"/>
              </w:rPr>
              <w:t>医疗器械租赁</w:t>
            </w:r>
            <w:r>
              <w:rPr>
                <w:szCs w:val="24"/>
              </w:rPr>
              <w:t>;</w:t>
            </w:r>
            <w:r>
              <w:rPr>
                <w:rFonts w:hint="eastAsia"/>
                <w:szCs w:val="24"/>
              </w:rPr>
              <w:t>批发、零售</w:t>
            </w:r>
            <w:r>
              <w:rPr>
                <w:szCs w:val="24"/>
              </w:rPr>
              <w:t>:</w:t>
            </w:r>
            <w:r>
              <w:rPr>
                <w:rFonts w:hint="eastAsia"/>
                <w:szCs w:val="24"/>
              </w:rPr>
              <w:t>医疗器械</w:t>
            </w:r>
            <w:r>
              <w:rPr>
                <w:szCs w:val="24"/>
              </w:rPr>
              <w:t>(</w:t>
            </w:r>
            <w:r>
              <w:rPr>
                <w:rFonts w:hint="eastAsia"/>
                <w:szCs w:val="24"/>
              </w:rPr>
              <w:t>具体内容详见《医疗器械经营企业许可证》</w:t>
            </w:r>
            <w:r>
              <w:rPr>
                <w:szCs w:val="24"/>
              </w:rPr>
              <w:t>)</w:t>
            </w:r>
            <w:r>
              <w:rPr>
                <w:rFonts w:hint="eastAsia"/>
                <w:szCs w:val="24"/>
              </w:rPr>
              <w:t>。</w:t>
            </w:r>
          </w:p>
        </w:tc>
        <w:tc>
          <w:tcPr>
            <w:tcW w:w="66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c>
          <w:tcPr>
            <w:tcW w:w="6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401,071,785.70</w:t>
            </w:r>
          </w:p>
        </w:tc>
        <w:tc>
          <w:tcPr>
            <w:tcW w:w="6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66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银行借款</w:t>
            </w:r>
          </w:p>
        </w:tc>
        <w:tc>
          <w:tcPr>
            <w:tcW w:w="65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无</w:t>
            </w:r>
            <w:r>
              <w:rPr>
                <w:szCs w:val="24"/>
              </w:rPr>
              <w:tab/>
            </w:r>
          </w:p>
        </w:tc>
        <w:tc>
          <w:tcPr>
            <w:tcW w:w="65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长期</w:t>
            </w:r>
          </w:p>
        </w:tc>
        <w:tc>
          <w:tcPr>
            <w:tcW w:w="65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62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04</w:t>
            </w:r>
            <w:r>
              <w:rPr>
                <w:rFonts w:hint="eastAsia"/>
                <w:szCs w:val="24"/>
              </w:rPr>
              <w:t>月</w:t>
            </w:r>
            <w:r>
              <w:rPr>
                <w:szCs w:val="24"/>
              </w:rPr>
              <w:t>24</w:t>
            </w:r>
            <w:r>
              <w:rPr>
                <w:rFonts w:hint="eastAsia"/>
                <w:szCs w:val="24"/>
              </w:rPr>
              <w:t>日</w:t>
            </w:r>
          </w:p>
        </w:tc>
        <w:tc>
          <w:tcPr>
            <w:tcW w:w="72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公告编号：</w:t>
            </w:r>
            <w:r>
              <w:rPr>
                <w:szCs w:val="24"/>
              </w:rPr>
              <w:t>2019-048</w:t>
            </w:r>
          </w:p>
        </w:tc>
      </w:tr>
      <w:tr>
        <w:tblPrEx>
          <w:tblCellMar>
            <w:top w:w="0" w:type="dxa"/>
            <w:left w:w="28" w:type="dxa"/>
            <w:bottom w:w="0" w:type="dxa"/>
            <w:right w:w="28" w:type="dxa"/>
          </w:tblCellMar>
        </w:tblPrEx>
        <w:tc>
          <w:tcPr>
            <w:tcW w:w="6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6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6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6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401,071,785.70</w:t>
            </w:r>
          </w:p>
        </w:tc>
        <w:tc>
          <w:tcPr>
            <w:tcW w:w="6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6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65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65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65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62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73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73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73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72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pStyle w:val="14"/>
        <w:outlineLvl w:val="2"/>
        <w:rPr>
          <w:bCs w:val="0"/>
          <w:szCs w:val="24"/>
        </w:rPr>
      </w:pPr>
      <w:r>
        <w:rPr>
          <w:bCs w:val="0"/>
          <w:szCs w:val="24"/>
        </w:rPr>
        <w:t>3</w:t>
      </w:r>
      <w:r>
        <w:rPr>
          <w:rFonts w:hint="eastAsia"/>
          <w:bCs w:val="0"/>
          <w:szCs w:val="24"/>
        </w:rPr>
        <w:t>、报告期内正在进行的重大的非股权投资情况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2"/>
        <w:rPr>
          <w:bCs w:val="0"/>
          <w:szCs w:val="24"/>
        </w:rPr>
      </w:pPr>
      <w:r>
        <w:rPr>
          <w:bCs w:val="0"/>
          <w:szCs w:val="24"/>
        </w:rPr>
        <w:t>4</w:t>
      </w:r>
      <w:r>
        <w:rPr>
          <w:rFonts w:hint="eastAsia"/>
          <w:bCs w:val="0"/>
          <w:szCs w:val="24"/>
        </w:rPr>
        <w:t>、以公允价值计量的金融资产</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2"/>
        <w:rPr>
          <w:bCs w:val="0"/>
          <w:szCs w:val="24"/>
        </w:rPr>
      </w:pPr>
      <w:r>
        <w:rPr>
          <w:bCs w:val="0"/>
          <w:szCs w:val="24"/>
        </w:rPr>
        <w:t>5</w:t>
      </w:r>
      <w:r>
        <w:rPr>
          <w:rFonts w:hint="eastAsia"/>
          <w:bCs w:val="0"/>
          <w:szCs w:val="24"/>
        </w:rPr>
        <w:t>、募集资金使用情况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3"/>
        <w:rPr>
          <w:bCs w:val="0"/>
          <w:szCs w:val="24"/>
        </w:rPr>
      </w:pPr>
      <w:r>
        <w:rPr>
          <w:rFonts w:hint="eastAsia"/>
          <w:bCs w:val="0"/>
          <w:szCs w:val="24"/>
        </w:rPr>
        <w:t>（</w:t>
      </w:r>
      <w:r>
        <w:rPr>
          <w:bCs w:val="0"/>
          <w:szCs w:val="24"/>
        </w:rPr>
        <w:t>1</w:t>
      </w:r>
      <w:r>
        <w:rPr>
          <w:rFonts w:hint="eastAsia"/>
          <w:bCs w:val="0"/>
          <w:szCs w:val="24"/>
        </w:rPr>
        <w:t>）募集资金总体使用情况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right"/>
        <w:rPr>
          <w:szCs w:val="24"/>
        </w:rPr>
      </w:pPr>
      <w:r>
        <w:rPr>
          <w:rFonts w:hint="eastAsia"/>
          <w:szCs w:val="24"/>
        </w:rPr>
        <w:t>单位：万元</w:t>
      </w:r>
    </w:p>
    <w:tbl>
      <w:tblPr>
        <w:tblStyle w:val="9"/>
        <w:tblW w:w="0" w:type="auto"/>
        <w:tblInd w:w="28" w:type="dxa"/>
        <w:tblLayout w:type="fixed"/>
        <w:tblCellMar>
          <w:top w:w="0" w:type="dxa"/>
          <w:left w:w="28" w:type="dxa"/>
          <w:bottom w:w="0" w:type="dxa"/>
          <w:right w:w="28" w:type="dxa"/>
        </w:tblCellMar>
      </w:tblPr>
      <w:tblGrid>
        <w:gridCol w:w="865"/>
        <w:gridCol w:w="870"/>
        <w:gridCol w:w="870"/>
        <w:gridCol w:w="870"/>
        <w:gridCol w:w="870"/>
        <w:gridCol w:w="869"/>
        <w:gridCol w:w="870"/>
        <w:gridCol w:w="870"/>
        <w:gridCol w:w="870"/>
        <w:gridCol w:w="870"/>
        <w:gridCol w:w="869"/>
      </w:tblGrid>
      <w:tr>
        <w:tc>
          <w:tcPr>
            <w:tcW w:w="86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募集年份</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募集方式</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募集资金总额</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本期已使用募集资金总额</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已累计使用募集资金总额</w:t>
            </w:r>
          </w:p>
        </w:tc>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报告期内变更用途的募集资金总额</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累计变更用途的募集资金总额</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累计变更用途的募集资金总额比例</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尚未使用募集资金总额</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尚未使用募集资金用途及去向</w:t>
            </w:r>
          </w:p>
        </w:tc>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闲置两年以上募集资金金额</w:t>
            </w:r>
          </w:p>
        </w:tc>
      </w:tr>
      <w:tr>
        <w:tc>
          <w:tcPr>
            <w:tcW w:w="8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2015</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公开募集</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71,198.72</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7,775.94</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59,168.89</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9,474.58</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13.31%</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12,029.83</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存放于募集资金专户及用于投资银行理财产品</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r>
      <w:tr>
        <w:tc>
          <w:tcPr>
            <w:tcW w:w="86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71,198.72</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7,775.94</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59,168.89</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9,474.58</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13.31%</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12,029.83</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r>
      <w:tr>
        <w:tc>
          <w:tcPr>
            <w:tcW w:w="9558" w:type="dxa"/>
            <w:gridSpan w:val="11"/>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募集资金总体使用情况说明</w:t>
            </w:r>
          </w:p>
        </w:tc>
      </w:tr>
      <w:tr>
        <w:tc>
          <w:tcPr>
            <w:tcW w:w="9558"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公司募集资金使用情况为：本公司实际使用募集资金人民币</w:t>
            </w:r>
            <w:r>
              <w:rPr>
                <w:szCs w:val="24"/>
              </w:rPr>
              <w:t>77,759,360.04</w:t>
            </w:r>
            <w:r>
              <w:rPr>
                <w:rFonts w:hint="eastAsia"/>
                <w:szCs w:val="24"/>
              </w:rPr>
              <w:t>元</w:t>
            </w:r>
          </w:p>
        </w:tc>
      </w:tr>
    </w:tbl>
    <w:p>
      <w:pPr>
        <w:pStyle w:val="14"/>
        <w:outlineLvl w:val="3"/>
        <w:rPr>
          <w:bCs w:val="0"/>
          <w:szCs w:val="24"/>
        </w:rPr>
      </w:pPr>
      <w:r>
        <w:rPr>
          <w:rFonts w:hint="eastAsia"/>
          <w:bCs w:val="0"/>
          <w:szCs w:val="24"/>
        </w:rPr>
        <w:t>（</w:t>
      </w:r>
      <w:r>
        <w:rPr>
          <w:bCs w:val="0"/>
          <w:szCs w:val="24"/>
        </w:rPr>
        <w:t>2</w:t>
      </w:r>
      <w:r>
        <w:rPr>
          <w:rFonts w:hint="eastAsia"/>
          <w:bCs w:val="0"/>
          <w:szCs w:val="24"/>
        </w:rPr>
        <w:t>）募集资金承诺项目情况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right"/>
        <w:rPr>
          <w:szCs w:val="24"/>
        </w:rPr>
      </w:pPr>
      <w:r>
        <w:rPr>
          <w:rFonts w:hint="eastAsia"/>
          <w:szCs w:val="24"/>
        </w:rPr>
        <w:t>单位：万元</w:t>
      </w:r>
    </w:p>
    <w:tbl>
      <w:tblPr>
        <w:tblStyle w:val="9"/>
        <w:tblW w:w="0" w:type="auto"/>
        <w:tblInd w:w="28" w:type="dxa"/>
        <w:tblLayout w:type="fixed"/>
        <w:tblCellMar>
          <w:top w:w="0" w:type="dxa"/>
          <w:left w:w="28" w:type="dxa"/>
          <w:bottom w:w="0" w:type="dxa"/>
          <w:right w:w="28" w:type="dxa"/>
        </w:tblCellMar>
      </w:tblPr>
      <w:tblGrid>
        <w:gridCol w:w="722"/>
        <w:gridCol w:w="726"/>
        <w:gridCol w:w="896"/>
        <w:gridCol w:w="896"/>
        <w:gridCol w:w="727"/>
        <w:gridCol w:w="898"/>
        <w:gridCol w:w="898"/>
        <w:gridCol w:w="727"/>
        <w:gridCol w:w="727"/>
        <w:gridCol w:w="898"/>
        <w:gridCol w:w="727"/>
        <w:gridCol w:w="727"/>
      </w:tblGrid>
      <w:tr>
        <w:tblPrEx>
          <w:tblCellMar>
            <w:top w:w="0" w:type="dxa"/>
            <w:left w:w="28" w:type="dxa"/>
            <w:bottom w:w="0" w:type="dxa"/>
            <w:right w:w="28" w:type="dxa"/>
          </w:tblCellMar>
        </w:tblPrEx>
        <w:tc>
          <w:tcPr>
            <w:tcW w:w="72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承诺投资项目和超募资金投向</w:t>
            </w:r>
          </w:p>
        </w:tc>
        <w:tc>
          <w:tcPr>
            <w:tcW w:w="72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是否已变更项目</w:t>
            </w:r>
            <w:r>
              <w:rPr>
                <w:szCs w:val="24"/>
              </w:rPr>
              <w:t>(</w:t>
            </w:r>
            <w:r>
              <w:rPr>
                <w:rFonts w:hint="eastAsia"/>
                <w:szCs w:val="24"/>
              </w:rPr>
              <w:t>含部分变更</w:t>
            </w:r>
            <w:r>
              <w:rPr>
                <w:szCs w:val="24"/>
              </w:rPr>
              <w:t>)</w:t>
            </w:r>
          </w:p>
        </w:tc>
        <w:tc>
          <w:tcPr>
            <w:tcW w:w="8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募集资金承诺投资总额</w:t>
            </w:r>
          </w:p>
        </w:tc>
        <w:tc>
          <w:tcPr>
            <w:tcW w:w="8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调整后投资总额</w:t>
            </w:r>
            <w:r>
              <w:rPr>
                <w:szCs w:val="24"/>
              </w:rPr>
              <w:t>(1)</w:t>
            </w:r>
          </w:p>
        </w:tc>
        <w:tc>
          <w:tcPr>
            <w:tcW w:w="72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本报告期投入金额</w:t>
            </w:r>
          </w:p>
        </w:tc>
        <w:tc>
          <w:tcPr>
            <w:tcW w:w="8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截至期末累计投入金额</w:t>
            </w:r>
            <w:r>
              <w:rPr>
                <w:szCs w:val="24"/>
              </w:rPr>
              <w:t>(2)</w:t>
            </w:r>
          </w:p>
        </w:tc>
        <w:tc>
          <w:tcPr>
            <w:tcW w:w="8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截至期末投资进度</w:t>
            </w:r>
            <w:r>
              <w:rPr>
                <w:szCs w:val="24"/>
              </w:rPr>
              <w:t>(3)</w:t>
            </w:r>
            <w:r>
              <w:rPr>
                <w:rFonts w:hint="eastAsia"/>
                <w:szCs w:val="24"/>
              </w:rPr>
              <w:t>＝</w:t>
            </w:r>
            <w:r>
              <w:rPr>
                <w:szCs w:val="24"/>
              </w:rPr>
              <w:t>(2)/(1)</w:t>
            </w:r>
          </w:p>
        </w:tc>
        <w:tc>
          <w:tcPr>
            <w:tcW w:w="72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项目达到预定可使用状态日期</w:t>
            </w:r>
          </w:p>
        </w:tc>
        <w:tc>
          <w:tcPr>
            <w:tcW w:w="72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本报告期实现的效益</w:t>
            </w:r>
          </w:p>
        </w:tc>
        <w:tc>
          <w:tcPr>
            <w:tcW w:w="8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截止报告期末累计实现的效益</w:t>
            </w:r>
          </w:p>
        </w:tc>
        <w:tc>
          <w:tcPr>
            <w:tcW w:w="72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是否达到预计效益</w:t>
            </w:r>
          </w:p>
        </w:tc>
        <w:tc>
          <w:tcPr>
            <w:tcW w:w="72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项目可行性是否发生重大变化</w:t>
            </w:r>
          </w:p>
        </w:tc>
      </w:tr>
      <w:tr>
        <w:tblPrEx>
          <w:tblCellMar>
            <w:top w:w="0" w:type="dxa"/>
            <w:left w:w="28" w:type="dxa"/>
            <w:bottom w:w="0" w:type="dxa"/>
            <w:right w:w="28" w:type="dxa"/>
          </w:tblCellMar>
        </w:tblPrEx>
        <w:tc>
          <w:tcPr>
            <w:tcW w:w="9569" w:type="dxa"/>
            <w:gridSpan w:val="12"/>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承诺投资项目</w:t>
            </w:r>
          </w:p>
        </w:tc>
      </w:tr>
      <w:tr>
        <w:tblPrEx>
          <w:tblCellMar>
            <w:top w:w="0" w:type="dxa"/>
            <w:left w:w="28" w:type="dxa"/>
            <w:bottom w:w="0" w:type="dxa"/>
            <w:right w:w="28" w:type="dxa"/>
          </w:tblCellMar>
        </w:tblPrEx>
        <w:tc>
          <w:tcPr>
            <w:tcW w:w="72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1.</w:t>
            </w:r>
            <w:r>
              <w:rPr>
                <w:rFonts w:hint="eastAsia"/>
                <w:szCs w:val="24"/>
              </w:rPr>
              <w:t>新型体外诊断试剂产业化基地建设项目</w:t>
            </w: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c>
          <w:tcPr>
            <w:tcW w:w="8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12,000</w:t>
            </w:r>
          </w:p>
        </w:tc>
        <w:tc>
          <w:tcPr>
            <w:tcW w:w="8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12,000</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377.25</w:t>
            </w: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7,068.36</w:t>
            </w: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58.90%</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w:t>
            </w:r>
            <w:r>
              <w:rPr>
                <w:szCs w:val="24"/>
              </w:rPr>
              <w:t>04</w:t>
            </w:r>
            <w:r>
              <w:rPr>
                <w:rFonts w:hint="eastAsia"/>
                <w:szCs w:val="24"/>
              </w:rPr>
              <w:t>月</w:t>
            </w:r>
            <w:r>
              <w:rPr>
                <w:szCs w:val="24"/>
              </w:rPr>
              <w:t>30</w:t>
            </w:r>
            <w:r>
              <w:rPr>
                <w:rFonts w:hint="eastAsia"/>
                <w:szCs w:val="24"/>
              </w:rPr>
              <w:t>日</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72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w:t>
            </w:r>
            <w:r>
              <w:rPr>
                <w:rFonts w:hint="eastAsia"/>
                <w:szCs w:val="24"/>
              </w:rPr>
              <w:t>企业技术研发中心及参考实验室建设项目</w:t>
            </w: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c>
          <w:tcPr>
            <w:tcW w:w="8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45,000</w:t>
            </w:r>
          </w:p>
        </w:tc>
        <w:tc>
          <w:tcPr>
            <w:tcW w:w="8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47,125.41</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7,398.69</w:t>
            </w: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40,027.22</w:t>
            </w: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84.94%</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w:t>
            </w:r>
            <w:r>
              <w:rPr>
                <w:szCs w:val="24"/>
              </w:rPr>
              <w:t>04</w:t>
            </w:r>
            <w:r>
              <w:rPr>
                <w:rFonts w:hint="eastAsia"/>
                <w:szCs w:val="24"/>
              </w:rPr>
              <w:t>月</w:t>
            </w:r>
            <w:r>
              <w:rPr>
                <w:szCs w:val="24"/>
              </w:rPr>
              <w:t>30</w:t>
            </w:r>
            <w:r>
              <w:rPr>
                <w:rFonts w:hint="eastAsia"/>
                <w:szCs w:val="24"/>
              </w:rPr>
              <w:t>日</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72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w:t>
            </w:r>
            <w:r>
              <w:rPr>
                <w:rFonts w:hint="eastAsia"/>
                <w:szCs w:val="24"/>
              </w:rPr>
              <w:t>营销服务网络升级项目</w:t>
            </w: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c>
          <w:tcPr>
            <w:tcW w:w="8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13,800</w:t>
            </w:r>
          </w:p>
        </w:tc>
        <w:tc>
          <w:tcPr>
            <w:tcW w:w="8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4,325.42</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4,325.42</w:t>
            </w: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2</w:t>
            </w:r>
            <w:r>
              <w:rPr>
                <w:szCs w:val="24"/>
              </w:rPr>
              <w:t>018年</w:t>
            </w:r>
            <w:r>
              <w:rPr>
                <w:rFonts w:hint="eastAsia"/>
                <w:szCs w:val="24"/>
              </w:rPr>
              <w:t>0</w:t>
            </w:r>
            <w:r>
              <w:rPr>
                <w:szCs w:val="24"/>
              </w:rPr>
              <w:t>4月</w:t>
            </w:r>
            <w:r>
              <w:rPr>
                <w:rFonts w:hint="eastAsia"/>
                <w:szCs w:val="24"/>
              </w:rPr>
              <w:t>3</w:t>
            </w:r>
            <w:r>
              <w:rPr>
                <w:szCs w:val="24"/>
              </w:rPr>
              <w:t>0日</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72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4.</w:t>
            </w:r>
            <w:r>
              <w:rPr>
                <w:rFonts w:hint="eastAsia"/>
                <w:szCs w:val="24"/>
              </w:rPr>
              <w:t>其他与主营业务相关的营运资金项目</w:t>
            </w: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c>
          <w:tcPr>
            <w:tcW w:w="8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398.72</w:t>
            </w:r>
          </w:p>
        </w:tc>
        <w:tc>
          <w:tcPr>
            <w:tcW w:w="8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7,747.89</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7,747.89</w:t>
            </w: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72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承诺投资项目小计</w:t>
            </w:r>
          </w:p>
        </w:tc>
        <w:tc>
          <w:tcPr>
            <w:tcW w:w="72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8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71,198.72</w:t>
            </w:r>
          </w:p>
        </w:tc>
        <w:tc>
          <w:tcPr>
            <w:tcW w:w="8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71,198.72</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7,775.94</w:t>
            </w: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59,168.89</w:t>
            </w:r>
          </w:p>
        </w:tc>
        <w:tc>
          <w:tcPr>
            <w:tcW w:w="8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72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72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blPrEx>
          <w:tblCellMar>
            <w:top w:w="0" w:type="dxa"/>
            <w:left w:w="28" w:type="dxa"/>
            <w:bottom w:w="0" w:type="dxa"/>
            <w:right w:w="28" w:type="dxa"/>
          </w:tblCellMar>
        </w:tblPrEx>
        <w:tc>
          <w:tcPr>
            <w:tcW w:w="9569" w:type="dxa"/>
            <w:gridSpan w:val="12"/>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超募资金投向</w:t>
            </w:r>
          </w:p>
        </w:tc>
      </w:tr>
      <w:tr>
        <w:tblPrEx>
          <w:tblCellMar>
            <w:top w:w="0" w:type="dxa"/>
            <w:left w:w="28" w:type="dxa"/>
            <w:bottom w:w="0" w:type="dxa"/>
            <w:right w:w="28" w:type="dxa"/>
          </w:tblCellMar>
        </w:tblPrEx>
        <w:tc>
          <w:tcPr>
            <w:tcW w:w="72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无</w:t>
            </w: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c>
          <w:tcPr>
            <w:tcW w:w="8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72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72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8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71,198.72</w:t>
            </w:r>
          </w:p>
        </w:tc>
        <w:tc>
          <w:tcPr>
            <w:tcW w:w="8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71,198.72</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7,775.94</w:t>
            </w: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59,168.89</w:t>
            </w:r>
          </w:p>
        </w:tc>
        <w:tc>
          <w:tcPr>
            <w:tcW w:w="8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72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8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72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72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blPrEx>
          <w:tblCellMar>
            <w:top w:w="0" w:type="dxa"/>
            <w:left w:w="28" w:type="dxa"/>
            <w:bottom w:w="0" w:type="dxa"/>
            <w:right w:w="28" w:type="dxa"/>
          </w:tblCellMar>
        </w:tblPrEx>
        <w:tc>
          <w:tcPr>
            <w:tcW w:w="72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未达到计划进度或预计收益的情况和原因（分具体项目）</w:t>
            </w:r>
          </w:p>
        </w:tc>
        <w:tc>
          <w:tcPr>
            <w:tcW w:w="8847"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不适用</w:t>
            </w:r>
          </w:p>
        </w:tc>
      </w:tr>
      <w:tr>
        <w:tblPrEx>
          <w:tblCellMar>
            <w:top w:w="0" w:type="dxa"/>
            <w:left w:w="28" w:type="dxa"/>
            <w:bottom w:w="0" w:type="dxa"/>
            <w:right w:w="28" w:type="dxa"/>
          </w:tblCellMar>
        </w:tblPrEx>
        <w:tc>
          <w:tcPr>
            <w:tcW w:w="72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项目可行性发生重大变化的情况说明</w:t>
            </w:r>
          </w:p>
        </w:tc>
        <w:tc>
          <w:tcPr>
            <w:tcW w:w="8847"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不适用</w:t>
            </w:r>
          </w:p>
        </w:tc>
      </w:tr>
      <w:tr>
        <w:tblPrEx>
          <w:tblCellMar>
            <w:top w:w="0" w:type="dxa"/>
            <w:left w:w="28" w:type="dxa"/>
            <w:bottom w:w="0" w:type="dxa"/>
            <w:right w:w="28" w:type="dxa"/>
          </w:tblCellMar>
        </w:tblPrEx>
        <w:trPr>
          <w:trHeight w:val="1952" w:hRule="atLeast"/>
        </w:trPr>
        <w:tc>
          <w:tcPr>
            <w:tcW w:w="72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超募资金的金额、用途及使用进展情况</w:t>
            </w:r>
          </w:p>
        </w:tc>
        <w:tc>
          <w:tcPr>
            <w:tcW w:w="8847" w:type="dxa"/>
            <w:gridSpan w:val="11"/>
            <w:tcBorders>
              <w:top w:val="single" w:color="auto" w:sz="4" w:space="0"/>
              <w:left w:val="single" w:color="auto" w:sz="4" w:space="0"/>
              <w:right w:val="single" w:color="auto" w:sz="4" w:space="0"/>
            </w:tcBorders>
            <w:shd w:val="clear" w:color="auto" w:fill="FFFFFF"/>
            <w:vAlign w:val="center"/>
          </w:tcPr>
          <w:p>
            <w:pPr>
              <w:jc w:val="left"/>
              <w:rPr>
                <w:szCs w:val="24"/>
              </w:rPr>
            </w:pPr>
            <w:r>
              <w:rPr>
                <w:rFonts w:hint="eastAsia"/>
                <w:szCs w:val="24"/>
              </w:rPr>
              <w:t>不适用</w:t>
            </w:r>
          </w:p>
        </w:tc>
      </w:tr>
      <w:tr>
        <w:tblPrEx>
          <w:tblCellMar>
            <w:top w:w="0" w:type="dxa"/>
            <w:left w:w="28" w:type="dxa"/>
            <w:bottom w:w="0" w:type="dxa"/>
            <w:right w:w="28" w:type="dxa"/>
          </w:tblCellMar>
        </w:tblPrEx>
        <w:tc>
          <w:tcPr>
            <w:tcW w:w="72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募集资金投资项目实施地点变更情况</w:t>
            </w:r>
          </w:p>
        </w:tc>
        <w:tc>
          <w:tcPr>
            <w:tcW w:w="8847"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适用</w:t>
            </w:r>
          </w:p>
        </w:tc>
      </w:tr>
      <w:tr>
        <w:tblPrEx>
          <w:tblCellMar>
            <w:top w:w="0" w:type="dxa"/>
            <w:left w:w="28" w:type="dxa"/>
            <w:bottom w:w="0" w:type="dxa"/>
            <w:right w:w="28" w:type="dxa"/>
          </w:tblCellMar>
        </w:tblPrEx>
        <w:tc>
          <w:tcPr>
            <w:tcW w:w="722"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847" w:type="dxa"/>
            <w:gridSpan w:val="11"/>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以前年度发生</w:t>
            </w:r>
          </w:p>
        </w:tc>
      </w:tr>
      <w:tr>
        <w:tblPrEx>
          <w:tblCellMar>
            <w:top w:w="0" w:type="dxa"/>
            <w:left w:w="28" w:type="dxa"/>
            <w:bottom w:w="0" w:type="dxa"/>
            <w:right w:w="28" w:type="dxa"/>
          </w:tblCellMar>
        </w:tblPrEx>
        <w:tc>
          <w:tcPr>
            <w:tcW w:w="722"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847" w:type="dxa"/>
            <w:gridSpan w:val="11"/>
            <w:tcBorders>
              <w:top w:val="single" w:color="auto" w:sz="4" w:space="0"/>
              <w:left w:val="single" w:color="auto" w:sz="4" w:space="0"/>
              <w:bottom w:val="single" w:color="auto" w:sz="4" w:space="0"/>
              <w:right w:val="single" w:color="auto" w:sz="4" w:space="0"/>
            </w:tcBorders>
            <w:vAlign w:val="center"/>
          </w:tcPr>
          <w:p>
            <w:pPr>
              <w:jc w:val="left"/>
              <w:rPr>
                <w:szCs w:val="24"/>
              </w:rPr>
            </w:pPr>
            <w:r>
              <w:rPr>
                <w:szCs w:val="24"/>
              </w:rPr>
              <w:t>2017</w:t>
            </w:r>
            <w:r>
              <w:rPr>
                <w:rFonts w:hint="eastAsia"/>
                <w:szCs w:val="24"/>
              </w:rPr>
              <w:t>年</w:t>
            </w:r>
            <w:r>
              <w:rPr>
                <w:szCs w:val="24"/>
              </w:rPr>
              <w:t>12</w:t>
            </w:r>
            <w:r>
              <w:rPr>
                <w:rFonts w:hint="eastAsia"/>
                <w:szCs w:val="24"/>
              </w:rPr>
              <w:t>月</w:t>
            </w:r>
            <w:r>
              <w:rPr>
                <w:szCs w:val="24"/>
              </w:rPr>
              <w:t>13</w:t>
            </w:r>
            <w:r>
              <w:rPr>
                <w:rFonts w:hint="eastAsia"/>
                <w:szCs w:val="24"/>
              </w:rPr>
              <w:t>日，公司第二届董事会第四十次会议审议通过《关于部分募投项目变更实施地点的议案》，同意公司募集资金投资项目之</w:t>
            </w:r>
            <w:r>
              <w:rPr>
                <w:szCs w:val="24"/>
              </w:rPr>
              <w:t>“</w:t>
            </w:r>
            <w:r>
              <w:rPr>
                <w:rFonts w:hint="eastAsia"/>
                <w:szCs w:val="24"/>
              </w:rPr>
              <w:t>新型体外诊断试剂产业化基地建设项目</w:t>
            </w:r>
            <w:r>
              <w:rPr>
                <w:szCs w:val="24"/>
              </w:rPr>
              <w:t>”</w:t>
            </w:r>
            <w:r>
              <w:rPr>
                <w:rFonts w:hint="eastAsia"/>
                <w:szCs w:val="24"/>
              </w:rPr>
              <w:t>的实施地点变更至鄞州新城区东南片区</w:t>
            </w:r>
            <w:r>
              <w:rPr>
                <w:szCs w:val="24"/>
              </w:rPr>
              <w:t>YZ04-08-f4</w:t>
            </w:r>
            <w:r>
              <w:rPr>
                <w:rFonts w:hint="eastAsia"/>
                <w:szCs w:val="24"/>
              </w:rPr>
              <w:t>地块</w:t>
            </w:r>
            <w:r>
              <w:rPr>
                <w:szCs w:val="24"/>
              </w:rPr>
              <w:t>2#</w:t>
            </w:r>
            <w:r>
              <w:rPr>
                <w:rFonts w:hint="eastAsia"/>
                <w:szCs w:val="24"/>
              </w:rPr>
              <w:t>楼</w:t>
            </w:r>
            <w:r>
              <w:rPr>
                <w:szCs w:val="24"/>
              </w:rPr>
              <w:t>1-5</w:t>
            </w:r>
            <w:r>
              <w:rPr>
                <w:rFonts w:hint="eastAsia"/>
                <w:szCs w:val="24"/>
              </w:rPr>
              <w:t>层。公司独立董事、保荐机构分别对本议案发表了同意意见。根据《创业板上市公司规范运作指引》和《公司募集资金管理制度》</w:t>
            </w:r>
            <w:r>
              <w:rPr>
                <w:szCs w:val="24"/>
              </w:rPr>
              <w:t xml:space="preserve"> </w:t>
            </w:r>
            <w:r>
              <w:rPr>
                <w:rFonts w:hint="eastAsia"/>
                <w:szCs w:val="24"/>
              </w:rPr>
              <w:t>的相关规定，本议案不需提交公司股东大会审议。该项变更已于</w:t>
            </w:r>
            <w:r>
              <w:rPr>
                <w:szCs w:val="24"/>
              </w:rPr>
              <w:t xml:space="preserve">2017 </w:t>
            </w:r>
            <w:r>
              <w:rPr>
                <w:rFonts w:hint="eastAsia"/>
                <w:szCs w:val="24"/>
              </w:rPr>
              <w:t>年</w:t>
            </w:r>
            <w:r>
              <w:rPr>
                <w:szCs w:val="24"/>
              </w:rPr>
              <w:t>12</w:t>
            </w:r>
            <w:r>
              <w:rPr>
                <w:rFonts w:hint="eastAsia"/>
                <w:szCs w:val="24"/>
              </w:rPr>
              <w:t>月公告，实际变更情况与公告内容一致。</w:t>
            </w:r>
          </w:p>
        </w:tc>
      </w:tr>
      <w:tr>
        <w:tblPrEx>
          <w:tblCellMar>
            <w:top w:w="0" w:type="dxa"/>
            <w:left w:w="28" w:type="dxa"/>
            <w:bottom w:w="0" w:type="dxa"/>
            <w:right w:w="28" w:type="dxa"/>
          </w:tblCellMar>
        </w:tblPrEx>
        <w:tc>
          <w:tcPr>
            <w:tcW w:w="72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募集资金投资项目实施方式调整情况</w:t>
            </w:r>
          </w:p>
        </w:tc>
        <w:tc>
          <w:tcPr>
            <w:tcW w:w="8847"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适用</w:t>
            </w:r>
          </w:p>
        </w:tc>
      </w:tr>
      <w:tr>
        <w:tblPrEx>
          <w:tblCellMar>
            <w:top w:w="0" w:type="dxa"/>
            <w:left w:w="28" w:type="dxa"/>
            <w:bottom w:w="0" w:type="dxa"/>
            <w:right w:w="28" w:type="dxa"/>
          </w:tblCellMar>
        </w:tblPrEx>
        <w:tc>
          <w:tcPr>
            <w:tcW w:w="722"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847" w:type="dxa"/>
            <w:gridSpan w:val="11"/>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报告期内发生</w:t>
            </w:r>
          </w:p>
        </w:tc>
      </w:tr>
      <w:tr>
        <w:tblPrEx>
          <w:tblCellMar>
            <w:top w:w="0" w:type="dxa"/>
            <w:left w:w="28" w:type="dxa"/>
            <w:bottom w:w="0" w:type="dxa"/>
            <w:right w:w="28" w:type="dxa"/>
          </w:tblCellMar>
        </w:tblPrEx>
        <w:tc>
          <w:tcPr>
            <w:tcW w:w="722"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847" w:type="dxa"/>
            <w:gridSpan w:val="11"/>
            <w:tcBorders>
              <w:top w:val="single" w:color="auto" w:sz="4" w:space="0"/>
              <w:left w:val="single" w:color="auto" w:sz="4" w:space="0"/>
              <w:bottom w:val="single" w:color="auto" w:sz="4" w:space="0"/>
              <w:right w:val="single" w:color="auto" w:sz="4" w:space="0"/>
            </w:tcBorders>
            <w:vAlign w:val="center"/>
          </w:tcPr>
          <w:p>
            <w:pPr>
              <w:jc w:val="left"/>
              <w:rPr>
                <w:szCs w:val="24"/>
              </w:rPr>
            </w:pPr>
            <w:r>
              <w:rPr>
                <w:szCs w:val="24"/>
              </w:rPr>
              <w:t>2019</w:t>
            </w:r>
            <w:r>
              <w:rPr>
                <w:rFonts w:hint="eastAsia"/>
                <w:szCs w:val="24"/>
              </w:rPr>
              <w:t>年</w:t>
            </w:r>
            <w:r>
              <w:rPr>
                <w:szCs w:val="24"/>
              </w:rPr>
              <w:t>3</w:t>
            </w:r>
            <w:r>
              <w:rPr>
                <w:rFonts w:hint="eastAsia"/>
                <w:szCs w:val="24"/>
              </w:rPr>
              <w:t>月</w:t>
            </w:r>
            <w:r>
              <w:rPr>
                <w:szCs w:val="24"/>
              </w:rPr>
              <w:t>19</w:t>
            </w:r>
            <w:r>
              <w:rPr>
                <w:rFonts w:hint="eastAsia"/>
                <w:szCs w:val="24"/>
              </w:rPr>
              <w:t>日，公司第三届董事会第十六次审议通过了《关于部分募投项目延期的议案》，同意调整公司募集资金投资项目之</w:t>
            </w:r>
            <w:r>
              <w:rPr>
                <w:szCs w:val="24"/>
              </w:rPr>
              <w:t>“</w:t>
            </w:r>
            <w:r>
              <w:rPr>
                <w:rFonts w:hint="eastAsia"/>
                <w:szCs w:val="24"/>
              </w:rPr>
              <w:t>新型体外诊断试剂产业化基地建设项目</w:t>
            </w:r>
            <w:r>
              <w:rPr>
                <w:szCs w:val="24"/>
              </w:rPr>
              <w:t>”</w:t>
            </w:r>
            <w:r>
              <w:rPr>
                <w:rFonts w:hint="eastAsia"/>
                <w:szCs w:val="24"/>
              </w:rPr>
              <w:t>与</w:t>
            </w:r>
            <w:r>
              <w:rPr>
                <w:szCs w:val="24"/>
              </w:rPr>
              <w:t>“</w:t>
            </w:r>
            <w:r>
              <w:rPr>
                <w:rFonts w:hint="eastAsia"/>
                <w:szCs w:val="24"/>
              </w:rPr>
              <w:t>企业技术研发中心及参考实验室建设</w:t>
            </w:r>
            <w:r>
              <w:rPr>
                <w:szCs w:val="24"/>
              </w:rPr>
              <w:t>”</w:t>
            </w:r>
            <w:r>
              <w:rPr>
                <w:rFonts w:hint="eastAsia"/>
                <w:szCs w:val="24"/>
              </w:rPr>
              <w:t>的实施进度，将上述募投项目建设期均延期至</w:t>
            </w:r>
            <w:r>
              <w:rPr>
                <w:szCs w:val="24"/>
              </w:rPr>
              <w:t>2020</w:t>
            </w:r>
            <w:r>
              <w:rPr>
                <w:rFonts w:hint="eastAsia"/>
                <w:szCs w:val="24"/>
              </w:rPr>
              <w:t>年</w:t>
            </w:r>
            <w:r>
              <w:rPr>
                <w:szCs w:val="24"/>
              </w:rPr>
              <w:t>4</w:t>
            </w:r>
            <w:r>
              <w:rPr>
                <w:rFonts w:hint="eastAsia"/>
                <w:szCs w:val="24"/>
              </w:rPr>
              <w:t>月</w:t>
            </w:r>
            <w:r>
              <w:rPr>
                <w:szCs w:val="24"/>
              </w:rPr>
              <w:t>30</w:t>
            </w:r>
            <w:r>
              <w:rPr>
                <w:rFonts w:hint="eastAsia"/>
                <w:szCs w:val="24"/>
              </w:rPr>
              <w:t>日。</w:t>
            </w:r>
          </w:p>
          <w:p>
            <w:pPr>
              <w:jc w:val="left"/>
              <w:rPr>
                <w:szCs w:val="24"/>
              </w:rPr>
            </w:pPr>
            <w:r>
              <w:rPr>
                <w:rFonts w:hint="eastAsia"/>
                <w:szCs w:val="24"/>
              </w:rPr>
              <w:t>公司独立董事、保荐机构均发表意见，认为上述变更部分募投项目是公司根据项目的实际情况作出的审慎决定，不涉及项目实施主体、实施方式、主要投资内容的变更，不存在变相改变募集资金投向和损害投资者利益的情况。审批程序符合中国证监会、深圳证券交易所关于上市公司募集资金管理的有关规定，符合公司及全体股东利益，同意公司变更部分募投项目的实施。</w:t>
            </w:r>
          </w:p>
          <w:p>
            <w:pPr>
              <w:jc w:val="left"/>
              <w:rPr>
                <w:szCs w:val="24"/>
              </w:rPr>
            </w:pPr>
            <w:r>
              <w:rPr>
                <w:rFonts w:hint="eastAsia"/>
                <w:szCs w:val="24"/>
              </w:rPr>
              <w:t>该项变更已于</w:t>
            </w:r>
            <w:r>
              <w:rPr>
                <w:szCs w:val="24"/>
              </w:rPr>
              <w:t>2019</w:t>
            </w:r>
            <w:r>
              <w:rPr>
                <w:rFonts w:hint="eastAsia"/>
                <w:szCs w:val="24"/>
              </w:rPr>
              <w:t>年</w:t>
            </w:r>
            <w:r>
              <w:rPr>
                <w:szCs w:val="24"/>
              </w:rPr>
              <w:t>3</w:t>
            </w:r>
            <w:r>
              <w:rPr>
                <w:rFonts w:hint="eastAsia"/>
                <w:szCs w:val="24"/>
              </w:rPr>
              <w:t>月公告，实际变更情况与公告内容一致，并经公司</w:t>
            </w:r>
            <w:r>
              <w:rPr>
                <w:szCs w:val="24"/>
              </w:rPr>
              <w:t>2019</w:t>
            </w:r>
            <w:r>
              <w:rPr>
                <w:rFonts w:hint="eastAsia"/>
                <w:szCs w:val="24"/>
              </w:rPr>
              <w:t>年</w:t>
            </w:r>
            <w:r>
              <w:rPr>
                <w:szCs w:val="24"/>
              </w:rPr>
              <w:t>4</w:t>
            </w:r>
            <w:r>
              <w:rPr>
                <w:rFonts w:hint="eastAsia"/>
                <w:szCs w:val="24"/>
              </w:rPr>
              <w:t>月</w:t>
            </w:r>
            <w:r>
              <w:rPr>
                <w:szCs w:val="24"/>
              </w:rPr>
              <w:t>10</w:t>
            </w:r>
            <w:r>
              <w:rPr>
                <w:rFonts w:hint="eastAsia"/>
                <w:szCs w:val="24"/>
              </w:rPr>
              <w:t>日召开的</w:t>
            </w:r>
            <w:r>
              <w:rPr>
                <w:szCs w:val="24"/>
              </w:rPr>
              <w:t>2018</w:t>
            </w:r>
            <w:r>
              <w:rPr>
                <w:rFonts w:hint="eastAsia"/>
                <w:szCs w:val="24"/>
              </w:rPr>
              <w:t>年度股东大会审议通过。</w:t>
            </w:r>
          </w:p>
        </w:tc>
      </w:tr>
      <w:tr>
        <w:tblPrEx>
          <w:tblCellMar>
            <w:top w:w="0" w:type="dxa"/>
            <w:left w:w="28" w:type="dxa"/>
            <w:bottom w:w="0" w:type="dxa"/>
            <w:right w:w="28" w:type="dxa"/>
          </w:tblCellMar>
        </w:tblPrEx>
        <w:tc>
          <w:tcPr>
            <w:tcW w:w="72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募集资金投资项目先期投入及置换情况</w:t>
            </w:r>
          </w:p>
        </w:tc>
        <w:tc>
          <w:tcPr>
            <w:tcW w:w="8847"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适用</w:t>
            </w:r>
          </w:p>
        </w:tc>
      </w:tr>
      <w:tr>
        <w:tblPrEx>
          <w:tblCellMar>
            <w:top w:w="0" w:type="dxa"/>
            <w:left w:w="28" w:type="dxa"/>
            <w:bottom w:w="0" w:type="dxa"/>
            <w:right w:w="28" w:type="dxa"/>
          </w:tblCellMar>
        </w:tblPrEx>
        <w:tc>
          <w:tcPr>
            <w:tcW w:w="722"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847" w:type="dxa"/>
            <w:gridSpan w:val="11"/>
            <w:tcBorders>
              <w:top w:val="single" w:color="auto" w:sz="4" w:space="0"/>
              <w:left w:val="single" w:color="auto" w:sz="4" w:space="0"/>
              <w:bottom w:val="single" w:color="auto" w:sz="4" w:space="0"/>
              <w:right w:val="single" w:color="auto" w:sz="4" w:space="0"/>
            </w:tcBorders>
            <w:vAlign w:val="center"/>
          </w:tcPr>
          <w:p>
            <w:pPr>
              <w:jc w:val="left"/>
              <w:rPr>
                <w:szCs w:val="24"/>
              </w:rPr>
            </w:pPr>
            <w:r>
              <w:rPr>
                <w:szCs w:val="24"/>
              </w:rPr>
              <w:t>1</w:t>
            </w:r>
            <w:r>
              <w:rPr>
                <w:rFonts w:hint="eastAsia"/>
                <w:szCs w:val="24"/>
              </w:rPr>
              <w:t>、</w:t>
            </w:r>
            <w:r>
              <w:rPr>
                <w:szCs w:val="24"/>
              </w:rPr>
              <w:t>2015</w:t>
            </w:r>
            <w:r>
              <w:rPr>
                <w:rFonts w:hint="eastAsia"/>
                <w:szCs w:val="24"/>
              </w:rPr>
              <w:t>年</w:t>
            </w:r>
            <w:r>
              <w:rPr>
                <w:szCs w:val="24"/>
              </w:rPr>
              <w:t>5</w:t>
            </w:r>
            <w:r>
              <w:rPr>
                <w:rFonts w:hint="eastAsia"/>
                <w:szCs w:val="24"/>
              </w:rPr>
              <w:t>月</w:t>
            </w:r>
            <w:r>
              <w:rPr>
                <w:szCs w:val="24"/>
              </w:rPr>
              <w:t>15</w:t>
            </w:r>
            <w:r>
              <w:rPr>
                <w:rFonts w:hint="eastAsia"/>
                <w:szCs w:val="24"/>
              </w:rPr>
              <w:t>日，公司第二届董事会第五次会议审议通过《关于以募集资金置换预先已投入募集资金投资项目的自筹资金的议案》，同意公司以募集资金置换截至</w:t>
            </w:r>
            <w:r>
              <w:rPr>
                <w:szCs w:val="24"/>
              </w:rPr>
              <w:t>2015</w:t>
            </w:r>
            <w:r>
              <w:rPr>
                <w:rFonts w:hint="eastAsia"/>
                <w:szCs w:val="24"/>
              </w:rPr>
              <w:t>年</w:t>
            </w:r>
            <w:r>
              <w:rPr>
                <w:szCs w:val="24"/>
              </w:rPr>
              <w:t>4</w:t>
            </w:r>
            <w:r>
              <w:rPr>
                <w:rFonts w:hint="eastAsia"/>
                <w:szCs w:val="24"/>
              </w:rPr>
              <w:t>月</w:t>
            </w:r>
            <w:r>
              <w:rPr>
                <w:szCs w:val="24"/>
              </w:rPr>
              <w:t>30</w:t>
            </w:r>
            <w:r>
              <w:rPr>
                <w:rFonts w:hint="eastAsia"/>
                <w:szCs w:val="24"/>
              </w:rPr>
              <w:t>日预先已投入募集资金投资项目的自筹资金</w:t>
            </w:r>
            <w:r>
              <w:rPr>
                <w:szCs w:val="24"/>
              </w:rPr>
              <w:t>69,373,750.05</w:t>
            </w:r>
            <w:r>
              <w:rPr>
                <w:rFonts w:hint="eastAsia"/>
                <w:szCs w:val="24"/>
              </w:rPr>
              <w:t>元。立信会计师事务所（特殊普通合伙）已对公司募集资金投资项目预先已投入资金的实际投资情况进行了审核，并出具了信会师报字</w:t>
            </w:r>
            <w:r>
              <w:rPr>
                <w:szCs w:val="24"/>
              </w:rPr>
              <w:t>[2015]</w:t>
            </w:r>
            <w:r>
              <w:rPr>
                <w:rFonts w:hint="eastAsia"/>
                <w:szCs w:val="24"/>
              </w:rPr>
              <w:t>第</w:t>
            </w:r>
            <w:r>
              <w:rPr>
                <w:szCs w:val="24"/>
              </w:rPr>
              <w:t>610359</w:t>
            </w:r>
            <w:r>
              <w:rPr>
                <w:rFonts w:hint="eastAsia"/>
                <w:szCs w:val="24"/>
              </w:rPr>
              <w:t>号《关于宁波美康生物科技股份有限公司以自筹资金预先投入募投项目的鉴证报告》。公司独立董事、监事会、保荐机构均发表意见，认为以募集资金置换预先投入募集资金投资项目的自筹资金的事项符合深圳证券交易所《深圳证券交易所创业板股票上市规则（</w:t>
            </w:r>
            <w:r>
              <w:rPr>
                <w:szCs w:val="24"/>
              </w:rPr>
              <w:t>2014</w:t>
            </w:r>
            <w:r>
              <w:rPr>
                <w:rFonts w:hint="eastAsia"/>
                <w:szCs w:val="24"/>
              </w:rPr>
              <w:t>年修订）》《深圳证券交易所创业板上市公司规范运作指引（</w:t>
            </w:r>
            <w:r>
              <w:rPr>
                <w:szCs w:val="24"/>
              </w:rPr>
              <w:t>2015</w:t>
            </w:r>
            <w:r>
              <w:rPr>
                <w:rFonts w:hint="eastAsia"/>
                <w:szCs w:val="24"/>
              </w:rPr>
              <w:t>年修订）》等有关法律、法规及其他规范性文件的规定，同意以募集资金置换预先投入募集资金投资项目的自筹资金。</w:t>
            </w:r>
          </w:p>
          <w:p>
            <w:pPr>
              <w:jc w:val="left"/>
              <w:rPr>
                <w:szCs w:val="24"/>
              </w:rPr>
            </w:pPr>
            <w:r>
              <w:rPr>
                <w:szCs w:val="24"/>
              </w:rPr>
              <w:t>2</w:t>
            </w:r>
            <w:r>
              <w:rPr>
                <w:rFonts w:hint="eastAsia"/>
                <w:szCs w:val="24"/>
              </w:rPr>
              <w:t>、公司于</w:t>
            </w:r>
            <w:r>
              <w:rPr>
                <w:szCs w:val="24"/>
              </w:rPr>
              <w:t>2013</w:t>
            </w:r>
            <w:r>
              <w:rPr>
                <w:rFonts w:hint="eastAsia"/>
                <w:szCs w:val="24"/>
              </w:rPr>
              <w:t>年</w:t>
            </w:r>
            <w:r>
              <w:rPr>
                <w:szCs w:val="24"/>
              </w:rPr>
              <w:t>11</w:t>
            </w:r>
            <w:r>
              <w:rPr>
                <w:rFonts w:hint="eastAsia"/>
                <w:szCs w:val="24"/>
              </w:rPr>
              <w:t>月以自有资金</w:t>
            </w:r>
            <w:r>
              <w:rPr>
                <w:szCs w:val="24"/>
              </w:rPr>
              <w:t>3,504.11</w:t>
            </w:r>
            <w:r>
              <w:rPr>
                <w:rFonts w:hint="eastAsia"/>
                <w:szCs w:val="24"/>
              </w:rPr>
              <w:t>万元购得鄞州新城区东南片区</w:t>
            </w:r>
            <w:r>
              <w:rPr>
                <w:szCs w:val="24"/>
              </w:rPr>
              <w:t>07-02-1-A</w:t>
            </w:r>
            <w:r>
              <w:rPr>
                <w:rFonts w:hint="eastAsia"/>
                <w:szCs w:val="24"/>
              </w:rPr>
              <w:t>地块用于研发中心及参考实验室建设项目（以下简称</w:t>
            </w:r>
            <w:r>
              <w:rPr>
                <w:szCs w:val="24"/>
              </w:rPr>
              <w:t>“</w:t>
            </w:r>
            <w:r>
              <w:rPr>
                <w:rFonts w:hint="eastAsia"/>
                <w:szCs w:val="24"/>
              </w:rPr>
              <w:t>研发募投项目</w:t>
            </w:r>
            <w:r>
              <w:rPr>
                <w:szCs w:val="24"/>
              </w:rPr>
              <w:t>”</w:t>
            </w:r>
            <w:r>
              <w:rPr>
                <w:rFonts w:hint="eastAsia"/>
                <w:szCs w:val="24"/>
              </w:rPr>
              <w:t>），公司于</w:t>
            </w:r>
            <w:r>
              <w:rPr>
                <w:szCs w:val="24"/>
              </w:rPr>
              <w:t>2015</w:t>
            </w:r>
            <w:r>
              <w:rPr>
                <w:rFonts w:hint="eastAsia"/>
                <w:szCs w:val="24"/>
              </w:rPr>
              <w:t>年</w:t>
            </w:r>
            <w:r>
              <w:rPr>
                <w:szCs w:val="24"/>
              </w:rPr>
              <w:t>5</w:t>
            </w:r>
            <w:r>
              <w:rPr>
                <w:rFonts w:hint="eastAsia"/>
                <w:szCs w:val="24"/>
              </w:rPr>
              <w:t>月使用募集资金对该地块的资金支出进行了置换，因该地块面积不能满足研发募投项目建设的需求，公司于</w:t>
            </w:r>
            <w:r>
              <w:rPr>
                <w:szCs w:val="24"/>
              </w:rPr>
              <w:t>2015</w:t>
            </w:r>
            <w:r>
              <w:rPr>
                <w:rFonts w:hint="eastAsia"/>
                <w:szCs w:val="24"/>
              </w:rPr>
              <w:t>年</w:t>
            </w:r>
            <w:r>
              <w:rPr>
                <w:szCs w:val="24"/>
              </w:rPr>
              <w:t>12</w:t>
            </w:r>
            <w:r>
              <w:rPr>
                <w:rFonts w:hint="eastAsia"/>
                <w:szCs w:val="24"/>
              </w:rPr>
              <w:t>月</w:t>
            </w:r>
            <w:r>
              <w:rPr>
                <w:szCs w:val="24"/>
              </w:rPr>
              <w:t>31</w:t>
            </w:r>
            <w:r>
              <w:rPr>
                <w:rFonts w:hint="eastAsia"/>
                <w:szCs w:val="24"/>
              </w:rPr>
              <w:t>日召开了第二届董事会第十二次会议，审议通过了《关于变更部分募投项目的议案》，同意将研发募投项目的实施地点调整至鄞州新城区东南片区</w:t>
            </w:r>
            <w:r>
              <w:rPr>
                <w:szCs w:val="24"/>
              </w:rPr>
              <w:t>YZ04-08-f4</w:t>
            </w:r>
            <w:r>
              <w:rPr>
                <w:rFonts w:hint="eastAsia"/>
                <w:szCs w:val="24"/>
              </w:rPr>
              <w:t>地块。上述议案经公司</w:t>
            </w:r>
            <w:r>
              <w:rPr>
                <w:szCs w:val="24"/>
              </w:rPr>
              <w:t>2016</w:t>
            </w:r>
            <w:r>
              <w:rPr>
                <w:rFonts w:hint="eastAsia"/>
                <w:szCs w:val="24"/>
              </w:rPr>
              <w:t>年第一次临时股东大会审议通过。公司于</w:t>
            </w:r>
            <w:r>
              <w:rPr>
                <w:szCs w:val="24"/>
              </w:rPr>
              <w:t>2017</w:t>
            </w:r>
            <w:r>
              <w:rPr>
                <w:rFonts w:hint="eastAsia"/>
                <w:szCs w:val="24"/>
              </w:rPr>
              <w:t>年</w:t>
            </w:r>
            <w:r>
              <w:rPr>
                <w:szCs w:val="24"/>
              </w:rPr>
              <w:t>12</w:t>
            </w:r>
            <w:r>
              <w:rPr>
                <w:rFonts w:hint="eastAsia"/>
                <w:szCs w:val="24"/>
              </w:rPr>
              <w:t>月</w:t>
            </w:r>
            <w:r>
              <w:rPr>
                <w:szCs w:val="24"/>
              </w:rPr>
              <w:t>29</w:t>
            </w:r>
            <w:r>
              <w:rPr>
                <w:rFonts w:hint="eastAsia"/>
                <w:szCs w:val="24"/>
              </w:rPr>
              <w:t>日将该地块募集资金置换的</w:t>
            </w:r>
            <w:r>
              <w:rPr>
                <w:szCs w:val="24"/>
              </w:rPr>
              <w:t>3,504.11</w:t>
            </w:r>
            <w:r>
              <w:rPr>
                <w:rFonts w:hint="eastAsia"/>
                <w:szCs w:val="24"/>
              </w:rPr>
              <w:t>万元款项归还到募集资金专户。</w:t>
            </w:r>
          </w:p>
          <w:p>
            <w:pPr>
              <w:jc w:val="left"/>
              <w:rPr>
                <w:szCs w:val="24"/>
              </w:rPr>
            </w:pPr>
            <w:r>
              <w:rPr>
                <w:szCs w:val="24"/>
              </w:rPr>
              <w:t>3</w:t>
            </w:r>
            <w:r>
              <w:rPr>
                <w:rFonts w:hint="eastAsia"/>
                <w:szCs w:val="24"/>
              </w:rPr>
              <w:t>、公司营销服务网络升级项目使用募集资金置换预先投入自有资金中含有</w:t>
            </w:r>
            <w:r>
              <w:rPr>
                <w:szCs w:val="24"/>
              </w:rPr>
              <w:t>2013</w:t>
            </w:r>
            <w:r>
              <w:rPr>
                <w:rFonts w:hint="eastAsia"/>
                <w:szCs w:val="24"/>
              </w:rPr>
              <w:t>年至</w:t>
            </w:r>
            <w:r>
              <w:rPr>
                <w:szCs w:val="24"/>
              </w:rPr>
              <w:t>2014</w:t>
            </w:r>
            <w:r>
              <w:rPr>
                <w:rFonts w:hint="eastAsia"/>
                <w:szCs w:val="24"/>
              </w:rPr>
              <w:t>年人员薪酬和培训费用为</w:t>
            </w:r>
            <w:r>
              <w:rPr>
                <w:szCs w:val="24"/>
              </w:rPr>
              <w:t>1,712.90</w:t>
            </w:r>
            <w:r>
              <w:rPr>
                <w:rFonts w:hint="eastAsia"/>
                <w:szCs w:val="24"/>
              </w:rPr>
              <w:t>万元，招待费用</w:t>
            </w:r>
            <w:r>
              <w:rPr>
                <w:szCs w:val="24"/>
              </w:rPr>
              <w:t>576.18</w:t>
            </w:r>
            <w:r>
              <w:rPr>
                <w:rFonts w:hint="eastAsia"/>
                <w:szCs w:val="24"/>
              </w:rPr>
              <w:t>万元，根据宁波证监局对公司现场检查提出的建议及公司出于谨慎性考虑，公司已于</w:t>
            </w:r>
            <w:r>
              <w:rPr>
                <w:szCs w:val="24"/>
              </w:rPr>
              <w:t>2018</w:t>
            </w:r>
            <w:r>
              <w:rPr>
                <w:rFonts w:hint="eastAsia"/>
                <w:szCs w:val="24"/>
              </w:rPr>
              <w:t>年</w:t>
            </w:r>
            <w:r>
              <w:rPr>
                <w:szCs w:val="24"/>
              </w:rPr>
              <w:t>1</w:t>
            </w:r>
            <w:r>
              <w:rPr>
                <w:rFonts w:hint="eastAsia"/>
                <w:szCs w:val="24"/>
              </w:rPr>
              <w:t>月</w:t>
            </w:r>
            <w:r>
              <w:rPr>
                <w:szCs w:val="24"/>
              </w:rPr>
              <w:t>30</w:t>
            </w:r>
            <w:r>
              <w:rPr>
                <w:rFonts w:hint="eastAsia"/>
                <w:szCs w:val="24"/>
              </w:rPr>
              <w:t>日将该资金合计</w:t>
            </w:r>
            <w:r>
              <w:rPr>
                <w:szCs w:val="24"/>
              </w:rPr>
              <w:t>2,289.08</w:t>
            </w:r>
            <w:r>
              <w:rPr>
                <w:rFonts w:hint="eastAsia"/>
                <w:szCs w:val="24"/>
              </w:rPr>
              <w:t>万元归还至募集资金专户。</w:t>
            </w:r>
          </w:p>
          <w:p>
            <w:pPr>
              <w:jc w:val="left"/>
              <w:rPr>
                <w:szCs w:val="24"/>
              </w:rPr>
            </w:pPr>
            <w:r>
              <w:rPr>
                <w:szCs w:val="24"/>
              </w:rPr>
              <w:t>4</w:t>
            </w:r>
            <w:r>
              <w:rPr>
                <w:rFonts w:hint="eastAsia"/>
                <w:szCs w:val="24"/>
              </w:rPr>
              <w:t>、公司新型体外诊断试剂产业化基地建设项目，经公司第二届董事会第四十次会议审议通过，其实施地点变更至鄞州新城区东南片区</w:t>
            </w:r>
            <w:r>
              <w:rPr>
                <w:szCs w:val="24"/>
              </w:rPr>
              <w:t>YZ04-08-f4</w:t>
            </w:r>
            <w:r>
              <w:rPr>
                <w:rFonts w:hint="eastAsia"/>
                <w:szCs w:val="24"/>
              </w:rPr>
              <w:t>地块</w:t>
            </w:r>
            <w:r>
              <w:rPr>
                <w:szCs w:val="24"/>
              </w:rPr>
              <w:t>2#</w:t>
            </w:r>
            <w:r>
              <w:rPr>
                <w:rFonts w:hint="eastAsia"/>
                <w:szCs w:val="24"/>
              </w:rPr>
              <w:t>楼</w:t>
            </w:r>
            <w:r>
              <w:rPr>
                <w:szCs w:val="24"/>
              </w:rPr>
              <w:t>1-5</w:t>
            </w:r>
            <w:r>
              <w:rPr>
                <w:rFonts w:hint="eastAsia"/>
                <w:szCs w:val="24"/>
              </w:rPr>
              <w:t>层，占用研发中心及参考实验室建设项目实施地块，</w:t>
            </w:r>
            <w:r>
              <w:rPr>
                <w:szCs w:val="24"/>
              </w:rPr>
              <w:t>2018</w:t>
            </w:r>
            <w:r>
              <w:rPr>
                <w:rFonts w:hint="eastAsia"/>
                <w:szCs w:val="24"/>
              </w:rPr>
              <w:t>年根据宁波证监局对公司现场检查提出的建议及公司出于谨慎性考虑，根据建筑面积比例，于</w:t>
            </w:r>
            <w:r>
              <w:rPr>
                <w:szCs w:val="24"/>
              </w:rPr>
              <w:t>2018</w:t>
            </w:r>
            <w:r>
              <w:rPr>
                <w:rFonts w:hint="eastAsia"/>
                <w:szCs w:val="24"/>
              </w:rPr>
              <w:t>年</w:t>
            </w:r>
            <w:r>
              <w:rPr>
                <w:szCs w:val="24"/>
              </w:rPr>
              <w:t>1</w:t>
            </w:r>
            <w:r>
              <w:rPr>
                <w:rFonts w:hint="eastAsia"/>
                <w:szCs w:val="24"/>
              </w:rPr>
              <w:t>月</w:t>
            </w:r>
            <w:r>
              <w:rPr>
                <w:szCs w:val="24"/>
              </w:rPr>
              <w:t>30</w:t>
            </w:r>
            <w:r>
              <w:rPr>
                <w:rFonts w:hint="eastAsia"/>
                <w:szCs w:val="24"/>
              </w:rPr>
              <w:t>日将产业化项目应分摊土地占用成本</w:t>
            </w:r>
            <w:r>
              <w:rPr>
                <w:szCs w:val="24"/>
              </w:rPr>
              <w:t>707.14</w:t>
            </w:r>
            <w:r>
              <w:rPr>
                <w:rFonts w:hint="eastAsia"/>
                <w:szCs w:val="24"/>
              </w:rPr>
              <w:t>万元归还至实验室募集资金专户，对应建造成本拟于</w:t>
            </w:r>
            <w:r>
              <w:rPr>
                <w:szCs w:val="24"/>
              </w:rPr>
              <w:t>2020</w:t>
            </w:r>
            <w:r>
              <w:rPr>
                <w:rFonts w:hint="eastAsia"/>
                <w:szCs w:val="24"/>
              </w:rPr>
              <w:t>年</w:t>
            </w:r>
            <w:r>
              <w:rPr>
                <w:szCs w:val="24"/>
              </w:rPr>
              <w:t>4</w:t>
            </w:r>
            <w:r>
              <w:rPr>
                <w:rFonts w:hint="eastAsia"/>
                <w:szCs w:val="24"/>
              </w:rPr>
              <w:t>月</w:t>
            </w:r>
            <w:r>
              <w:rPr>
                <w:szCs w:val="24"/>
              </w:rPr>
              <w:t>30</w:t>
            </w:r>
            <w:r>
              <w:rPr>
                <w:rFonts w:hint="eastAsia"/>
                <w:szCs w:val="24"/>
              </w:rPr>
              <w:t>日前研发募投项目完工结算完成后以自有资金进行结算。</w:t>
            </w:r>
          </w:p>
        </w:tc>
      </w:tr>
      <w:tr>
        <w:tblPrEx>
          <w:tblCellMar>
            <w:top w:w="0" w:type="dxa"/>
            <w:left w:w="28" w:type="dxa"/>
            <w:bottom w:w="0" w:type="dxa"/>
            <w:right w:w="28" w:type="dxa"/>
          </w:tblCellMar>
        </w:tblPrEx>
        <w:tc>
          <w:tcPr>
            <w:tcW w:w="72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用闲置募集资金暂时补充流动资金情况</w:t>
            </w:r>
          </w:p>
        </w:tc>
        <w:tc>
          <w:tcPr>
            <w:tcW w:w="8847"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适用</w:t>
            </w:r>
          </w:p>
        </w:tc>
      </w:tr>
      <w:tr>
        <w:tblPrEx>
          <w:tblCellMar>
            <w:top w:w="0" w:type="dxa"/>
            <w:left w:w="28" w:type="dxa"/>
            <w:bottom w:w="0" w:type="dxa"/>
            <w:right w:w="28" w:type="dxa"/>
          </w:tblCellMar>
        </w:tblPrEx>
        <w:tc>
          <w:tcPr>
            <w:tcW w:w="722"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847" w:type="dxa"/>
            <w:gridSpan w:val="11"/>
            <w:tcBorders>
              <w:top w:val="single" w:color="auto" w:sz="4" w:space="0"/>
              <w:left w:val="single" w:color="auto" w:sz="4" w:space="0"/>
              <w:bottom w:val="single" w:color="auto" w:sz="4" w:space="0"/>
              <w:right w:val="single" w:color="auto" w:sz="4" w:space="0"/>
            </w:tcBorders>
            <w:vAlign w:val="center"/>
          </w:tcPr>
          <w:p>
            <w:pPr>
              <w:jc w:val="left"/>
              <w:rPr>
                <w:szCs w:val="24"/>
              </w:rPr>
            </w:pPr>
            <w:r>
              <w:rPr>
                <w:szCs w:val="24"/>
              </w:rPr>
              <w:t>2019</w:t>
            </w:r>
            <w:r>
              <w:rPr>
                <w:rFonts w:hint="eastAsia"/>
                <w:szCs w:val="24"/>
              </w:rPr>
              <w:t>年</w:t>
            </w:r>
            <w:r>
              <w:rPr>
                <w:szCs w:val="24"/>
              </w:rPr>
              <w:t>3</w:t>
            </w:r>
            <w:r>
              <w:rPr>
                <w:rFonts w:hint="eastAsia"/>
                <w:szCs w:val="24"/>
              </w:rPr>
              <w:t>月</w:t>
            </w:r>
            <w:r>
              <w:rPr>
                <w:szCs w:val="24"/>
              </w:rPr>
              <w:t>4</w:t>
            </w:r>
            <w:r>
              <w:rPr>
                <w:rFonts w:hint="eastAsia"/>
                <w:szCs w:val="24"/>
              </w:rPr>
              <w:t>日，公司第三届董事会第十四次会议，审议通过了《关于继续使用部分闲置募集资金补充流动资金的议案》，同意公司继续使用部分闲置募集资金</w:t>
            </w:r>
            <w:r>
              <w:rPr>
                <w:szCs w:val="24"/>
              </w:rPr>
              <w:t>10,000</w:t>
            </w:r>
            <w:r>
              <w:rPr>
                <w:rFonts w:hint="eastAsia"/>
                <w:szCs w:val="24"/>
              </w:rPr>
              <w:t>万元用于暂时补充流动资金，使用期限不超过董事会批准之日起</w:t>
            </w:r>
            <w:r>
              <w:rPr>
                <w:szCs w:val="24"/>
              </w:rPr>
              <w:t>12</w:t>
            </w:r>
            <w:r>
              <w:rPr>
                <w:rFonts w:hint="eastAsia"/>
                <w:szCs w:val="24"/>
              </w:rPr>
              <w:t>个月，到期将归还至募集资金专户。</w:t>
            </w:r>
          </w:p>
        </w:tc>
      </w:tr>
      <w:tr>
        <w:tblPrEx>
          <w:tblCellMar>
            <w:top w:w="0" w:type="dxa"/>
            <w:left w:w="28" w:type="dxa"/>
            <w:bottom w:w="0" w:type="dxa"/>
            <w:right w:w="28" w:type="dxa"/>
          </w:tblCellMar>
        </w:tblPrEx>
        <w:tc>
          <w:tcPr>
            <w:tcW w:w="72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项目实施出现募集资金结余的金额及原因</w:t>
            </w:r>
          </w:p>
        </w:tc>
        <w:tc>
          <w:tcPr>
            <w:tcW w:w="8847"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适用</w:t>
            </w:r>
          </w:p>
        </w:tc>
      </w:tr>
      <w:tr>
        <w:tblPrEx>
          <w:tblCellMar>
            <w:top w:w="0" w:type="dxa"/>
            <w:left w:w="28" w:type="dxa"/>
            <w:bottom w:w="0" w:type="dxa"/>
            <w:right w:w="28" w:type="dxa"/>
          </w:tblCellMar>
        </w:tblPrEx>
        <w:tc>
          <w:tcPr>
            <w:tcW w:w="722"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847" w:type="dxa"/>
            <w:gridSpan w:val="11"/>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公司</w:t>
            </w:r>
            <w:r>
              <w:rPr>
                <w:szCs w:val="24"/>
              </w:rPr>
              <w:t>2019</w:t>
            </w:r>
            <w:r>
              <w:rPr>
                <w:rFonts w:hint="eastAsia"/>
                <w:szCs w:val="24"/>
              </w:rPr>
              <w:t>年度未发生将节余资金用于其他募集资金投资项目或非募集资金投资项目情况。</w:t>
            </w:r>
          </w:p>
        </w:tc>
      </w:tr>
      <w:tr>
        <w:tblPrEx>
          <w:tblCellMar>
            <w:top w:w="0" w:type="dxa"/>
            <w:left w:w="28" w:type="dxa"/>
            <w:bottom w:w="0" w:type="dxa"/>
            <w:right w:w="28" w:type="dxa"/>
          </w:tblCellMar>
        </w:tblPrEx>
        <w:tc>
          <w:tcPr>
            <w:tcW w:w="72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尚未使用的募集资金用途及去向</w:t>
            </w:r>
          </w:p>
        </w:tc>
        <w:tc>
          <w:tcPr>
            <w:tcW w:w="8847"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除本报告披露的情况外，公司截止</w:t>
            </w:r>
            <w:r>
              <w:rPr>
                <w:szCs w:val="24"/>
              </w:rPr>
              <w:t>2019</w:t>
            </w:r>
            <w:r>
              <w:rPr>
                <w:rFonts w:hint="eastAsia"/>
                <w:szCs w:val="24"/>
              </w:rPr>
              <w:t>年</w:t>
            </w:r>
            <w:r>
              <w:rPr>
                <w:szCs w:val="24"/>
              </w:rPr>
              <w:t>12</w:t>
            </w:r>
            <w:r>
              <w:rPr>
                <w:rFonts w:hint="eastAsia"/>
                <w:szCs w:val="24"/>
              </w:rPr>
              <w:t>月</w:t>
            </w:r>
            <w:r>
              <w:rPr>
                <w:szCs w:val="24"/>
              </w:rPr>
              <w:t>31</w:t>
            </w:r>
            <w:r>
              <w:rPr>
                <w:rFonts w:hint="eastAsia"/>
                <w:szCs w:val="24"/>
              </w:rPr>
              <w:t>日尚未使用的募集资金存放在募集资金专户。</w:t>
            </w:r>
          </w:p>
        </w:tc>
      </w:tr>
      <w:tr>
        <w:tblPrEx>
          <w:tblCellMar>
            <w:top w:w="0" w:type="dxa"/>
            <w:left w:w="28" w:type="dxa"/>
            <w:bottom w:w="0" w:type="dxa"/>
            <w:right w:w="28" w:type="dxa"/>
          </w:tblCellMar>
        </w:tblPrEx>
        <w:tc>
          <w:tcPr>
            <w:tcW w:w="72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募集资金使用及披露中存在的问题或其他情况</w:t>
            </w:r>
          </w:p>
        </w:tc>
        <w:tc>
          <w:tcPr>
            <w:tcW w:w="8847"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1</w:t>
            </w:r>
            <w:r>
              <w:rPr>
                <w:rFonts w:hint="eastAsia"/>
                <w:szCs w:val="24"/>
              </w:rPr>
              <w:t>、</w:t>
            </w:r>
            <w:r>
              <w:rPr>
                <w:szCs w:val="24"/>
              </w:rPr>
              <w:t>2019</w:t>
            </w:r>
            <w:r>
              <w:rPr>
                <w:rFonts w:hint="eastAsia"/>
                <w:szCs w:val="24"/>
              </w:rPr>
              <w:t>年</w:t>
            </w:r>
            <w:r>
              <w:rPr>
                <w:szCs w:val="24"/>
              </w:rPr>
              <w:t>3</w:t>
            </w:r>
            <w:r>
              <w:rPr>
                <w:rFonts w:hint="eastAsia"/>
                <w:szCs w:val="24"/>
              </w:rPr>
              <w:t>月</w:t>
            </w:r>
            <w:r>
              <w:rPr>
                <w:szCs w:val="24"/>
              </w:rPr>
              <w:t>19</w:t>
            </w:r>
            <w:r>
              <w:rPr>
                <w:rFonts w:hint="eastAsia"/>
                <w:szCs w:val="24"/>
              </w:rPr>
              <w:t>日，公司第三届董事会第十六次会议审议通过了《关于使用暂时闲置募集资金进行现金管理的议案》，同意继续使用不超过</w:t>
            </w:r>
            <w:r>
              <w:rPr>
                <w:szCs w:val="24"/>
              </w:rPr>
              <w:t>9,000</w:t>
            </w:r>
            <w:r>
              <w:rPr>
                <w:rFonts w:hint="eastAsia"/>
                <w:szCs w:val="24"/>
              </w:rPr>
              <w:t>万元闲置募集资金进行现金管理。本报告期内公司累计购买理财产品</w:t>
            </w:r>
            <w:r>
              <w:rPr>
                <w:szCs w:val="24"/>
              </w:rPr>
              <w:t>9,000.00</w:t>
            </w:r>
            <w:r>
              <w:rPr>
                <w:rFonts w:hint="eastAsia"/>
                <w:szCs w:val="24"/>
              </w:rPr>
              <w:t>万元，截止</w:t>
            </w:r>
            <w:r>
              <w:rPr>
                <w:szCs w:val="24"/>
              </w:rPr>
              <w:t>2019</w:t>
            </w:r>
            <w:r>
              <w:rPr>
                <w:rFonts w:hint="eastAsia"/>
                <w:szCs w:val="24"/>
              </w:rPr>
              <w:t>年</w:t>
            </w:r>
            <w:r>
              <w:rPr>
                <w:szCs w:val="24"/>
              </w:rPr>
              <w:t>12</w:t>
            </w:r>
            <w:r>
              <w:rPr>
                <w:rFonts w:hint="eastAsia"/>
                <w:szCs w:val="24"/>
              </w:rPr>
              <w:t>月</w:t>
            </w:r>
            <w:r>
              <w:rPr>
                <w:szCs w:val="24"/>
              </w:rPr>
              <w:t>31</w:t>
            </w:r>
            <w:r>
              <w:rPr>
                <w:rFonts w:hint="eastAsia"/>
                <w:szCs w:val="24"/>
              </w:rPr>
              <w:t>日持有理财产品</w:t>
            </w:r>
            <w:r>
              <w:rPr>
                <w:szCs w:val="24"/>
              </w:rPr>
              <w:t>4,000.00</w:t>
            </w:r>
            <w:r>
              <w:rPr>
                <w:rFonts w:hint="eastAsia"/>
                <w:szCs w:val="24"/>
              </w:rPr>
              <w:t>万元。</w:t>
            </w:r>
          </w:p>
          <w:p>
            <w:pPr>
              <w:jc w:val="left"/>
              <w:rPr>
                <w:szCs w:val="24"/>
              </w:rPr>
            </w:pPr>
            <w:r>
              <w:rPr>
                <w:rFonts w:hint="eastAsia"/>
                <w:szCs w:val="24"/>
              </w:rPr>
              <w:t>2、公司与宁波医璟净化科技有限公司签订《工程承揽协议》，合同额为3,000万元，合同内容为生产中心净化车间装修工程，施工位置为新型体外诊断试剂产业化基地建设项目2号楼1-5楼，截至2019年12月31日，公司已通过新型体外诊断试剂产业化基地建设项目专用募集资金账户（宁波通商银行股份有限公司海曙支行1100021384000003）支付工程款2,100万元。后因公司建筑规划调整，2号楼1-5楼装修项目暂停，宁波医璟净化科技有限公司改为公司装修1号楼4、6、8楼，即企业技术研发中心及参考实验室建设项目。以上事项导致公司募投项目与资金使用账户不一致。</w:t>
            </w:r>
          </w:p>
        </w:tc>
      </w:tr>
    </w:tbl>
    <w:p>
      <w:pPr>
        <w:pStyle w:val="14"/>
        <w:outlineLvl w:val="3"/>
        <w:rPr>
          <w:bCs w:val="0"/>
          <w:szCs w:val="24"/>
        </w:rPr>
      </w:pPr>
      <w:r>
        <w:rPr>
          <w:rFonts w:hint="eastAsia"/>
          <w:bCs w:val="0"/>
          <w:szCs w:val="24"/>
        </w:rPr>
        <w:t>（</w:t>
      </w:r>
      <w:r>
        <w:rPr>
          <w:bCs w:val="0"/>
          <w:szCs w:val="24"/>
        </w:rPr>
        <w:t>3</w:t>
      </w:r>
      <w:r>
        <w:rPr>
          <w:rFonts w:hint="eastAsia"/>
          <w:bCs w:val="0"/>
          <w:szCs w:val="24"/>
        </w:rPr>
        <w:t>）募集资金变更项目情况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公司报告期不存在募集资金变更项目情况。</w:t>
      </w:r>
    </w:p>
    <w:p>
      <w:pPr>
        <w:pStyle w:val="13"/>
        <w:outlineLvl w:val="1"/>
        <w:rPr>
          <w:bCs w:val="0"/>
        </w:rPr>
      </w:pPr>
      <w:r>
        <w:rPr>
          <w:rFonts w:hint="eastAsia"/>
          <w:bCs w:val="0"/>
        </w:rPr>
        <w:t>六、重大资产和股权出售</w:t>
      </w:r>
    </w:p>
    <w:p>
      <w:pPr>
        <w:pStyle w:val="14"/>
        <w:outlineLvl w:val="2"/>
        <w:rPr>
          <w:bCs w:val="0"/>
          <w:szCs w:val="24"/>
        </w:rPr>
      </w:pPr>
      <w:r>
        <w:rPr>
          <w:bCs w:val="0"/>
          <w:szCs w:val="24"/>
        </w:rPr>
        <w:t>1</w:t>
      </w:r>
      <w:r>
        <w:rPr>
          <w:rFonts w:hint="eastAsia"/>
          <w:bCs w:val="0"/>
          <w:szCs w:val="24"/>
        </w:rPr>
        <w:t>、出售重大资产情况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公司报告期未出售重大资产。</w:t>
      </w:r>
    </w:p>
    <w:p>
      <w:pPr>
        <w:pStyle w:val="14"/>
        <w:outlineLvl w:val="2"/>
        <w:rPr>
          <w:bCs w:val="0"/>
          <w:szCs w:val="24"/>
        </w:rPr>
      </w:pPr>
      <w:r>
        <w:rPr>
          <w:bCs w:val="0"/>
          <w:szCs w:val="24"/>
        </w:rPr>
        <w:t>2</w:t>
      </w:r>
      <w:r>
        <w:rPr>
          <w:rFonts w:hint="eastAsia"/>
          <w:bCs w:val="0"/>
          <w:szCs w:val="24"/>
        </w:rPr>
        <w:t>、出售重大股权情况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tbl>
      <w:tblPr>
        <w:tblStyle w:val="9"/>
        <w:tblW w:w="0" w:type="auto"/>
        <w:tblInd w:w="28" w:type="dxa"/>
        <w:tblLayout w:type="fixed"/>
        <w:tblCellMar>
          <w:top w:w="0" w:type="dxa"/>
          <w:left w:w="28" w:type="dxa"/>
          <w:bottom w:w="0" w:type="dxa"/>
          <w:right w:w="28" w:type="dxa"/>
        </w:tblCellMar>
      </w:tblPr>
      <w:tblGrid>
        <w:gridCol w:w="682"/>
        <w:gridCol w:w="682"/>
        <w:gridCol w:w="684"/>
        <w:gridCol w:w="613"/>
        <w:gridCol w:w="754"/>
        <w:gridCol w:w="1230"/>
        <w:gridCol w:w="709"/>
        <w:gridCol w:w="850"/>
        <w:gridCol w:w="426"/>
        <w:gridCol w:w="425"/>
        <w:gridCol w:w="464"/>
        <w:gridCol w:w="684"/>
        <w:gridCol w:w="684"/>
        <w:gridCol w:w="677"/>
      </w:tblGrid>
      <w:tr>
        <w:tc>
          <w:tcPr>
            <w:tcW w:w="68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交易对方</w:t>
            </w:r>
          </w:p>
        </w:tc>
        <w:tc>
          <w:tcPr>
            <w:tcW w:w="68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被出售股权</w:t>
            </w:r>
          </w:p>
        </w:tc>
        <w:tc>
          <w:tcPr>
            <w:tcW w:w="6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出售日</w:t>
            </w:r>
          </w:p>
        </w:tc>
        <w:tc>
          <w:tcPr>
            <w:tcW w:w="6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交易价格（万元）</w:t>
            </w:r>
          </w:p>
        </w:tc>
        <w:tc>
          <w:tcPr>
            <w:tcW w:w="75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本期初起至出售日该股权为上市公司贡献的净利润（万元）</w:t>
            </w:r>
          </w:p>
        </w:tc>
        <w:tc>
          <w:tcPr>
            <w:tcW w:w="123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出售对公司的影响</w:t>
            </w:r>
          </w:p>
        </w:tc>
        <w:tc>
          <w:tcPr>
            <w:tcW w:w="70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股权出售为上市公司贡献的净利润占净利润总额的比例</w:t>
            </w:r>
          </w:p>
        </w:tc>
        <w:tc>
          <w:tcPr>
            <w:tcW w:w="8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股权出售定价原则</w:t>
            </w:r>
          </w:p>
        </w:tc>
        <w:tc>
          <w:tcPr>
            <w:tcW w:w="42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是否为关联交易</w:t>
            </w:r>
          </w:p>
        </w:tc>
        <w:tc>
          <w:tcPr>
            <w:tcW w:w="42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与交易对方的关联关系</w:t>
            </w:r>
          </w:p>
        </w:tc>
        <w:tc>
          <w:tcPr>
            <w:tcW w:w="46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所涉及的股权是否已全部过户</w:t>
            </w:r>
          </w:p>
        </w:tc>
        <w:tc>
          <w:tcPr>
            <w:tcW w:w="6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是否按计划如期实施，如未按计划实施，应当说明原因及公司已采取的措施</w:t>
            </w:r>
          </w:p>
        </w:tc>
        <w:tc>
          <w:tcPr>
            <w:tcW w:w="6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披露日期</w:t>
            </w:r>
          </w:p>
        </w:tc>
        <w:tc>
          <w:tcPr>
            <w:tcW w:w="67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披露索引</w:t>
            </w:r>
          </w:p>
        </w:tc>
      </w:tr>
      <w:tr>
        <w:tc>
          <w:tcPr>
            <w:tcW w:w="6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刘培岗</w:t>
            </w:r>
          </w:p>
        </w:tc>
        <w:tc>
          <w:tcPr>
            <w:tcW w:w="6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重庆和盛医疗器械有限公司</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09</w:t>
            </w:r>
            <w:r>
              <w:rPr>
                <w:rFonts w:hint="eastAsia"/>
                <w:szCs w:val="24"/>
              </w:rPr>
              <w:t>月</w:t>
            </w:r>
            <w:r>
              <w:rPr>
                <w:szCs w:val="24"/>
              </w:rPr>
              <w:t>10</w:t>
            </w:r>
            <w:r>
              <w:rPr>
                <w:rFonts w:hint="eastAsia"/>
                <w:szCs w:val="24"/>
              </w:rPr>
              <w:t>日</w:t>
            </w:r>
          </w:p>
        </w:tc>
        <w:tc>
          <w:tcPr>
            <w:tcW w:w="6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3,780</w:t>
            </w:r>
          </w:p>
        </w:tc>
        <w:tc>
          <w:tcPr>
            <w:tcW w:w="7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546.67</w:t>
            </w:r>
          </w:p>
        </w:tc>
        <w:tc>
          <w:tcPr>
            <w:tcW w:w="123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公司不再对重庆和盛医疗器械有限公司拥有控制权，仅持有</w:t>
            </w:r>
            <w:r>
              <w:rPr>
                <w:szCs w:val="24"/>
              </w:rPr>
              <w:t>30%</w:t>
            </w:r>
            <w:r>
              <w:rPr>
                <w:rFonts w:hint="eastAsia"/>
                <w:szCs w:val="24"/>
              </w:rPr>
              <w:t>的股权，对其可实施重大影响</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-0.19%</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协商价</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无</w:t>
            </w:r>
          </w:p>
        </w:tc>
        <w:tc>
          <w:tcPr>
            <w:tcW w:w="46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09</w:t>
            </w:r>
            <w:r>
              <w:rPr>
                <w:rFonts w:hint="eastAsia"/>
                <w:szCs w:val="24"/>
              </w:rPr>
              <w:t>月</w:t>
            </w:r>
            <w:r>
              <w:rPr>
                <w:szCs w:val="24"/>
              </w:rPr>
              <w:t>11</w:t>
            </w:r>
            <w:r>
              <w:rPr>
                <w:rFonts w:hint="eastAsia"/>
                <w:szCs w:val="24"/>
              </w:rPr>
              <w:t>日</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公告编号</w:t>
            </w:r>
            <w:r>
              <w:rPr>
                <w:szCs w:val="24"/>
              </w:rPr>
              <w:t>2019-108</w:t>
            </w:r>
          </w:p>
        </w:tc>
      </w:tr>
      <w:tr>
        <w:tblPrEx>
          <w:tblCellMar>
            <w:top w:w="0" w:type="dxa"/>
            <w:left w:w="28" w:type="dxa"/>
            <w:bottom w:w="0" w:type="dxa"/>
            <w:right w:w="28" w:type="dxa"/>
          </w:tblCellMar>
        </w:tblPrEx>
        <w:tc>
          <w:tcPr>
            <w:tcW w:w="6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李丰、江怀昆、杭州普安基因工程有限公司</w:t>
            </w:r>
          </w:p>
        </w:tc>
        <w:tc>
          <w:tcPr>
            <w:tcW w:w="6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金华美康盛德医学检验所有限公司</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06</w:t>
            </w:r>
            <w:r>
              <w:rPr>
                <w:rFonts w:hint="eastAsia"/>
                <w:szCs w:val="24"/>
              </w:rPr>
              <w:t>月</w:t>
            </w:r>
            <w:r>
              <w:rPr>
                <w:szCs w:val="24"/>
              </w:rPr>
              <w:t>21</w:t>
            </w:r>
            <w:r>
              <w:rPr>
                <w:rFonts w:hint="eastAsia"/>
                <w:szCs w:val="24"/>
              </w:rPr>
              <w:t>日</w:t>
            </w:r>
          </w:p>
        </w:tc>
        <w:tc>
          <w:tcPr>
            <w:tcW w:w="6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w:t>
            </w:r>
          </w:p>
        </w:tc>
        <w:tc>
          <w:tcPr>
            <w:tcW w:w="7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-234.14</w:t>
            </w:r>
          </w:p>
        </w:tc>
        <w:tc>
          <w:tcPr>
            <w:tcW w:w="123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公司不再对重庆和盛医疗器械有限公司拥有控制权，仅持有</w:t>
            </w:r>
            <w:r>
              <w:rPr>
                <w:szCs w:val="24"/>
              </w:rPr>
              <w:t>1%</w:t>
            </w:r>
            <w:r>
              <w:rPr>
                <w:rFonts w:hint="eastAsia"/>
                <w:szCs w:val="24"/>
              </w:rPr>
              <w:t>的股权。</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-1.95%</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协商价</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无</w:t>
            </w:r>
          </w:p>
        </w:tc>
        <w:tc>
          <w:tcPr>
            <w:tcW w:w="46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06</w:t>
            </w:r>
            <w:r>
              <w:rPr>
                <w:rFonts w:hint="eastAsia"/>
                <w:szCs w:val="24"/>
              </w:rPr>
              <w:t>月</w:t>
            </w:r>
            <w:r>
              <w:rPr>
                <w:szCs w:val="24"/>
              </w:rPr>
              <w:t>26</w:t>
            </w:r>
            <w:r>
              <w:rPr>
                <w:rFonts w:hint="eastAsia"/>
                <w:szCs w:val="24"/>
              </w:rPr>
              <w:t>日</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公告编号</w:t>
            </w:r>
            <w:r>
              <w:rPr>
                <w:szCs w:val="24"/>
              </w:rPr>
              <w:t>2019-068</w:t>
            </w:r>
          </w:p>
        </w:tc>
      </w:tr>
      <w:tr>
        <w:tblPrEx>
          <w:tblCellMar>
            <w:top w:w="0" w:type="dxa"/>
            <w:left w:w="28" w:type="dxa"/>
            <w:bottom w:w="0" w:type="dxa"/>
            <w:right w:w="28" w:type="dxa"/>
          </w:tblCellMar>
        </w:tblPrEx>
        <w:tc>
          <w:tcPr>
            <w:tcW w:w="6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余颖娜</w:t>
            </w:r>
          </w:p>
        </w:tc>
        <w:tc>
          <w:tcPr>
            <w:tcW w:w="6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美康生物科技（舟山）有限公司</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09</w:t>
            </w:r>
            <w:r>
              <w:rPr>
                <w:rFonts w:hint="eastAsia"/>
                <w:szCs w:val="24"/>
              </w:rPr>
              <w:t>月</w:t>
            </w:r>
            <w:r>
              <w:rPr>
                <w:szCs w:val="24"/>
              </w:rPr>
              <w:t>10</w:t>
            </w:r>
            <w:r>
              <w:rPr>
                <w:rFonts w:hint="eastAsia"/>
                <w:szCs w:val="24"/>
              </w:rPr>
              <w:t>日</w:t>
            </w:r>
          </w:p>
        </w:tc>
        <w:tc>
          <w:tcPr>
            <w:tcW w:w="6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3,550</w:t>
            </w:r>
          </w:p>
        </w:tc>
        <w:tc>
          <w:tcPr>
            <w:tcW w:w="7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-135.79</w:t>
            </w:r>
          </w:p>
        </w:tc>
        <w:tc>
          <w:tcPr>
            <w:tcW w:w="123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公司不再对重庆和盛医疗器械有限公司拥有控制权，仅持有</w:t>
            </w:r>
            <w:r>
              <w:rPr>
                <w:szCs w:val="24"/>
              </w:rPr>
              <w:t>21%</w:t>
            </w:r>
            <w:r>
              <w:rPr>
                <w:rFonts w:hint="eastAsia"/>
                <w:szCs w:val="24"/>
              </w:rPr>
              <w:t>的股权，对其可实施重大影响</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-0.66%</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协商价</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无</w:t>
            </w:r>
          </w:p>
        </w:tc>
        <w:tc>
          <w:tcPr>
            <w:tcW w:w="46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09</w:t>
            </w:r>
            <w:r>
              <w:rPr>
                <w:rFonts w:hint="eastAsia"/>
                <w:szCs w:val="24"/>
              </w:rPr>
              <w:t>月</w:t>
            </w:r>
            <w:r>
              <w:rPr>
                <w:szCs w:val="24"/>
              </w:rPr>
              <w:t>11</w:t>
            </w:r>
            <w:r>
              <w:rPr>
                <w:rFonts w:hint="eastAsia"/>
                <w:szCs w:val="24"/>
              </w:rPr>
              <w:t>日</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公告编号</w:t>
            </w:r>
            <w:r>
              <w:rPr>
                <w:szCs w:val="24"/>
              </w:rPr>
              <w:t>2019-109</w:t>
            </w:r>
          </w:p>
        </w:tc>
      </w:tr>
    </w:tbl>
    <w:p>
      <w:pPr>
        <w:pStyle w:val="13"/>
        <w:outlineLvl w:val="1"/>
        <w:rPr>
          <w:bCs w:val="0"/>
        </w:rPr>
      </w:pPr>
      <w:r>
        <w:rPr>
          <w:rFonts w:hint="eastAsia"/>
          <w:bCs w:val="0"/>
        </w:rPr>
        <w:t>七、主要控股参股公司分析</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主要子公司及对公司净利润影响达</w:t>
      </w:r>
      <w:r>
        <w:rPr>
          <w:szCs w:val="24"/>
        </w:rPr>
        <w:t>10%</w:t>
      </w:r>
      <w:r>
        <w:rPr>
          <w:rFonts w:hint="eastAsia"/>
          <w:szCs w:val="24"/>
        </w:rPr>
        <w:t>以上的参股公司情况</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960"/>
        <w:gridCol w:w="708"/>
        <w:gridCol w:w="1134"/>
        <w:gridCol w:w="851"/>
        <w:gridCol w:w="1276"/>
        <w:gridCol w:w="1275"/>
        <w:gridCol w:w="1272"/>
        <w:gridCol w:w="1045"/>
        <w:gridCol w:w="1046"/>
      </w:tblGrid>
      <w:tr>
        <w:tc>
          <w:tcPr>
            <w:tcW w:w="96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公司名称</w:t>
            </w:r>
          </w:p>
        </w:tc>
        <w:tc>
          <w:tcPr>
            <w:tcW w:w="70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公司类型</w:t>
            </w:r>
          </w:p>
        </w:tc>
        <w:tc>
          <w:tcPr>
            <w:tcW w:w="113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主要业务</w:t>
            </w:r>
          </w:p>
        </w:tc>
        <w:tc>
          <w:tcPr>
            <w:tcW w:w="85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注册资本</w:t>
            </w:r>
          </w:p>
        </w:tc>
        <w:tc>
          <w:tcPr>
            <w:tcW w:w="127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总资产</w:t>
            </w:r>
          </w:p>
        </w:tc>
        <w:tc>
          <w:tcPr>
            <w:tcW w:w="127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净资产</w:t>
            </w:r>
          </w:p>
        </w:tc>
        <w:tc>
          <w:tcPr>
            <w:tcW w:w="127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营业收入</w:t>
            </w:r>
          </w:p>
        </w:tc>
        <w:tc>
          <w:tcPr>
            <w:tcW w:w="104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营业利润</w:t>
            </w:r>
          </w:p>
        </w:tc>
        <w:tc>
          <w:tcPr>
            <w:tcW w:w="104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净利润</w:t>
            </w:r>
          </w:p>
        </w:tc>
      </w:tr>
      <w:tr>
        <w:tc>
          <w:tcPr>
            <w:tcW w:w="96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宁波美康盛达生物科技有限公司</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子公司</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临床检验分析仪、 体外诊断试剂的批发； 仪器的租赁和维修； 医疗器械、 实验室设备及耗材、 仪器配件、 计算机硬件的销售； 生物饲料的研发</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5,000,000.00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382,401,300.66</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18,797,372.84</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551,879,434.56</w:t>
            </w:r>
          </w:p>
        </w:tc>
        <w:tc>
          <w:tcPr>
            <w:tcW w:w="104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-2,469,699.90</w:t>
            </w:r>
          </w:p>
        </w:tc>
        <w:tc>
          <w:tcPr>
            <w:tcW w:w="104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-1,589,429.04</w:t>
            </w:r>
          </w:p>
        </w:tc>
      </w:tr>
      <w:tr>
        <w:tc>
          <w:tcPr>
            <w:tcW w:w="96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宁波美康盛德生物科技有限公司</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子公司</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临床检验分析仪器的研发、 生产；医疗器械、精密实验仪器气液分离机纯净设备的生产销售； 仪器配件的研发生产;信息系统集成开发、 技术咨询、 技术转让</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2,000,000.00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51,035,711.03</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24,052,854.42</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84,143,547.27</w:t>
            </w:r>
          </w:p>
        </w:tc>
        <w:tc>
          <w:tcPr>
            <w:tcW w:w="104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6,322,513.45</w:t>
            </w:r>
          </w:p>
        </w:tc>
        <w:tc>
          <w:tcPr>
            <w:tcW w:w="104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8,900,190.82</w:t>
            </w:r>
          </w:p>
        </w:tc>
      </w:tr>
      <w:tr>
        <w:tc>
          <w:tcPr>
            <w:tcW w:w="96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宁波美康盛德医学检验所有限公司</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子公司</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医学检验、临床化学检验、 医学检验咨询、 医学检验试剂的研发</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50,000,000.00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185,584,688.86</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126,008,323.13</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318,274,727.98</w:t>
            </w:r>
          </w:p>
        </w:tc>
        <w:tc>
          <w:tcPr>
            <w:tcW w:w="104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19,925,079.52</w:t>
            </w:r>
          </w:p>
        </w:tc>
        <w:tc>
          <w:tcPr>
            <w:tcW w:w="104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18,367,239.15</w:t>
            </w:r>
          </w:p>
        </w:tc>
      </w:tr>
      <w:tr>
        <w:tc>
          <w:tcPr>
            <w:tcW w:w="96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SD Medical System,Inc</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子公司</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新型生化物合成物或活性成分</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24,250,000.00</w:t>
            </w:r>
          </w:p>
          <w:p>
            <w:pPr>
              <w:jc w:val="left"/>
            </w:pPr>
            <w:r>
              <w:t>(美元）</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137,395,436.72</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102,750,336.99</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26,047,419.76</w:t>
            </w:r>
          </w:p>
        </w:tc>
        <w:tc>
          <w:tcPr>
            <w:tcW w:w="104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-8,776,440.72</w:t>
            </w:r>
          </w:p>
        </w:tc>
        <w:tc>
          <w:tcPr>
            <w:tcW w:w="104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-8,776,440.72</w:t>
            </w:r>
          </w:p>
        </w:tc>
      </w:tr>
      <w:tr>
        <w:tc>
          <w:tcPr>
            <w:tcW w:w="96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新疆伯晶伟业商贸有限公司</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子公司</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医疗器械的销售、 安装、维修、 租赁</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20,000,000.00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74,637,375.49</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35,991,599.60</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70,470,053.29</w:t>
            </w:r>
          </w:p>
        </w:tc>
        <w:tc>
          <w:tcPr>
            <w:tcW w:w="104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3,992,186.96</w:t>
            </w:r>
          </w:p>
        </w:tc>
        <w:tc>
          <w:tcPr>
            <w:tcW w:w="104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200,722.52</w:t>
            </w:r>
          </w:p>
        </w:tc>
      </w:tr>
      <w:tr>
        <w:tc>
          <w:tcPr>
            <w:tcW w:w="96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浙江涌捷医疗器械有限公司</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子公司</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医疗器械的批发、 零售</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20,000,000.00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97,071,587.75</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54,636,313.41</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132,286,008.93</w:t>
            </w:r>
          </w:p>
        </w:tc>
        <w:tc>
          <w:tcPr>
            <w:tcW w:w="104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10,220,655.83</w:t>
            </w:r>
          </w:p>
        </w:tc>
        <w:tc>
          <w:tcPr>
            <w:tcW w:w="104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7,293,749.46</w:t>
            </w:r>
          </w:p>
        </w:tc>
      </w:tr>
      <w:tr>
        <w:tc>
          <w:tcPr>
            <w:tcW w:w="96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内蒙古盛德医疗器械有限公司</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子公司</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医疗器械的零售租赁、维修； 医疗器械的研发</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7,000,000.00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67,848,742.62</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28,970,461.81</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62,455,262.29</w:t>
            </w:r>
          </w:p>
        </w:tc>
        <w:tc>
          <w:tcPr>
            <w:tcW w:w="104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7,826,493.27</w:t>
            </w:r>
          </w:p>
        </w:tc>
        <w:tc>
          <w:tcPr>
            <w:tcW w:w="104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5,796,456.98</w:t>
            </w:r>
          </w:p>
        </w:tc>
      </w:tr>
      <w:tr>
        <w:tc>
          <w:tcPr>
            <w:tcW w:w="96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永城美康盛德医学检验所有限公司</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子公司</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临床检验服务， 新型诊断试剂及诊临床检验服务， 新型诊断试剂及诊断技术开发、 成果转让； 医疗卫生应用软件、 电子通讯技术及其他计算机硬件技术开发、 技术服务、 技术咨询、 成果转让， 信息系统集成服务； 医疗器械批发及零售</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20,000,000.00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65,944,300.03</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10,768,813.82</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68,849,577.23</w:t>
            </w:r>
          </w:p>
        </w:tc>
        <w:tc>
          <w:tcPr>
            <w:tcW w:w="104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6,124,996.98</w:t>
            </w:r>
          </w:p>
        </w:tc>
        <w:tc>
          <w:tcPr>
            <w:tcW w:w="104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4,471,564.35</w:t>
            </w:r>
          </w:p>
        </w:tc>
      </w:tr>
      <w:tr>
        <w:tc>
          <w:tcPr>
            <w:tcW w:w="96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VAP DIAGNOSTICS LABORATORY INC</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子公司</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医学检验科； 临床体液、 血液专业临床微生物学专业；临床化学检验专业； 临床免疫血清学专业/病理科/PC</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25,960,000.00</w:t>
            </w:r>
          </w:p>
          <w:p>
            <w:pPr>
              <w:jc w:val="left"/>
            </w:pPr>
            <w:r>
              <w:t>(美元）</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10,879,220.51</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-36,202,854.99</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5,429,140.43</w:t>
            </w:r>
          </w:p>
        </w:tc>
        <w:tc>
          <w:tcPr>
            <w:tcW w:w="104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-79,360,031.58</w:t>
            </w:r>
          </w:p>
        </w:tc>
        <w:tc>
          <w:tcPr>
            <w:tcW w:w="104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-79,098,492.87</w:t>
            </w:r>
          </w:p>
        </w:tc>
      </w:tr>
      <w:tr>
        <w:tc>
          <w:tcPr>
            <w:tcW w:w="96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武汉美康盛德科技有限公司</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子公司</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信息传输、软件和信息技术服务业</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20,000,000.00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179,604,223.29</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81,377,354.65</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127,727,004.96</w:t>
            </w:r>
          </w:p>
        </w:tc>
        <w:tc>
          <w:tcPr>
            <w:tcW w:w="104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2,043,100.69</w:t>
            </w:r>
          </w:p>
        </w:tc>
        <w:tc>
          <w:tcPr>
            <w:tcW w:w="104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448,494.07</w:t>
            </w:r>
          </w:p>
        </w:tc>
      </w:tr>
      <w:tr>
        <w:tc>
          <w:tcPr>
            <w:tcW w:w="96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杭州倚天生物技术有限公司</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子公司</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生物技术、科学仪器的研发， 医疗器械租赁；批发、 零售；</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45,600,000.00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493,727,764.41</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422,641,949.10</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993,104,390.55</w:t>
            </w:r>
          </w:p>
        </w:tc>
        <w:tc>
          <w:tcPr>
            <w:tcW w:w="104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100,419,818.58</w:t>
            </w:r>
          </w:p>
        </w:tc>
        <w:tc>
          <w:tcPr>
            <w:tcW w:w="104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74,093,674.34</w:t>
            </w:r>
          </w:p>
        </w:tc>
      </w:tr>
      <w:tr>
        <w:tc>
          <w:tcPr>
            <w:tcW w:w="96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新余美康盛德医学检验实验室有限公司</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子公司</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医学检验科、 病理科及生物技术推广； 医疗设备租赁服务； 软件开发； 数据处理和存储服务； 计算机网络系统集成； Ⅱ 类、Ⅲ类医疗器械批发、 零售； 医疗实验室设备和器具销售；机械设备维修； 建筑装修工程、 通信工程； 生物制品的技术服务及咨询； 生物制品（试剂类销售； 医药以及医疗器材批发</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20,000,000.00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39,407,311.36</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25,046,311.83</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41,237,922.86</w:t>
            </w:r>
          </w:p>
        </w:tc>
        <w:tc>
          <w:tcPr>
            <w:tcW w:w="104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2,859,208.66</w:t>
            </w:r>
          </w:p>
        </w:tc>
        <w:tc>
          <w:tcPr>
            <w:tcW w:w="104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2,629,410.18</w:t>
            </w:r>
          </w:p>
        </w:tc>
      </w:tr>
    </w:tbl>
    <w:p>
      <w:pPr>
        <w:jc w:val="left"/>
        <w:rPr>
          <w:szCs w:val="24"/>
        </w:rPr>
      </w:pPr>
      <w:r>
        <w:rPr>
          <w:rFonts w:hint="eastAsia"/>
          <w:szCs w:val="24"/>
        </w:rPr>
        <w:t>报告期内取得和处置子公司的情况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tbl>
      <w:tblPr>
        <w:tblStyle w:val="9"/>
        <w:tblW w:w="0" w:type="auto"/>
        <w:tblInd w:w="28" w:type="dxa"/>
        <w:tblLayout w:type="fixed"/>
        <w:tblCellMar>
          <w:top w:w="0" w:type="dxa"/>
          <w:left w:w="28" w:type="dxa"/>
          <w:bottom w:w="0" w:type="dxa"/>
          <w:right w:w="28" w:type="dxa"/>
        </w:tblCellMar>
      </w:tblPr>
      <w:tblGrid>
        <w:gridCol w:w="3369"/>
        <w:gridCol w:w="3009"/>
        <w:gridCol w:w="3191"/>
      </w:tblGrid>
      <w:tr>
        <w:tc>
          <w:tcPr>
            <w:tcW w:w="33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公司名称</w:t>
            </w:r>
          </w:p>
        </w:tc>
        <w:tc>
          <w:tcPr>
            <w:tcW w:w="300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报告期内取得和处置子公司方式</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对整体生产经营和业绩的影响</w:t>
            </w:r>
          </w:p>
        </w:tc>
      </w:tr>
      <w:tr>
        <w:tc>
          <w:tcPr>
            <w:tcW w:w="3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江西省美康医疗器械有限公司</w:t>
            </w:r>
          </w:p>
        </w:tc>
        <w:tc>
          <w:tcPr>
            <w:tcW w:w="300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转让</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报告期内实现净利润</w:t>
            </w:r>
            <w:r>
              <w:rPr>
                <w:szCs w:val="24"/>
              </w:rPr>
              <w:t>501,793.56</w:t>
            </w:r>
            <w:r>
              <w:rPr>
                <w:rFonts w:hint="eastAsia"/>
                <w:szCs w:val="24"/>
              </w:rPr>
              <w:t>元</w:t>
            </w:r>
          </w:p>
        </w:tc>
      </w:tr>
      <w:tr>
        <w:tc>
          <w:tcPr>
            <w:tcW w:w="3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上饶美康盛德医学检验所有限公司</w:t>
            </w:r>
          </w:p>
        </w:tc>
        <w:tc>
          <w:tcPr>
            <w:tcW w:w="300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转让</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报告期内实现净利润</w:t>
            </w:r>
            <w:r>
              <w:rPr>
                <w:szCs w:val="24"/>
              </w:rPr>
              <w:t>873,606.64</w:t>
            </w:r>
            <w:r>
              <w:rPr>
                <w:rFonts w:hint="eastAsia"/>
                <w:szCs w:val="24"/>
              </w:rPr>
              <w:t>元</w:t>
            </w:r>
          </w:p>
        </w:tc>
      </w:tr>
      <w:tr>
        <w:tc>
          <w:tcPr>
            <w:tcW w:w="3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w:t>
            </w:r>
            <w:r>
              <w:rPr>
                <w:szCs w:val="24"/>
              </w:rPr>
              <w:t>(</w:t>
            </w:r>
            <w:r>
              <w:rPr>
                <w:rFonts w:hint="eastAsia"/>
                <w:szCs w:val="24"/>
              </w:rPr>
              <w:t>陕西</w:t>
            </w:r>
            <w:r>
              <w:rPr>
                <w:szCs w:val="24"/>
              </w:rPr>
              <w:t>)</w:t>
            </w:r>
            <w:r>
              <w:rPr>
                <w:rFonts w:hint="eastAsia"/>
                <w:szCs w:val="24"/>
              </w:rPr>
              <w:t>有限公司</w:t>
            </w:r>
          </w:p>
        </w:tc>
        <w:tc>
          <w:tcPr>
            <w:tcW w:w="300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转让</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报告期内实现净利润</w:t>
            </w:r>
            <w:r>
              <w:rPr>
                <w:szCs w:val="24"/>
              </w:rPr>
              <w:t>-46,714.90</w:t>
            </w:r>
            <w:r>
              <w:rPr>
                <w:rFonts w:hint="eastAsia"/>
                <w:szCs w:val="24"/>
              </w:rPr>
              <w:t>元</w:t>
            </w:r>
          </w:p>
        </w:tc>
      </w:tr>
      <w:tr>
        <w:tc>
          <w:tcPr>
            <w:tcW w:w="3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杭州倚天生物技术有限公司</w:t>
            </w:r>
          </w:p>
        </w:tc>
        <w:tc>
          <w:tcPr>
            <w:tcW w:w="300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股权收购</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报告期内实现净利润</w:t>
            </w:r>
            <w:r>
              <w:rPr>
                <w:szCs w:val="24"/>
              </w:rPr>
              <w:t>74,093,674.34</w:t>
            </w:r>
            <w:r>
              <w:rPr>
                <w:rFonts w:hint="eastAsia"/>
                <w:szCs w:val="24"/>
              </w:rPr>
              <w:t>元</w:t>
            </w:r>
          </w:p>
        </w:tc>
      </w:tr>
      <w:tr>
        <w:tc>
          <w:tcPr>
            <w:tcW w:w="3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民权县美康盛德医学检验实验室有限公司</w:t>
            </w:r>
          </w:p>
        </w:tc>
        <w:tc>
          <w:tcPr>
            <w:tcW w:w="300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报告期内实现净利润</w:t>
            </w:r>
            <w:r>
              <w:rPr>
                <w:szCs w:val="24"/>
              </w:rPr>
              <w:t>803,654.90</w:t>
            </w:r>
            <w:r>
              <w:rPr>
                <w:rFonts w:hint="eastAsia"/>
                <w:szCs w:val="24"/>
              </w:rPr>
              <w:t>元</w:t>
            </w:r>
          </w:p>
        </w:tc>
      </w:tr>
      <w:tr>
        <w:tc>
          <w:tcPr>
            <w:tcW w:w="3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宁波盛德倚天生物技术有限公司</w:t>
            </w:r>
          </w:p>
        </w:tc>
        <w:tc>
          <w:tcPr>
            <w:tcW w:w="300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报告期内实现净利润</w:t>
            </w:r>
            <w:r>
              <w:rPr>
                <w:szCs w:val="24"/>
              </w:rPr>
              <w:t>-76,239.00</w:t>
            </w:r>
            <w:r>
              <w:rPr>
                <w:rFonts w:hint="eastAsia"/>
                <w:szCs w:val="24"/>
              </w:rPr>
              <w:t>元</w:t>
            </w:r>
          </w:p>
        </w:tc>
      </w:tr>
      <w:tr>
        <w:tc>
          <w:tcPr>
            <w:tcW w:w="3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赣州美康盛德医学检验所有限公司</w:t>
            </w:r>
          </w:p>
        </w:tc>
        <w:tc>
          <w:tcPr>
            <w:tcW w:w="300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部分转让</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报告期内尚未出资，暂无影响</w:t>
            </w:r>
          </w:p>
        </w:tc>
      </w:tr>
      <w:tr>
        <w:tc>
          <w:tcPr>
            <w:tcW w:w="3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金华市美康盛德医学检验所有限公司</w:t>
            </w:r>
          </w:p>
        </w:tc>
        <w:tc>
          <w:tcPr>
            <w:tcW w:w="300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部分转让</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报告期内实现净利润</w:t>
            </w:r>
            <w:r>
              <w:rPr>
                <w:szCs w:val="24"/>
              </w:rPr>
              <w:t>-4,682,819.76</w:t>
            </w:r>
            <w:r>
              <w:rPr>
                <w:rFonts w:hint="eastAsia"/>
                <w:szCs w:val="24"/>
              </w:rPr>
              <w:t>元</w:t>
            </w:r>
          </w:p>
        </w:tc>
      </w:tr>
      <w:tr>
        <w:tc>
          <w:tcPr>
            <w:tcW w:w="3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重庆和盛医疗器械有限公司</w:t>
            </w:r>
          </w:p>
        </w:tc>
        <w:tc>
          <w:tcPr>
            <w:tcW w:w="300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部分转让</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报告期内实现净利润</w:t>
            </w:r>
            <w:r>
              <w:rPr>
                <w:szCs w:val="24"/>
              </w:rPr>
              <w:t>26,031,882.33</w:t>
            </w:r>
            <w:r>
              <w:rPr>
                <w:rFonts w:hint="eastAsia"/>
                <w:szCs w:val="24"/>
              </w:rPr>
              <w:t>元，转让后取得投资收益</w:t>
            </w:r>
            <w:r>
              <w:rPr>
                <w:szCs w:val="24"/>
              </w:rPr>
              <w:t>3,596,466.98</w:t>
            </w:r>
            <w:r>
              <w:rPr>
                <w:rFonts w:hint="eastAsia"/>
                <w:szCs w:val="24"/>
              </w:rPr>
              <w:t>元</w:t>
            </w:r>
          </w:p>
        </w:tc>
      </w:tr>
      <w:tr>
        <w:tc>
          <w:tcPr>
            <w:tcW w:w="3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美康生物科技（舟山）有限公司</w:t>
            </w:r>
          </w:p>
        </w:tc>
        <w:tc>
          <w:tcPr>
            <w:tcW w:w="300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部分转让</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报告期内实现净利润</w:t>
            </w:r>
            <w:r>
              <w:rPr>
                <w:szCs w:val="24"/>
              </w:rPr>
              <w:t>-1,207,872.88</w:t>
            </w:r>
            <w:r>
              <w:rPr>
                <w:rFonts w:hint="eastAsia"/>
                <w:szCs w:val="24"/>
              </w:rPr>
              <w:t>元，转让后取得投资收益</w:t>
            </w:r>
            <w:r>
              <w:rPr>
                <w:szCs w:val="24"/>
              </w:rPr>
              <w:t>3,571,946.82</w:t>
            </w:r>
            <w:r>
              <w:rPr>
                <w:rFonts w:hint="eastAsia"/>
                <w:szCs w:val="24"/>
              </w:rPr>
              <w:t>元</w:t>
            </w:r>
          </w:p>
        </w:tc>
      </w:tr>
    </w:tbl>
    <w:p>
      <w:pPr>
        <w:jc w:val="left"/>
        <w:rPr>
          <w:szCs w:val="24"/>
        </w:rPr>
      </w:pPr>
      <w:r>
        <w:rPr>
          <w:rFonts w:hint="eastAsia"/>
          <w:szCs w:val="24"/>
        </w:rPr>
        <w:t>主要控股参股公司情况说明</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详见本报告第十二节财务报告（八）合并范围的变更、（九）在其他主体中的权益。</w:t>
      </w:r>
    </w:p>
    <w:p>
      <w:pPr>
        <w:pStyle w:val="13"/>
        <w:outlineLvl w:val="1"/>
        <w:rPr>
          <w:bCs w:val="0"/>
        </w:rPr>
      </w:pPr>
      <w:r>
        <w:rPr>
          <w:rFonts w:hint="eastAsia"/>
          <w:bCs w:val="0"/>
        </w:rPr>
        <w:t>八、公司控制的结构化主体情况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3"/>
        <w:outlineLvl w:val="1"/>
        <w:rPr>
          <w:bCs w:val="0"/>
        </w:rPr>
      </w:pPr>
      <w:r>
        <w:rPr>
          <w:rFonts w:hint="eastAsia"/>
          <w:bCs w:val="0"/>
        </w:rPr>
        <w:t>九、公司未来发展的展望</w:t>
      </w:r>
    </w:p>
    <w:p>
      <w:pPr>
        <w:autoSpaceDE w:val="0"/>
        <w:autoSpaceDN w:val="0"/>
        <w:adjustRightInd w:val="0"/>
        <w:spacing w:before="0" w:after="0"/>
        <w:jc w:val="left"/>
        <w:rPr>
          <w:rFonts w:eastAsia="Times New Roman"/>
          <w:kern w:val="0"/>
          <w:szCs w:val="24"/>
          <w:lang w:val="zh-CN"/>
        </w:rPr>
      </w:pPr>
      <w:r>
        <w:rPr>
          <w:rFonts w:ascii="宋体" w:hAnsi="宋体"/>
          <w:kern w:val="0"/>
          <w:szCs w:val="24"/>
          <w:lang w:val="zh-CN"/>
        </w:rPr>
        <w:t>（一）行业格局与发展趋势</w:t>
      </w:r>
    </w:p>
    <w:p>
      <w:pPr>
        <w:autoSpaceDE w:val="0"/>
        <w:autoSpaceDN w:val="0"/>
        <w:adjustRightInd w:val="0"/>
        <w:ind w:firstLine="360"/>
        <w:rPr>
          <w:rFonts w:eastAsia="Times New Roman"/>
          <w:kern w:val="0"/>
          <w:szCs w:val="24"/>
          <w:lang w:val="zh-CN"/>
        </w:rPr>
      </w:pPr>
      <w:r>
        <w:rPr>
          <w:rFonts w:ascii="宋体" w:hAnsi="宋体"/>
          <w:kern w:val="0"/>
          <w:szCs w:val="24"/>
          <w:lang w:val="zh-CN"/>
        </w:rPr>
        <w:t>根据美国</w:t>
      </w:r>
      <w:r>
        <w:rPr>
          <w:rFonts w:eastAsia="Times New Roman"/>
          <w:kern w:val="0"/>
          <w:szCs w:val="24"/>
          <w:lang w:val="zh-CN"/>
        </w:rPr>
        <w:t>IQVIA</w:t>
      </w:r>
      <w:r>
        <w:rPr>
          <w:rFonts w:ascii="宋体" w:hAnsi="宋体"/>
          <w:kern w:val="0"/>
          <w:szCs w:val="24"/>
          <w:lang w:val="zh-CN"/>
        </w:rPr>
        <w:t>披露数据，</w:t>
      </w:r>
      <w:r>
        <w:rPr>
          <w:rFonts w:eastAsia="Times New Roman"/>
          <w:kern w:val="0"/>
          <w:szCs w:val="24"/>
          <w:lang w:val="zh-CN"/>
        </w:rPr>
        <w:t>2018</w:t>
      </w:r>
      <w:r>
        <w:rPr>
          <w:rFonts w:ascii="宋体" w:hAnsi="宋体"/>
          <w:kern w:val="0"/>
          <w:szCs w:val="24"/>
          <w:lang w:val="zh-CN"/>
        </w:rPr>
        <w:t>年全球体外诊断市场为</w:t>
      </w:r>
      <w:r>
        <w:rPr>
          <w:rFonts w:eastAsia="Times New Roman"/>
          <w:kern w:val="0"/>
          <w:szCs w:val="24"/>
          <w:lang w:val="zh-CN"/>
        </w:rPr>
        <w:t>630</w:t>
      </w:r>
      <w:r>
        <w:rPr>
          <w:rFonts w:ascii="宋体" w:hAnsi="宋体"/>
          <w:kern w:val="0"/>
          <w:szCs w:val="24"/>
          <w:lang w:val="zh-CN"/>
        </w:rPr>
        <w:t>亿美元，较</w:t>
      </w:r>
      <w:r>
        <w:rPr>
          <w:rFonts w:eastAsia="Times New Roman"/>
          <w:kern w:val="0"/>
          <w:szCs w:val="24"/>
          <w:lang w:val="zh-CN"/>
        </w:rPr>
        <w:t>2017</w:t>
      </w:r>
      <w:r>
        <w:rPr>
          <w:rFonts w:ascii="宋体" w:hAnsi="宋体"/>
          <w:kern w:val="0"/>
          <w:szCs w:val="24"/>
          <w:lang w:val="zh-CN"/>
        </w:rPr>
        <w:t>年同比增长</w:t>
      </w:r>
      <w:r>
        <w:rPr>
          <w:rFonts w:eastAsia="Times New Roman"/>
          <w:kern w:val="0"/>
          <w:szCs w:val="24"/>
          <w:lang w:val="zh-CN"/>
        </w:rPr>
        <w:t>6%</w:t>
      </w:r>
      <w:r>
        <w:rPr>
          <w:rFonts w:ascii="宋体" w:hAnsi="宋体"/>
          <w:kern w:val="0"/>
          <w:szCs w:val="24"/>
          <w:lang w:val="zh-CN"/>
        </w:rPr>
        <w:t>。从分市场来看，北美市场占比最高，为</w:t>
      </w:r>
      <w:r>
        <w:rPr>
          <w:rFonts w:eastAsia="Times New Roman"/>
          <w:kern w:val="0"/>
          <w:szCs w:val="24"/>
          <w:lang w:val="zh-CN"/>
        </w:rPr>
        <w:t>204</w:t>
      </w:r>
      <w:r>
        <w:rPr>
          <w:rFonts w:ascii="宋体" w:hAnsi="宋体"/>
          <w:kern w:val="0"/>
          <w:szCs w:val="24"/>
          <w:lang w:val="zh-CN"/>
        </w:rPr>
        <w:t>亿美元，约占全球</w:t>
      </w:r>
      <w:r>
        <w:rPr>
          <w:rFonts w:eastAsia="Times New Roman"/>
          <w:kern w:val="0"/>
          <w:szCs w:val="24"/>
          <w:lang w:val="zh-CN"/>
        </w:rPr>
        <w:t>IVD</w:t>
      </w:r>
      <w:r>
        <w:rPr>
          <w:rFonts w:ascii="宋体" w:hAnsi="宋体"/>
          <w:kern w:val="0"/>
          <w:szCs w:val="24"/>
          <w:lang w:val="zh-CN"/>
        </w:rPr>
        <w:t>市场的三分之一；亚太市场增速最快，同比增长</w:t>
      </w:r>
      <w:r>
        <w:rPr>
          <w:rFonts w:eastAsia="Times New Roman"/>
          <w:kern w:val="0"/>
          <w:szCs w:val="24"/>
          <w:lang w:val="zh-CN"/>
        </w:rPr>
        <w:t>12%</w:t>
      </w:r>
      <w:r>
        <w:rPr>
          <w:rFonts w:ascii="宋体" w:hAnsi="宋体"/>
          <w:kern w:val="0"/>
          <w:szCs w:val="24"/>
          <w:lang w:val="zh-CN"/>
        </w:rPr>
        <w:t>，总市场为</w:t>
      </w:r>
      <w:r>
        <w:rPr>
          <w:rFonts w:eastAsia="Times New Roman"/>
          <w:kern w:val="0"/>
          <w:szCs w:val="24"/>
          <w:lang w:val="zh-CN"/>
        </w:rPr>
        <w:t>158</w:t>
      </w:r>
      <w:r>
        <w:rPr>
          <w:rFonts w:ascii="宋体" w:hAnsi="宋体"/>
          <w:kern w:val="0"/>
          <w:szCs w:val="24"/>
          <w:lang w:val="zh-CN"/>
        </w:rPr>
        <w:t>亿美元。汇总国内外有关中国体外诊断市场信息，</w:t>
      </w:r>
      <w:r>
        <w:rPr>
          <w:rFonts w:eastAsia="Times New Roman"/>
          <w:kern w:val="0"/>
          <w:szCs w:val="24"/>
          <w:lang w:val="zh-CN"/>
        </w:rPr>
        <w:t>2018</w:t>
      </w:r>
      <w:r>
        <w:rPr>
          <w:rFonts w:ascii="宋体" w:hAnsi="宋体"/>
          <w:kern w:val="0"/>
          <w:szCs w:val="24"/>
          <w:lang w:val="zh-CN"/>
        </w:rPr>
        <w:t>年中国体外诊断市场规模超过</w:t>
      </w:r>
      <w:r>
        <w:rPr>
          <w:rFonts w:eastAsia="Times New Roman"/>
          <w:kern w:val="0"/>
          <w:szCs w:val="24"/>
          <w:lang w:val="zh-CN"/>
        </w:rPr>
        <w:t>800</w:t>
      </w:r>
      <w:r>
        <w:rPr>
          <w:rFonts w:ascii="宋体" w:hAnsi="宋体"/>
          <w:kern w:val="0"/>
          <w:szCs w:val="24"/>
          <w:lang w:val="zh-CN"/>
        </w:rPr>
        <w:t>亿</w:t>
      </w:r>
      <w:r>
        <w:rPr>
          <w:rFonts w:hint="eastAsia" w:ascii="宋体" w:hAnsi="宋体"/>
          <w:kern w:val="0"/>
          <w:szCs w:val="24"/>
        </w:rPr>
        <w:t>元</w:t>
      </w:r>
      <w:r>
        <w:rPr>
          <w:rFonts w:ascii="宋体" w:hAnsi="宋体"/>
          <w:kern w:val="0"/>
          <w:szCs w:val="24"/>
          <w:lang w:val="zh-CN"/>
        </w:rPr>
        <w:t>人民币，同比增长</w:t>
      </w:r>
      <w:r>
        <w:rPr>
          <w:rFonts w:eastAsia="Times New Roman"/>
          <w:kern w:val="0"/>
          <w:szCs w:val="24"/>
          <w:lang w:val="zh-CN"/>
        </w:rPr>
        <w:t>15%</w:t>
      </w:r>
      <w:r>
        <w:rPr>
          <w:rFonts w:ascii="宋体" w:hAnsi="宋体"/>
          <w:kern w:val="0"/>
          <w:szCs w:val="24"/>
          <w:lang w:val="zh-CN"/>
        </w:rPr>
        <w:t>左右。其中进口产品占比</w:t>
      </w:r>
      <w:r>
        <w:rPr>
          <w:rFonts w:eastAsia="Times New Roman"/>
          <w:kern w:val="0"/>
          <w:szCs w:val="24"/>
          <w:lang w:val="zh-CN"/>
        </w:rPr>
        <w:t>55%</w:t>
      </w:r>
      <w:r>
        <w:rPr>
          <w:rFonts w:ascii="宋体" w:hAnsi="宋体"/>
          <w:kern w:val="0"/>
          <w:szCs w:val="24"/>
          <w:lang w:val="zh-CN"/>
        </w:rPr>
        <w:t>左右。</w:t>
      </w:r>
    </w:p>
    <w:p>
      <w:pPr>
        <w:autoSpaceDE w:val="0"/>
        <w:autoSpaceDN w:val="0"/>
        <w:adjustRightInd w:val="0"/>
        <w:ind w:firstLine="360"/>
        <w:rPr>
          <w:rFonts w:eastAsia="Times New Roman"/>
          <w:kern w:val="0"/>
          <w:szCs w:val="24"/>
          <w:lang w:val="zh-CN"/>
        </w:rPr>
      </w:pPr>
      <w:r>
        <w:rPr>
          <w:rFonts w:eastAsia="Times New Roman"/>
          <w:kern w:val="0"/>
          <w:szCs w:val="24"/>
          <w:lang w:val="zh-CN"/>
        </w:rPr>
        <w:t>IQVIA</w:t>
      </w:r>
      <w:r>
        <w:rPr>
          <w:rFonts w:ascii="宋体" w:hAnsi="宋体"/>
          <w:kern w:val="0"/>
          <w:szCs w:val="24"/>
          <w:lang w:val="zh-CN"/>
        </w:rPr>
        <w:t>报告预测，全球</w:t>
      </w:r>
      <w:r>
        <w:rPr>
          <w:rFonts w:eastAsia="Times New Roman"/>
          <w:kern w:val="0"/>
          <w:szCs w:val="24"/>
          <w:lang w:val="zh-CN"/>
        </w:rPr>
        <w:t>IVD</w:t>
      </w:r>
      <w:r>
        <w:rPr>
          <w:rFonts w:ascii="宋体" w:hAnsi="宋体"/>
          <w:kern w:val="0"/>
          <w:szCs w:val="24"/>
          <w:lang w:val="zh-CN"/>
        </w:rPr>
        <w:t>市场未来五年复合年增长率超过</w:t>
      </w:r>
      <w:r>
        <w:rPr>
          <w:rFonts w:eastAsia="Times New Roman"/>
          <w:kern w:val="0"/>
          <w:szCs w:val="24"/>
          <w:lang w:val="zh-CN"/>
        </w:rPr>
        <w:t>5%</w:t>
      </w:r>
      <w:r>
        <w:rPr>
          <w:rFonts w:ascii="宋体" w:hAnsi="宋体"/>
          <w:kern w:val="0"/>
          <w:szCs w:val="24"/>
          <w:lang w:val="zh-CN"/>
        </w:rPr>
        <w:t>。其中发达地区未来五年的复合年增长率在</w:t>
      </w:r>
      <w:r>
        <w:rPr>
          <w:rFonts w:eastAsia="Times New Roman"/>
          <w:kern w:val="0"/>
          <w:szCs w:val="24"/>
          <w:lang w:val="zh-CN"/>
        </w:rPr>
        <w:t>2%</w:t>
      </w:r>
      <w:r>
        <w:rPr>
          <w:rFonts w:ascii="宋体" w:hAnsi="宋体"/>
          <w:kern w:val="0"/>
          <w:szCs w:val="24"/>
          <w:lang w:val="zh-CN"/>
        </w:rPr>
        <w:t>左右，发展中国家未来五年的复合年增长率在</w:t>
      </w:r>
      <w:r>
        <w:rPr>
          <w:rFonts w:eastAsia="Times New Roman"/>
          <w:kern w:val="0"/>
          <w:szCs w:val="24"/>
          <w:lang w:val="zh-CN"/>
        </w:rPr>
        <w:t>9%</w:t>
      </w:r>
      <w:r>
        <w:rPr>
          <w:rFonts w:ascii="宋体" w:hAnsi="宋体"/>
          <w:kern w:val="0"/>
          <w:szCs w:val="24"/>
          <w:lang w:val="zh-CN"/>
        </w:rPr>
        <w:t>左右，中国未来五年的年复合增长率预计将超过</w:t>
      </w:r>
      <w:r>
        <w:rPr>
          <w:rFonts w:eastAsia="Times New Roman"/>
          <w:kern w:val="0"/>
          <w:szCs w:val="24"/>
          <w:lang w:val="zh-CN"/>
        </w:rPr>
        <w:t>10%</w:t>
      </w:r>
      <w:r>
        <w:rPr>
          <w:rFonts w:ascii="宋体" w:hAnsi="宋体"/>
          <w:kern w:val="0"/>
          <w:szCs w:val="24"/>
          <w:lang w:val="zh-CN"/>
        </w:rPr>
        <w:t>。</w:t>
      </w:r>
    </w:p>
    <w:p>
      <w:pPr>
        <w:autoSpaceDE w:val="0"/>
        <w:autoSpaceDN w:val="0"/>
        <w:adjustRightInd w:val="0"/>
        <w:ind w:firstLine="360"/>
        <w:rPr>
          <w:rFonts w:eastAsia="Times New Roman"/>
          <w:kern w:val="0"/>
          <w:szCs w:val="24"/>
          <w:lang w:val="zh-CN"/>
        </w:rPr>
      </w:pPr>
      <w:r>
        <w:rPr>
          <w:rFonts w:ascii="宋体" w:hAnsi="宋体"/>
          <w:kern w:val="0"/>
          <w:szCs w:val="24"/>
          <w:lang w:val="zh-CN"/>
        </w:rPr>
        <w:t>我国</w:t>
      </w:r>
      <w:r>
        <w:rPr>
          <w:rFonts w:eastAsia="Times New Roman"/>
          <w:kern w:val="0"/>
          <w:szCs w:val="24"/>
          <w:lang w:val="zh-CN"/>
        </w:rPr>
        <w:t>IVD</w:t>
      </w:r>
      <w:r>
        <w:rPr>
          <w:rFonts w:ascii="宋体" w:hAnsi="宋体"/>
          <w:kern w:val="0"/>
          <w:szCs w:val="24"/>
          <w:lang w:val="zh-CN"/>
        </w:rPr>
        <w:t>产业到</w:t>
      </w:r>
      <w:r>
        <w:rPr>
          <w:rFonts w:eastAsia="Times New Roman"/>
          <w:kern w:val="0"/>
          <w:szCs w:val="24"/>
          <w:lang w:val="zh-CN"/>
        </w:rPr>
        <w:t>20</w:t>
      </w:r>
      <w:r>
        <w:rPr>
          <w:rFonts w:ascii="宋体" w:hAnsi="宋体"/>
          <w:kern w:val="0"/>
          <w:szCs w:val="24"/>
          <w:lang w:val="zh-CN"/>
        </w:rPr>
        <w:t>世纪</w:t>
      </w:r>
      <w:r>
        <w:rPr>
          <w:rFonts w:eastAsia="Times New Roman"/>
          <w:kern w:val="0"/>
          <w:szCs w:val="24"/>
          <w:lang w:val="zh-CN"/>
        </w:rPr>
        <w:t>80</w:t>
      </w:r>
      <w:r>
        <w:rPr>
          <w:rFonts w:ascii="宋体" w:hAnsi="宋体"/>
          <w:kern w:val="0"/>
          <w:szCs w:val="24"/>
          <w:lang w:val="zh-CN"/>
        </w:rPr>
        <w:t>年代才逐渐兴起，晚于欧美发达国家，在我国属于新兴产业。经历过</w:t>
      </w:r>
      <w:r>
        <w:rPr>
          <w:rFonts w:eastAsia="Times New Roman"/>
          <w:kern w:val="0"/>
          <w:szCs w:val="24"/>
          <w:lang w:val="zh-CN"/>
        </w:rPr>
        <w:t>90</w:t>
      </w:r>
      <w:r>
        <w:rPr>
          <w:rFonts w:ascii="宋体" w:hAnsi="宋体"/>
          <w:kern w:val="0"/>
          <w:szCs w:val="24"/>
          <w:lang w:val="zh-CN"/>
        </w:rPr>
        <w:t>年代的无序竞争的整顿后，行业发展步入快速规范发展的轨道。目前国内已涌现出一批具有竞争力的企业，但国内企业技术水平仍与国际巨头有较为明显的差距。但同时，我国</w:t>
      </w:r>
      <w:r>
        <w:rPr>
          <w:rFonts w:eastAsia="Times New Roman"/>
          <w:kern w:val="0"/>
          <w:szCs w:val="24"/>
          <w:lang w:val="zh-CN"/>
        </w:rPr>
        <w:t>IVD</w:t>
      </w:r>
      <w:r>
        <w:rPr>
          <w:rFonts w:ascii="宋体" w:hAnsi="宋体"/>
          <w:kern w:val="0"/>
          <w:szCs w:val="24"/>
          <w:lang w:val="zh-CN"/>
        </w:rPr>
        <w:t>行业未来发展动力充足，随着社会老龄化程度加深，城镇化进一步发展，医保支付能力增强，分级诊疗、进口替代、健康中国等政策的推进，叠加居民生活水平提高，保健意识增强等需求端因素，以及技术进步、项目临床不断开展、原辅料自给能力提升，我国</w:t>
      </w:r>
      <w:r>
        <w:rPr>
          <w:rFonts w:eastAsia="Times New Roman"/>
          <w:kern w:val="0"/>
          <w:szCs w:val="24"/>
          <w:lang w:val="zh-CN"/>
        </w:rPr>
        <w:t>IVD</w:t>
      </w:r>
      <w:r>
        <w:rPr>
          <w:rFonts w:ascii="宋体" w:hAnsi="宋体"/>
          <w:kern w:val="0"/>
          <w:szCs w:val="24"/>
          <w:lang w:val="zh-CN"/>
        </w:rPr>
        <w:t>行业</w:t>
      </w:r>
      <w:r>
        <w:rPr>
          <w:rFonts w:hint="eastAsia" w:ascii="宋体" w:hAnsi="宋体"/>
          <w:kern w:val="0"/>
          <w:szCs w:val="24"/>
        </w:rPr>
        <w:t>总体上</w:t>
      </w:r>
      <w:r>
        <w:rPr>
          <w:rFonts w:ascii="宋体" w:hAnsi="宋体"/>
          <w:kern w:val="0"/>
          <w:szCs w:val="24"/>
          <w:lang w:val="zh-CN"/>
        </w:rPr>
        <w:t>未来</w:t>
      </w:r>
      <w:r>
        <w:rPr>
          <w:rFonts w:eastAsia="Times New Roman"/>
          <w:kern w:val="0"/>
          <w:szCs w:val="24"/>
          <w:lang w:val="zh-CN"/>
        </w:rPr>
        <w:t>5-10</w:t>
      </w:r>
      <w:r>
        <w:rPr>
          <w:rFonts w:ascii="宋体" w:hAnsi="宋体"/>
          <w:kern w:val="0"/>
          <w:szCs w:val="24"/>
          <w:lang w:val="zh-CN"/>
        </w:rPr>
        <w:t>年仍能保持</w:t>
      </w:r>
      <w:r>
        <w:rPr>
          <w:rFonts w:eastAsia="Times New Roman"/>
          <w:kern w:val="0"/>
          <w:szCs w:val="24"/>
          <w:lang w:val="zh-CN"/>
        </w:rPr>
        <w:t>15%</w:t>
      </w:r>
      <w:r>
        <w:rPr>
          <w:rFonts w:ascii="宋体" w:hAnsi="宋体"/>
          <w:kern w:val="0"/>
          <w:szCs w:val="24"/>
          <w:lang w:val="zh-CN"/>
        </w:rPr>
        <w:t>以上的年复合增速</w:t>
      </w:r>
      <w:r>
        <w:rPr>
          <w:rFonts w:hint="eastAsia" w:ascii="宋体" w:hAnsi="宋体"/>
          <w:kern w:val="0"/>
          <w:szCs w:val="24"/>
        </w:rPr>
        <w:t>。</w:t>
      </w:r>
    </w:p>
    <w:p>
      <w:pPr>
        <w:autoSpaceDE w:val="0"/>
        <w:autoSpaceDN w:val="0"/>
        <w:adjustRightInd w:val="0"/>
        <w:spacing w:before="0" w:after="0"/>
        <w:jc w:val="left"/>
        <w:rPr>
          <w:rFonts w:eastAsia="Times New Roman"/>
          <w:kern w:val="0"/>
          <w:szCs w:val="24"/>
          <w:lang w:val="zh-CN"/>
        </w:rPr>
      </w:pPr>
      <w:r>
        <w:rPr>
          <w:rFonts w:ascii="宋体" w:hAnsi="宋体"/>
          <w:kern w:val="0"/>
          <w:szCs w:val="24"/>
          <w:lang w:val="zh-CN"/>
        </w:rPr>
        <w:t>（二）公司的发展规划和目标</w:t>
      </w:r>
    </w:p>
    <w:p>
      <w:pPr>
        <w:autoSpaceDE w:val="0"/>
        <w:autoSpaceDN w:val="0"/>
        <w:adjustRightInd w:val="0"/>
        <w:ind w:firstLine="360"/>
        <w:jc w:val="left"/>
        <w:rPr>
          <w:rFonts w:eastAsia="Times New Roman"/>
          <w:kern w:val="0"/>
          <w:szCs w:val="24"/>
          <w:lang w:val="zh-CN"/>
        </w:rPr>
      </w:pPr>
      <w:r>
        <w:rPr>
          <w:rFonts w:ascii="宋体" w:hAnsi="宋体"/>
          <w:kern w:val="0"/>
          <w:szCs w:val="24"/>
          <w:lang w:val="zh-CN"/>
        </w:rPr>
        <w:t>公司未来将继续秉承</w:t>
      </w:r>
      <w:r>
        <w:rPr>
          <w:rFonts w:eastAsia="Times New Roman"/>
          <w:kern w:val="0"/>
          <w:szCs w:val="24"/>
          <w:lang w:val="zh-CN"/>
        </w:rPr>
        <w:t>“</w:t>
      </w:r>
      <w:r>
        <w:rPr>
          <w:rFonts w:ascii="宋体" w:hAnsi="宋体"/>
          <w:kern w:val="0"/>
          <w:szCs w:val="24"/>
          <w:lang w:val="zh-CN"/>
        </w:rPr>
        <w:t>以体外诊断仪器为引擎，体外诊断产品为核心，体外诊断产品</w:t>
      </w:r>
      <w:r>
        <w:rPr>
          <w:rFonts w:eastAsia="Times New Roman"/>
          <w:kern w:val="0"/>
          <w:szCs w:val="24"/>
          <w:lang w:val="zh-CN"/>
        </w:rPr>
        <w:t>+</w:t>
      </w:r>
      <w:r>
        <w:rPr>
          <w:rFonts w:ascii="宋体" w:hAnsi="宋体"/>
          <w:kern w:val="0"/>
          <w:szCs w:val="24"/>
          <w:lang w:val="zh-CN"/>
        </w:rPr>
        <w:t>诊断服务共同发展</w:t>
      </w:r>
      <w:r>
        <w:rPr>
          <w:rFonts w:eastAsia="Times New Roman"/>
          <w:kern w:val="0"/>
          <w:szCs w:val="24"/>
          <w:lang w:val="zh-CN"/>
        </w:rPr>
        <w:t>”</w:t>
      </w:r>
      <w:r>
        <w:rPr>
          <w:rFonts w:ascii="宋体" w:hAnsi="宋体"/>
          <w:kern w:val="0"/>
          <w:szCs w:val="24"/>
          <w:lang w:val="zh-CN"/>
        </w:rPr>
        <w:t xml:space="preserve">的战略，实现 </w:t>
      </w:r>
      <w:r>
        <w:rPr>
          <w:rFonts w:eastAsia="Times New Roman"/>
          <w:kern w:val="0"/>
          <w:szCs w:val="24"/>
          <w:lang w:val="zh-CN"/>
        </w:rPr>
        <w:t>“</w:t>
      </w:r>
      <w:r>
        <w:rPr>
          <w:rFonts w:ascii="宋体" w:hAnsi="宋体"/>
          <w:kern w:val="0"/>
          <w:szCs w:val="24"/>
          <w:lang w:val="zh-CN"/>
        </w:rPr>
        <w:t>让诊断结果更精准、让医疗服务更便捷，成为行业领先的医学检验集约化供应商</w:t>
      </w:r>
      <w:r>
        <w:rPr>
          <w:rFonts w:eastAsia="Times New Roman"/>
          <w:kern w:val="0"/>
          <w:szCs w:val="24"/>
          <w:lang w:val="zh-CN"/>
        </w:rPr>
        <w:t>”</w:t>
      </w:r>
      <w:r>
        <w:rPr>
          <w:rFonts w:ascii="宋体" w:hAnsi="宋体"/>
          <w:kern w:val="0"/>
          <w:szCs w:val="24"/>
          <w:lang w:val="zh-CN"/>
        </w:rPr>
        <w:t>的愿景。始终以自主研发为核心竞争力，以临床需求为导向，不断提升产品试剂、仪器、原料三大专业技术的创新能力及诊断服务水平，依托公司</w:t>
      </w:r>
      <w:r>
        <w:t>研发、生产及营销网络优势，</w:t>
      </w:r>
      <w:r>
        <w:rPr>
          <w:rFonts w:ascii="宋体" w:hAnsi="宋体"/>
          <w:kern w:val="0"/>
          <w:szCs w:val="24"/>
          <w:lang w:val="zh-CN"/>
        </w:rPr>
        <w:t>积极推进主要产品线布局，加大核心产品和新产品的市场推广力度和渠道建设，使其成为公司新的业绩增长点；</w:t>
      </w:r>
      <w:r>
        <w:t>同时不断提升体外诊断服务能力和开拓新的体外诊断项目</w:t>
      </w:r>
      <w:r>
        <w:rPr>
          <w:rFonts w:ascii="宋体" w:hAnsi="宋体"/>
          <w:kern w:val="0"/>
          <w:szCs w:val="24"/>
          <w:lang w:val="zh-CN"/>
        </w:rPr>
        <w:t>，全面推动公司体外诊断产品与诊断服务的共同发展，</w:t>
      </w:r>
      <w:r>
        <w:rPr>
          <w:rFonts w:ascii="宋体" w:hAnsi="Calibri"/>
          <w:kern w:val="0"/>
          <w:szCs w:val="24"/>
        </w:rPr>
        <w:t>不断提升公司在IVD行业的地位和影响力，实现公司可持续发展。</w:t>
      </w:r>
    </w:p>
    <w:p>
      <w:pPr>
        <w:autoSpaceDE w:val="0"/>
        <w:autoSpaceDN w:val="0"/>
        <w:adjustRightInd w:val="0"/>
        <w:spacing w:before="0" w:after="0"/>
        <w:jc w:val="left"/>
        <w:rPr>
          <w:rFonts w:eastAsia="Times New Roman"/>
          <w:kern w:val="0"/>
          <w:szCs w:val="24"/>
          <w:lang w:val="zh-CN"/>
        </w:rPr>
      </w:pPr>
      <w:r>
        <w:rPr>
          <w:rFonts w:ascii="宋体" w:hAnsi="宋体"/>
          <w:kern w:val="0"/>
          <w:szCs w:val="24"/>
          <w:lang w:val="zh-CN"/>
        </w:rPr>
        <w:t>（三）</w:t>
      </w:r>
      <w:r>
        <w:rPr>
          <w:rFonts w:eastAsia="Times New Roman"/>
          <w:kern w:val="0"/>
          <w:szCs w:val="24"/>
          <w:lang w:val="zh-CN"/>
        </w:rPr>
        <w:t>2020</w:t>
      </w:r>
      <w:r>
        <w:rPr>
          <w:rFonts w:ascii="宋体" w:hAnsi="宋体"/>
          <w:kern w:val="0"/>
          <w:szCs w:val="24"/>
          <w:lang w:val="zh-CN"/>
        </w:rPr>
        <w:t>年主要战略举措</w:t>
      </w:r>
    </w:p>
    <w:p>
      <w:pPr>
        <w:autoSpaceDE w:val="0"/>
        <w:autoSpaceDN w:val="0"/>
        <w:adjustRightInd w:val="0"/>
        <w:ind w:firstLine="360"/>
        <w:rPr>
          <w:rFonts w:eastAsia="Times New Roman"/>
          <w:kern w:val="0"/>
          <w:szCs w:val="24"/>
          <w:lang w:val="zh-CN"/>
        </w:rPr>
      </w:pPr>
      <w:r>
        <w:rPr>
          <w:rFonts w:eastAsia="Times New Roman"/>
          <w:kern w:val="0"/>
          <w:szCs w:val="24"/>
          <w:lang w:val="zh-CN"/>
        </w:rPr>
        <w:t>2020</w:t>
      </w:r>
      <w:r>
        <w:rPr>
          <w:rFonts w:ascii="宋体" w:hAnsi="宋体"/>
          <w:kern w:val="0"/>
          <w:szCs w:val="24"/>
          <w:lang w:val="zh-CN"/>
        </w:rPr>
        <w:t>年，公司将继续围绕公司发展战略，持续优化公司管理模式，优化业</w:t>
      </w:r>
      <w:r>
        <w:rPr>
          <w:rFonts w:hint="eastAsia" w:ascii="宋体" w:hAnsi="宋体"/>
          <w:kern w:val="0"/>
          <w:szCs w:val="24"/>
        </w:rPr>
        <w:t>务</w:t>
      </w:r>
      <w:r>
        <w:rPr>
          <w:rFonts w:ascii="宋体" w:hAnsi="宋体"/>
          <w:kern w:val="0"/>
          <w:szCs w:val="24"/>
          <w:lang w:val="zh-CN"/>
        </w:rPr>
        <w:t>、产品结构，</w:t>
      </w:r>
      <w:r>
        <w:t>创新研发技术与思路，加快新产品研发速度与注册、申报进程，积极推进新形势下营销模式的转变，强化内部管控、成本控制，优化产品线布局。一方面，</w:t>
      </w:r>
      <w:r>
        <w:rPr>
          <w:rFonts w:ascii="宋体" w:hAnsi="宋体"/>
          <w:kern w:val="0"/>
          <w:szCs w:val="24"/>
          <w:lang w:val="zh-CN"/>
        </w:rPr>
        <w:t>提高自产产品的收入</w:t>
      </w:r>
      <w:r>
        <w:rPr>
          <w:rFonts w:hint="eastAsia" w:ascii="宋体" w:hAnsi="宋体"/>
          <w:kern w:val="0"/>
          <w:szCs w:val="24"/>
          <w:lang w:val="zh-CN"/>
        </w:rPr>
        <w:t>、</w:t>
      </w:r>
      <w:r>
        <w:rPr>
          <w:rFonts w:hint="eastAsia" w:ascii="宋体" w:hAnsi="宋体"/>
          <w:kern w:val="0"/>
          <w:szCs w:val="24"/>
        </w:rPr>
        <w:t>利润</w:t>
      </w:r>
      <w:r>
        <w:rPr>
          <w:rFonts w:ascii="宋体" w:hAnsi="宋体"/>
          <w:kern w:val="0"/>
          <w:szCs w:val="24"/>
          <w:lang w:val="zh-CN"/>
        </w:rPr>
        <w:t>占比，不断提升公司的核心竞争力。随着公司高速生化分析仪、发光产品及质谱产品</w:t>
      </w:r>
      <w:r>
        <w:rPr>
          <w:rFonts w:hint="eastAsia" w:ascii="宋体" w:hAnsi="宋体"/>
          <w:kern w:val="0"/>
          <w:szCs w:val="24"/>
        </w:rPr>
        <w:t>等新产品</w:t>
      </w:r>
      <w:r>
        <w:rPr>
          <w:rFonts w:ascii="宋体" w:hAnsi="宋体"/>
          <w:kern w:val="0"/>
          <w:szCs w:val="24"/>
          <w:lang w:val="zh-CN"/>
        </w:rPr>
        <w:t>注册证</w:t>
      </w:r>
      <w:r>
        <w:rPr>
          <w:rFonts w:hint="eastAsia" w:ascii="宋体" w:hAnsi="宋体"/>
          <w:kern w:val="0"/>
          <w:szCs w:val="24"/>
        </w:rPr>
        <w:t>体系的丰富</w:t>
      </w:r>
      <w:r>
        <w:rPr>
          <w:rFonts w:ascii="宋体" w:hAnsi="宋体"/>
          <w:kern w:val="0"/>
          <w:szCs w:val="24"/>
          <w:lang w:val="zh-CN"/>
        </w:rPr>
        <w:t>，公司将加大</w:t>
      </w:r>
      <w:r>
        <w:rPr>
          <w:rFonts w:hint="eastAsia" w:ascii="宋体" w:hAnsi="宋体"/>
          <w:kern w:val="0"/>
          <w:szCs w:val="24"/>
        </w:rPr>
        <w:t>国内外</w:t>
      </w:r>
      <w:r>
        <w:rPr>
          <w:rFonts w:ascii="宋体" w:hAnsi="宋体"/>
          <w:kern w:val="0"/>
          <w:szCs w:val="24"/>
          <w:lang w:val="zh-CN"/>
        </w:rPr>
        <w:t>市场推广力度，使其为公司发展提供驱动力和新的业绩增长点；同时，在已取得VAP血脂检测仪器及试剂产品注册证基础上，加快美国子公司伯明翰美康拥有的核心技术VLP血脂诊断技术在国内的注册及产业化进程，使其成为公司另一个新的业绩增长点。另一方面，全面提升区域医学检验共享中心专业技术能力、管理水平与服务品质，</w:t>
      </w:r>
      <w:r>
        <w:t>抓住体外诊断技术快速发展的重要战略机遇，</w:t>
      </w:r>
      <w:r>
        <w:rPr>
          <w:rFonts w:hint="eastAsia" w:ascii="宋体" w:hAnsi="宋体"/>
          <w:kern w:val="0"/>
          <w:szCs w:val="24"/>
        </w:rPr>
        <w:t>优化市场布局，提升经营绩效，</w:t>
      </w:r>
      <w:r>
        <w:t>实现公司可持续发展。</w:t>
      </w:r>
    </w:p>
    <w:p>
      <w:pPr>
        <w:autoSpaceDE w:val="0"/>
        <w:autoSpaceDN w:val="0"/>
        <w:adjustRightInd w:val="0"/>
        <w:rPr>
          <w:rFonts w:eastAsia="Times New Roman"/>
          <w:kern w:val="0"/>
          <w:szCs w:val="24"/>
          <w:lang w:val="zh-CN"/>
        </w:rPr>
      </w:pPr>
      <w:r>
        <w:rPr>
          <w:rFonts w:hint="eastAsia"/>
          <w:color w:val="000000"/>
          <w:kern w:val="0"/>
        </w:rPr>
        <w:t>1</w:t>
      </w:r>
      <w:r>
        <w:rPr>
          <w:rFonts w:hint="eastAsia" w:ascii="宋体" w:cs="宋体"/>
          <w:color w:val="000000"/>
          <w:kern w:val="0"/>
        </w:rPr>
        <w:t>.</w:t>
      </w:r>
      <w:r>
        <w:rPr>
          <w:rFonts w:ascii="宋体" w:hAnsi="宋体"/>
          <w:kern w:val="0"/>
          <w:szCs w:val="24"/>
          <w:lang w:val="zh-CN"/>
        </w:rPr>
        <w:t>加快新产品研发速度，积极推进在研项目注册及产业化</w:t>
      </w:r>
    </w:p>
    <w:p>
      <w:pPr>
        <w:autoSpaceDE w:val="0"/>
        <w:autoSpaceDN w:val="0"/>
        <w:adjustRightInd w:val="0"/>
        <w:ind w:firstLine="360"/>
        <w:rPr>
          <w:rFonts w:eastAsia="Times New Roman"/>
          <w:kern w:val="0"/>
          <w:szCs w:val="24"/>
          <w:lang w:val="zh-CN"/>
        </w:rPr>
      </w:pPr>
      <w:r>
        <w:rPr>
          <w:rFonts w:ascii="宋体" w:hAnsi="宋体" w:cs="宋体"/>
          <w:kern w:val="0"/>
          <w:szCs w:val="24"/>
          <w:lang w:val="zh-CN"/>
        </w:rPr>
        <w:t>紧跟体外诊断产品研发的趋势，以临床需求为导向，逐步完善公司研发、创新体制建设，加强公司产学研密切合作，提高公司研发技术的创新能力与市场竞争力；深入研究国家相关行业政策，尽量缩短产品研发、申报周期，加快新产品研发及注册工作。</w:t>
      </w:r>
      <w:r>
        <w:rPr>
          <w:rFonts w:eastAsia="Times New Roman"/>
          <w:kern w:val="0"/>
          <w:szCs w:val="24"/>
          <w:lang w:val="zh-CN"/>
        </w:rPr>
        <w:t xml:space="preserve"> </w:t>
      </w:r>
    </w:p>
    <w:p>
      <w:pPr>
        <w:autoSpaceDE w:val="0"/>
        <w:autoSpaceDN w:val="0"/>
        <w:adjustRightInd w:val="0"/>
        <w:ind w:firstLine="360"/>
        <w:rPr>
          <w:rFonts w:eastAsia="Times New Roman"/>
          <w:kern w:val="0"/>
          <w:szCs w:val="24"/>
          <w:lang w:val="zh-CN"/>
        </w:rPr>
      </w:pPr>
      <w:r>
        <w:rPr>
          <w:rFonts w:eastAsia="Times New Roman"/>
          <w:kern w:val="0"/>
          <w:szCs w:val="24"/>
          <w:lang w:val="zh-CN"/>
        </w:rPr>
        <w:t>2020</w:t>
      </w:r>
      <w:r>
        <w:rPr>
          <w:rFonts w:ascii="宋体" w:hAnsi="宋体" w:cs="宋体"/>
          <w:kern w:val="0"/>
          <w:szCs w:val="24"/>
          <w:lang w:val="zh-CN"/>
        </w:rPr>
        <w:t>年度，公司对研发组织架构进一步优化，</w:t>
      </w:r>
      <w:r>
        <w:rPr>
          <w:rFonts w:ascii="宋体" w:hAnsi="宋体"/>
          <w:kern w:val="0"/>
          <w:szCs w:val="24"/>
          <w:lang w:val="zh-CN"/>
        </w:rPr>
        <w:t>不断推进技术更新升级，巩固公司在生化产品领域的领先优势的同时，</w:t>
      </w:r>
      <w:r>
        <w:rPr>
          <w:rFonts w:ascii="宋体" w:cs="宋体"/>
          <w:color w:val="000000"/>
          <w:kern w:val="0"/>
        </w:rPr>
        <w:t>加快化学发光系列产品、血细胞系列产品、</w:t>
      </w:r>
      <w:r>
        <w:rPr>
          <w:color w:val="000000"/>
          <w:kern w:val="0"/>
        </w:rPr>
        <w:t>VLP血脂分型系列产品</w:t>
      </w:r>
      <w:r>
        <w:rPr>
          <w:rFonts w:ascii="宋体" w:cs="宋体"/>
          <w:color w:val="000000"/>
          <w:kern w:val="0"/>
        </w:rPr>
        <w:t>、质谱系列产品、分子诊断系列产品等新产品的研发效率，</w:t>
      </w:r>
      <w:r>
        <w:rPr>
          <w:rFonts w:ascii="宋体" w:hAnsi="宋体"/>
          <w:kern w:val="0"/>
          <w:szCs w:val="24"/>
          <w:lang w:val="zh-CN"/>
        </w:rPr>
        <w:t>加快上述系列新产品注册的进度</w:t>
      </w:r>
      <w:r>
        <w:rPr>
          <w:rFonts w:hint="eastAsia" w:ascii="宋体" w:hAnsi="宋体"/>
          <w:kern w:val="0"/>
          <w:szCs w:val="24"/>
        </w:rPr>
        <w:t>，</w:t>
      </w:r>
      <w:r>
        <w:rPr>
          <w:rFonts w:ascii="宋体" w:hAnsi="宋体"/>
          <w:kern w:val="0"/>
          <w:szCs w:val="24"/>
          <w:lang w:val="zh-CN"/>
        </w:rPr>
        <w:t>以丰富的产品线支持销售业绩快速增长。</w:t>
      </w:r>
      <w:r>
        <w:rPr>
          <w:rFonts w:eastAsia="Times New Roman"/>
          <w:kern w:val="0"/>
          <w:szCs w:val="24"/>
          <w:lang w:val="zh-CN"/>
        </w:rPr>
        <w:t xml:space="preserve"> </w:t>
      </w:r>
    </w:p>
    <w:p>
      <w:pPr>
        <w:autoSpaceDE w:val="0"/>
        <w:autoSpaceDN w:val="0"/>
        <w:adjustRightInd w:val="0"/>
        <w:rPr>
          <w:rFonts w:ascii="宋体"/>
          <w:kern w:val="0"/>
          <w:szCs w:val="24"/>
          <w:lang w:val="zh-CN"/>
        </w:rPr>
      </w:pPr>
      <w:r>
        <w:rPr>
          <w:rFonts w:hint="eastAsia" w:ascii="宋体"/>
          <w:kern w:val="0"/>
          <w:szCs w:val="24"/>
        </w:rPr>
        <w:t>2</w:t>
      </w:r>
      <w:r>
        <w:rPr>
          <w:rFonts w:ascii="宋体"/>
          <w:kern w:val="0"/>
          <w:szCs w:val="24"/>
          <w:lang w:val="zh-CN"/>
        </w:rPr>
        <w:t>．按产品线组建销售团队，优化完善营销体系</w:t>
      </w:r>
    </w:p>
    <w:p>
      <w:pPr>
        <w:autoSpaceDE w:val="0"/>
        <w:autoSpaceDN w:val="0"/>
        <w:adjustRightInd w:val="0"/>
        <w:ind w:firstLine="420"/>
        <w:rPr>
          <w:rFonts w:ascii="宋体" w:hAnsi="宋体"/>
          <w:kern w:val="0"/>
          <w:szCs w:val="24"/>
          <w:lang w:val="zh-CN"/>
        </w:rPr>
      </w:pPr>
      <w:r>
        <w:rPr>
          <w:rFonts w:eastAsia="Times New Roman"/>
          <w:kern w:val="0"/>
          <w:szCs w:val="24"/>
          <w:lang w:val="zh-CN"/>
        </w:rPr>
        <w:t>“以</w:t>
      </w:r>
      <w:r>
        <w:rPr>
          <w:rFonts w:ascii="宋体" w:hAnsi="宋体"/>
          <w:kern w:val="0"/>
          <w:szCs w:val="24"/>
          <w:lang w:val="zh-CN"/>
        </w:rPr>
        <w:t>诊断仪器为引擎，诊断试剂</w:t>
      </w:r>
      <w:r>
        <w:rPr>
          <w:rFonts w:eastAsia="Times New Roman"/>
          <w:kern w:val="0"/>
          <w:szCs w:val="24"/>
          <w:lang w:val="zh-CN"/>
        </w:rPr>
        <w:t>+</w:t>
      </w:r>
      <w:r>
        <w:rPr>
          <w:rFonts w:ascii="宋体" w:hAnsi="宋体"/>
          <w:kern w:val="0"/>
          <w:szCs w:val="24"/>
          <w:lang w:val="zh-CN"/>
        </w:rPr>
        <w:t>诊断仪器</w:t>
      </w:r>
      <w:r>
        <w:rPr>
          <w:rFonts w:eastAsia="Times New Roman"/>
          <w:kern w:val="0"/>
          <w:szCs w:val="24"/>
          <w:lang w:val="zh-CN"/>
        </w:rPr>
        <w:t>”</w:t>
      </w:r>
      <w:r>
        <w:rPr>
          <w:rFonts w:ascii="宋体" w:hAnsi="宋体"/>
          <w:kern w:val="0"/>
          <w:szCs w:val="24"/>
          <w:lang w:val="zh-CN"/>
        </w:rPr>
        <w:t>协同发展，整合仪器销售团队，以自产产品为核心，加快终端客户仪器装机速度；加大化学发光产品的推广力度，推进自产化学发光产品市场化，同时加强血细胞、</w:t>
      </w:r>
      <w:r>
        <w:rPr>
          <w:rFonts w:eastAsia="Times New Roman"/>
          <w:kern w:val="0"/>
          <w:szCs w:val="24"/>
          <w:lang w:val="zh-CN"/>
        </w:rPr>
        <w:t>POCT</w:t>
      </w:r>
      <w:r>
        <w:rPr>
          <w:rFonts w:ascii="宋体" w:hAnsi="宋体"/>
          <w:kern w:val="0"/>
          <w:szCs w:val="24"/>
          <w:lang w:val="zh-CN"/>
        </w:rPr>
        <w:t>、质谱系列产品线营销团队的建设，通过调整激励和考核政策，打造专业、稳定、高效的营销队伍，并不断拓宽代理渠道，加大学术推广力度，</w:t>
      </w:r>
      <w:r>
        <w:t>在相关细分市场不断强化自己的品牌影响力，</w:t>
      </w:r>
      <w:r>
        <w:rPr>
          <w:rFonts w:ascii="宋体" w:hAnsi="宋体"/>
          <w:kern w:val="0"/>
          <w:szCs w:val="24"/>
          <w:lang w:val="zh-CN"/>
        </w:rPr>
        <w:t>实现以上产品收入及市场份额快速提升。</w:t>
      </w:r>
    </w:p>
    <w:p>
      <w:pPr>
        <w:autoSpaceDE w:val="0"/>
        <w:autoSpaceDN w:val="0"/>
        <w:adjustRightInd w:val="0"/>
        <w:ind w:firstLine="420"/>
        <w:rPr>
          <w:rFonts w:ascii="宋体" w:hAnsi="宋体"/>
          <w:kern w:val="0"/>
          <w:szCs w:val="24"/>
        </w:rPr>
      </w:pPr>
      <w:r>
        <w:rPr>
          <w:rFonts w:hint="eastAsia" w:ascii="宋体" w:hAnsi="宋体"/>
          <w:kern w:val="0"/>
          <w:szCs w:val="24"/>
        </w:rPr>
        <w:t>抓住新冠疫情防治期间，海外市场对中国体外诊断产品需求明显上升的机会，加快拓展海外市场。</w:t>
      </w:r>
    </w:p>
    <w:p>
      <w:pPr>
        <w:autoSpaceDE w:val="0"/>
        <w:autoSpaceDN w:val="0"/>
        <w:adjustRightInd w:val="0"/>
        <w:rPr>
          <w:rFonts w:eastAsia="Times New Roman"/>
          <w:kern w:val="0"/>
          <w:szCs w:val="24"/>
          <w:lang w:val="zh-CN"/>
        </w:rPr>
      </w:pPr>
      <w:r>
        <w:rPr>
          <w:rFonts w:hint="eastAsia" w:ascii="宋体" w:hAnsi="宋体"/>
          <w:kern w:val="0"/>
          <w:szCs w:val="24"/>
        </w:rPr>
        <w:t>3</w:t>
      </w:r>
      <w:r>
        <w:rPr>
          <w:rFonts w:ascii="宋体"/>
          <w:kern w:val="0"/>
          <w:szCs w:val="24"/>
          <w:lang w:val="zh-CN"/>
        </w:rPr>
        <w:t>.积极</w:t>
      </w:r>
      <w:r>
        <w:rPr>
          <w:rFonts w:ascii="宋体" w:hAnsi="宋体"/>
          <w:kern w:val="0"/>
          <w:szCs w:val="24"/>
          <w:lang w:val="zh-CN"/>
        </w:rPr>
        <w:t>推进</w:t>
      </w:r>
      <w:r>
        <w:rPr>
          <w:rFonts w:eastAsia="Times New Roman"/>
          <w:kern w:val="0"/>
          <w:szCs w:val="24"/>
          <w:lang w:val="zh-CN"/>
        </w:rPr>
        <w:t>VAP</w:t>
      </w:r>
      <w:r>
        <w:rPr>
          <w:rFonts w:ascii="宋体" w:hAnsi="宋体"/>
          <w:kern w:val="0"/>
          <w:szCs w:val="24"/>
          <w:lang w:val="zh-CN"/>
        </w:rPr>
        <w:t>和</w:t>
      </w:r>
      <w:r>
        <w:rPr>
          <w:rFonts w:eastAsia="Times New Roman"/>
          <w:kern w:val="0"/>
          <w:szCs w:val="24"/>
          <w:lang w:val="zh-CN"/>
        </w:rPr>
        <w:t>VLP</w:t>
      </w:r>
      <w:r>
        <w:rPr>
          <w:rFonts w:ascii="宋体" w:hAnsi="宋体"/>
          <w:kern w:val="0"/>
          <w:szCs w:val="24"/>
          <w:lang w:val="zh-CN"/>
        </w:rPr>
        <w:t>血脂诊断技术产业化和市场推广</w:t>
      </w:r>
    </w:p>
    <w:p>
      <w:pPr>
        <w:autoSpaceDE w:val="0"/>
        <w:autoSpaceDN w:val="0"/>
        <w:adjustRightInd w:val="0"/>
        <w:ind w:firstLine="420"/>
        <w:rPr>
          <w:rFonts w:eastAsia="Times New Roman"/>
          <w:kern w:val="0"/>
          <w:szCs w:val="24"/>
          <w:lang w:val="zh-CN"/>
        </w:rPr>
      </w:pPr>
      <w:r>
        <w:rPr>
          <w:rFonts w:ascii="宋体" w:hAnsi="宋体"/>
          <w:kern w:val="0"/>
          <w:szCs w:val="24"/>
          <w:lang w:val="zh-CN"/>
        </w:rPr>
        <w:t>积极开展美国子公司伯明翰美康拥有的核心技术</w:t>
      </w:r>
      <w:bookmarkStart w:id="5" w:name="_Hlk38701416"/>
      <w:r>
        <w:rPr>
          <w:rFonts w:eastAsia="Times New Roman"/>
          <w:kern w:val="0"/>
          <w:szCs w:val="24"/>
          <w:lang w:val="zh-CN"/>
        </w:rPr>
        <w:t>VAP</w:t>
      </w:r>
      <w:bookmarkEnd w:id="5"/>
      <w:r>
        <w:rPr>
          <w:rFonts w:ascii="宋体" w:hAnsi="宋体"/>
          <w:kern w:val="0"/>
          <w:szCs w:val="24"/>
          <w:lang w:val="zh-CN"/>
        </w:rPr>
        <w:t>和</w:t>
      </w:r>
      <w:bookmarkStart w:id="6" w:name="_Hlk38701476"/>
      <w:r>
        <w:rPr>
          <w:rFonts w:eastAsia="Times New Roman"/>
          <w:kern w:val="0"/>
          <w:szCs w:val="24"/>
          <w:lang w:val="zh-CN"/>
        </w:rPr>
        <w:t>VLP</w:t>
      </w:r>
      <w:r>
        <w:rPr>
          <w:rFonts w:ascii="宋体" w:hAnsi="宋体"/>
          <w:kern w:val="0"/>
          <w:szCs w:val="24"/>
          <w:lang w:val="zh-CN"/>
        </w:rPr>
        <w:t>血脂诊断</w:t>
      </w:r>
      <w:bookmarkEnd w:id="6"/>
      <w:r>
        <w:rPr>
          <w:rFonts w:ascii="宋体" w:hAnsi="宋体"/>
          <w:kern w:val="0"/>
          <w:szCs w:val="24"/>
          <w:lang w:val="zh-CN"/>
        </w:rPr>
        <w:t>技术在国内市场的本土化推广，加快推进已取得注册证</w:t>
      </w:r>
      <w:r>
        <w:rPr>
          <w:rFonts w:eastAsia="Times New Roman"/>
          <w:kern w:val="0"/>
          <w:szCs w:val="24"/>
          <w:lang w:val="zh-CN"/>
        </w:rPr>
        <w:t>VAP</w:t>
      </w:r>
      <w:r>
        <w:rPr>
          <w:rFonts w:ascii="宋体" w:hAnsi="宋体" w:cs="宋体"/>
          <w:kern w:val="0"/>
          <w:szCs w:val="24"/>
          <w:lang w:val="zh-CN"/>
        </w:rPr>
        <w:t>血脂诊断产品的产业化和市场推广，</w:t>
      </w:r>
      <w:r>
        <w:rPr>
          <w:rFonts w:ascii="宋体" w:hAnsi="宋体"/>
          <w:kern w:val="0"/>
          <w:szCs w:val="24"/>
          <w:lang w:val="zh-CN"/>
        </w:rPr>
        <w:t>加快</w:t>
      </w:r>
      <w:r>
        <w:rPr>
          <w:rFonts w:eastAsia="Times New Roman"/>
          <w:kern w:val="0"/>
          <w:szCs w:val="24"/>
          <w:lang w:val="zh-CN"/>
        </w:rPr>
        <w:t>VLP</w:t>
      </w:r>
      <w:r>
        <w:rPr>
          <w:rFonts w:ascii="宋体" w:hAnsi="宋体"/>
          <w:kern w:val="0"/>
          <w:szCs w:val="24"/>
          <w:lang w:val="zh-CN"/>
        </w:rPr>
        <w:t>血脂诊断产品的注册进度，以期尽快放量，成为公司业绩新的增长点。</w:t>
      </w:r>
    </w:p>
    <w:p>
      <w:pPr>
        <w:autoSpaceDE w:val="0"/>
        <w:autoSpaceDN w:val="0"/>
        <w:adjustRightInd w:val="0"/>
        <w:rPr>
          <w:rFonts w:eastAsia="Times New Roman"/>
          <w:kern w:val="0"/>
          <w:szCs w:val="24"/>
          <w:lang w:val="zh-CN"/>
        </w:rPr>
      </w:pPr>
      <w:r>
        <w:rPr>
          <w:rFonts w:hint="eastAsia" w:ascii="宋体" w:hAnsi="宋体"/>
          <w:kern w:val="0"/>
          <w:szCs w:val="24"/>
        </w:rPr>
        <w:t>4</w:t>
      </w:r>
      <w:r>
        <w:rPr>
          <w:rFonts w:ascii="宋体"/>
          <w:kern w:val="0"/>
          <w:szCs w:val="24"/>
          <w:lang w:val="zh-CN"/>
        </w:rPr>
        <w:t>.全面提升和</w:t>
      </w:r>
      <w:r>
        <w:rPr>
          <w:rFonts w:ascii="宋体" w:hAnsi="宋体"/>
          <w:kern w:val="0"/>
          <w:szCs w:val="24"/>
          <w:lang w:val="zh-CN"/>
        </w:rPr>
        <w:t>优化区</w:t>
      </w:r>
      <w:bookmarkStart w:id="7" w:name="_Hlk38702876"/>
      <w:r>
        <w:rPr>
          <w:rFonts w:ascii="宋体" w:hAnsi="宋体"/>
          <w:kern w:val="0"/>
          <w:szCs w:val="24"/>
          <w:lang w:val="zh-CN"/>
        </w:rPr>
        <w:t>域医学检验共享中心</w:t>
      </w:r>
    </w:p>
    <w:bookmarkEnd w:id="7"/>
    <w:p>
      <w:pPr>
        <w:autoSpaceDE w:val="0"/>
        <w:autoSpaceDN w:val="0"/>
        <w:adjustRightInd w:val="0"/>
        <w:ind w:firstLine="420"/>
        <w:rPr>
          <w:rFonts w:ascii="宋体" w:hAnsi="宋体"/>
          <w:kern w:val="0"/>
          <w:szCs w:val="24"/>
          <w:lang w:val="zh-CN"/>
        </w:rPr>
      </w:pPr>
      <w:r>
        <w:rPr>
          <w:rFonts w:ascii="宋体" w:hAnsi="宋体"/>
          <w:kern w:val="0"/>
          <w:szCs w:val="24"/>
          <w:lang w:val="zh-CN"/>
        </w:rPr>
        <w:t>2020年，以技术创新构筑企业核心竞争力，重点打造VAP&amp;VLP血脂诊断+临床质谱两大高端技术平台，提升其相应医学与学术服务能力；加快重点学科建设，以临床疾病为视角，</w:t>
      </w:r>
      <w:r>
        <w:rPr>
          <w:rFonts w:hint="eastAsia" w:ascii="宋体" w:hAnsi="宋体"/>
          <w:kern w:val="0"/>
          <w:szCs w:val="24"/>
        </w:rPr>
        <w:t>强化</w:t>
      </w:r>
      <w:r>
        <w:rPr>
          <w:rFonts w:ascii="宋体" w:hAnsi="宋体"/>
          <w:kern w:val="0"/>
          <w:szCs w:val="24"/>
          <w:lang w:val="zh-CN"/>
        </w:rPr>
        <w:t>营销力变革，推动特检项目的上量；</w:t>
      </w:r>
      <w:r>
        <w:rPr>
          <w:rFonts w:hint="eastAsia" w:ascii="宋体" w:hAnsi="宋体"/>
          <w:kern w:val="0"/>
          <w:szCs w:val="24"/>
        </w:rPr>
        <w:t>积极承接各中心所在地新冠检测业务；</w:t>
      </w:r>
      <w:r>
        <w:rPr>
          <w:rFonts w:ascii="宋体" w:hAnsi="宋体"/>
          <w:kern w:val="0"/>
          <w:szCs w:val="24"/>
          <w:lang w:val="zh-CN"/>
        </w:rPr>
        <w:t>完善区域医学检验共享中心合作共建行业模式的顶层设计和精益运营能力，通过技术创新、高效运营、品质服务提升商业价值，实现公司产品与服务有效融合并充分发挥协同效应。</w:t>
      </w:r>
    </w:p>
    <w:p>
      <w:pPr>
        <w:autoSpaceDE w:val="0"/>
        <w:autoSpaceDN w:val="0"/>
        <w:adjustRightInd w:val="0"/>
        <w:spacing w:before="0" w:after="0"/>
        <w:jc w:val="left"/>
      </w:pPr>
      <w:r>
        <w:rPr>
          <w:rFonts w:hint="eastAsia" w:ascii="宋体" w:hAnsi="宋体"/>
          <w:kern w:val="0"/>
          <w:szCs w:val="24"/>
        </w:rPr>
        <w:t>5.</w:t>
      </w:r>
      <w:r>
        <w:t>加强生产及质量内部管控，提高效率</w:t>
      </w:r>
    </w:p>
    <w:p>
      <w:pPr>
        <w:autoSpaceDE w:val="0"/>
        <w:autoSpaceDN w:val="0"/>
        <w:adjustRightInd w:val="0"/>
        <w:ind w:firstLine="420"/>
        <w:rPr>
          <w:rFonts w:ascii="宋体" w:hAnsi="宋体"/>
          <w:kern w:val="0"/>
          <w:szCs w:val="24"/>
          <w:lang w:val="zh-CN"/>
        </w:rPr>
      </w:pPr>
      <w:r>
        <w:rPr>
          <w:rFonts w:ascii="宋体" w:hAnsi="宋体"/>
          <w:kern w:val="0"/>
          <w:szCs w:val="24"/>
          <w:lang w:val="zh-CN"/>
        </w:rPr>
        <w:t xml:space="preserve">生产上，进一步加强精益管理和质量管控，强化全员质量意识，完善质量监测体系，提高质量管理人员现场监管能力，确保产品质量；加强生产成本管控、不断优化生产计划，提高效率，满足市场需求。积极推进募投项目建设，争取尽快达产。结合公司在研产品的情况积极进行生产线规划、建设，满足公司日益增长的新产品及市场需求。 </w:t>
      </w:r>
    </w:p>
    <w:p>
      <w:pPr>
        <w:autoSpaceDE w:val="0"/>
        <w:autoSpaceDN w:val="0"/>
        <w:adjustRightInd w:val="0"/>
        <w:spacing w:before="0" w:after="0"/>
        <w:jc w:val="left"/>
        <w:rPr>
          <w:rFonts w:ascii="宋体" w:cs="宋体"/>
          <w:color w:val="000000"/>
          <w:kern w:val="0"/>
        </w:rPr>
      </w:pPr>
      <w:r>
        <w:rPr>
          <w:rFonts w:hint="eastAsia"/>
          <w:color w:val="000000"/>
          <w:kern w:val="0"/>
        </w:rPr>
        <w:t>6</w:t>
      </w:r>
      <w:r>
        <w:rPr>
          <w:rFonts w:hint="eastAsia" w:ascii="宋体" w:cs="宋体"/>
          <w:color w:val="000000"/>
          <w:kern w:val="0"/>
        </w:rPr>
        <w:t>.</w:t>
      </w:r>
      <w:r>
        <w:rPr>
          <w:rFonts w:ascii="宋体" w:cs="宋体"/>
          <w:color w:val="000000"/>
          <w:kern w:val="0"/>
        </w:rPr>
        <w:t xml:space="preserve">规范公司治理结构，持续强化内部控制 </w:t>
      </w:r>
    </w:p>
    <w:p>
      <w:pPr>
        <w:autoSpaceDE w:val="0"/>
        <w:autoSpaceDN w:val="0"/>
        <w:adjustRightInd w:val="0"/>
        <w:ind w:firstLine="420"/>
        <w:rPr>
          <w:rFonts w:ascii="宋体" w:hAnsi="宋体"/>
          <w:kern w:val="0"/>
          <w:szCs w:val="24"/>
          <w:lang w:val="zh-CN"/>
        </w:rPr>
      </w:pPr>
      <w:r>
        <w:rPr>
          <w:rFonts w:ascii="宋体" w:hAnsi="宋体"/>
          <w:kern w:val="0"/>
          <w:szCs w:val="24"/>
          <w:lang w:val="zh-CN"/>
        </w:rPr>
        <w:t xml:space="preserve">加强公司内部控制，优化提升信息化管理系统，建立健全与公司相适应的经营管理体制，完善公司治理结构，优化费用预算管理制度，科学地平衡业务拓展与成本费用控制的关系，提高费用使用的有效性和合理性；强化公司薪酬结构与激励机制，完善人才培养及选拔机制，持续激发员工积极性与创造性，增强公司内在驱动力。加强子公司管理，积极稳妥地推进子公司业务整合工作，提升子公司的盈利能力。 </w:t>
      </w:r>
    </w:p>
    <w:p>
      <w:pPr>
        <w:autoSpaceDE w:val="0"/>
        <w:autoSpaceDN w:val="0"/>
        <w:adjustRightInd w:val="0"/>
        <w:spacing w:before="0" w:after="0"/>
        <w:jc w:val="left"/>
        <w:rPr>
          <w:rFonts w:eastAsia="Times New Roman"/>
          <w:kern w:val="0"/>
          <w:szCs w:val="24"/>
          <w:lang w:val="zh-CN"/>
        </w:rPr>
      </w:pPr>
      <w:r>
        <w:rPr>
          <w:rFonts w:ascii="宋体" w:hAnsi="宋体"/>
          <w:kern w:val="0"/>
          <w:szCs w:val="24"/>
          <w:lang w:val="zh-CN"/>
        </w:rPr>
        <w:t>（四）公司所面临的风险</w:t>
      </w:r>
    </w:p>
    <w:p>
      <w:pPr>
        <w:autoSpaceDE w:val="0"/>
        <w:autoSpaceDN w:val="0"/>
        <w:adjustRightInd w:val="0"/>
        <w:spacing w:before="0" w:after="0"/>
        <w:jc w:val="left"/>
        <w:rPr>
          <w:rFonts w:eastAsia="Times New Roman"/>
          <w:kern w:val="0"/>
          <w:szCs w:val="24"/>
          <w:lang w:val="zh-CN"/>
        </w:rPr>
      </w:pPr>
      <w:r>
        <w:rPr>
          <w:rFonts w:eastAsia="Times New Roman"/>
          <w:kern w:val="0"/>
          <w:szCs w:val="24"/>
          <w:lang w:val="zh-CN"/>
        </w:rPr>
        <w:t>1.</w:t>
      </w:r>
      <w:r>
        <w:rPr>
          <w:rFonts w:ascii="宋体" w:hAnsi="宋体"/>
          <w:kern w:val="0"/>
          <w:szCs w:val="24"/>
          <w:lang w:val="zh-CN"/>
        </w:rPr>
        <w:t>国家政策变化的风险</w:t>
      </w:r>
    </w:p>
    <w:p>
      <w:pPr>
        <w:autoSpaceDE w:val="0"/>
        <w:autoSpaceDN w:val="0"/>
        <w:adjustRightInd w:val="0"/>
        <w:spacing w:before="0" w:after="0"/>
        <w:ind w:firstLine="420"/>
        <w:jc w:val="left"/>
      </w:pPr>
      <w:r>
        <w:t>体外诊断行业作为医疗大健康产业中最重要的细分行业之一，国家实行了严格的分类管理和生产许可制度，随着国家医药卫生体制改革并逐渐深入，国家监管部门推出了一系列改革措施，并快速落地实施，如“分级诊疗”、“两票制”、“医保控费”、“阳光采购”等，我国医药卫生市场的发展面临着新的变化。如公司不能在经营上及时调整以适应医药卫生体制改革带来的市场规则以及行业监管政策的变化，将会给公司的经营业绩产生不利影响。</w:t>
      </w:r>
    </w:p>
    <w:p>
      <w:pPr>
        <w:autoSpaceDE w:val="0"/>
        <w:autoSpaceDN w:val="0"/>
        <w:adjustRightInd w:val="0"/>
        <w:spacing w:before="0" w:after="0"/>
        <w:ind w:firstLine="420"/>
        <w:jc w:val="left"/>
      </w:pPr>
      <w:r>
        <w:t>为此，公司管理层在始终坚持合法合规经营的前提下，将加强对国家政策导向及行业政策等环境变化的应对能力，及时掌握政策动态并积极落实，不断规范内部管理、调整及改进生产经营策略，不断完善研发、生产、销售等各个环节监控体系，推进学术推广力度和市场开拓强度，积极采取应对措施以控制和降低公司生产经营风险，规避政策变化带来的风险。</w:t>
      </w:r>
    </w:p>
    <w:p>
      <w:pPr>
        <w:autoSpaceDE w:val="0"/>
        <w:autoSpaceDN w:val="0"/>
        <w:adjustRightInd w:val="0"/>
        <w:spacing w:before="0" w:after="0"/>
        <w:jc w:val="left"/>
        <w:rPr>
          <w:rFonts w:eastAsiaTheme="minorEastAsia"/>
          <w:kern w:val="0"/>
          <w:szCs w:val="24"/>
          <w:lang w:val="zh-CN"/>
        </w:rPr>
      </w:pPr>
      <w:r>
        <w:rPr>
          <w:rFonts w:eastAsia="Times New Roman"/>
          <w:kern w:val="0"/>
          <w:szCs w:val="24"/>
          <w:lang w:val="zh-CN"/>
        </w:rPr>
        <w:t>2.</w:t>
      </w:r>
      <w:r>
        <w:rPr>
          <w:rFonts w:ascii="宋体" w:hAnsi="宋体"/>
          <w:kern w:val="0"/>
          <w:szCs w:val="24"/>
          <w:lang w:val="zh-CN"/>
        </w:rPr>
        <w:t>行业竞争加剧风险</w:t>
      </w:r>
    </w:p>
    <w:p>
      <w:pPr>
        <w:autoSpaceDE w:val="0"/>
        <w:autoSpaceDN w:val="0"/>
        <w:adjustRightInd w:val="0"/>
        <w:spacing w:before="0" w:after="0"/>
        <w:ind w:firstLine="420"/>
        <w:jc w:val="left"/>
      </w:pPr>
      <w:r>
        <w:t>随着中国体外诊断行业的日渐成熟，行业竞争不断升级，已经从产品的竞争向商业模式竞争升级。体外诊断行业从单纯向客户销售产品，变为给客户提供全面的解决方案。行业竞争要素从自主产品、代理产品、服务能力、单产品的价格升级到资本、产品组织能力、综合服务能力、整体性价比。未来，公司如果不能在产品质量、品种结构、研发能力、销售与服务等方面持续提升，将导致公司竞争力下降，对公司未来业绩产生不利影响。公司持续高度关注产业布局，将在产品结构、生产能力、市场渠道、研发平台建设及诊断服务等方面实现快速提升，诊断产品和诊断服务的优势将进一步增强，不断行业地位和市场竞争力。</w:t>
      </w:r>
    </w:p>
    <w:p>
      <w:pPr>
        <w:autoSpaceDE w:val="0"/>
        <w:autoSpaceDN w:val="0"/>
        <w:adjustRightInd w:val="0"/>
        <w:spacing w:before="0" w:after="0"/>
        <w:jc w:val="left"/>
        <w:rPr>
          <w:rFonts w:eastAsia="Times New Roman"/>
          <w:kern w:val="0"/>
          <w:szCs w:val="24"/>
          <w:lang w:val="zh-CN"/>
        </w:rPr>
      </w:pPr>
      <w:bookmarkStart w:id="8" w:name="_Hlk38704591"/>
      <w:r>
        <w:rPr>
          <w:rFonts w:asciiTheme="minorEastAsia" w:hAnsiTheme="minorEastAsia" w:eastAsiaTheme="minorEastAsia"/>
          <w:kern w:val="0"/>
          <w:szCs w:val="24"/>
          <w:lang w:val="zh-CN"/>
        </w:rPr>
        <w:t>3</w:t>
      </w:r>
      <w:r>
        <w:rPr>
          <w:rFonts w:eastAsia="Times New Roman"/>
          <w:kern w:val="0"/>
          <w:szCs w:val="24"/>
          <w:lang w:val="zh-CN"/>
        </w:rPr>
        <w:t>.</w:t>
      </w:r>
      <w:r>
        <w:rPr>
          <w:rFonts w:ascii="宋体" w:hAnsi="宋体"/>
          <w:kern w:val="0"/>
          <w:szCs w:val="24"/>
          <w:lang w:val="zh-CN"/>
        </w:rPr>
        <w:t>新产品研发和技术替代风险</w:t>
      </w:r>
    </w:p>
    <w:bookmarkEnd w:id="8"/>
    <w:p>
      <w:pPr>
        <w:autoSpaceDE w:val="0"/>
        <w:autoSpaceDN w:val="0"/>
        <w:adjustRightInd w:val="0"/>
        <w:spacing w:before="0" w:after="0"/>
        <w:ind w:firstLine="420"/>
        <w:jc w:val="left"/>
        <w:rPr>
          <w:rFonts w:eastAsia="Times New Roman"/>
          <w:kern w:val="0"/>
          <w:szCs w:val="24"/>
          <w:lang w:val="zh-CN"/>
        </w:rPr>
      </w:pPr>
      <w:r>
        <w:rPr>
          <w:rFonts w:ascii="宋体" w:hAnsi="宋体"/>
          <w:kern w:val="0"/>
          <w:szCs w:val="24"/>
          <w:lang w:val="zh-CN"/>
        </w:rPr>
        <w:t>由于体外诊断行业具有科技含量高、对人员素质要求高、研发及产品注册投入大、周期较长等特点，容易受到不可预测因素的影响。此外，如果公司研发的产品市场需求有限或不被市场接受，可能导致研发投入回报不匹配，经营成本上升，对公司的盈利水平和成长也会构成不利影响。为此，公司需要通过加大研发投入、培养和引进专业人才，不断改进和提高自身科研能力，谨慎选择研发项目，优化研发格局和层次，集中力量推进重要研发项目的进度，同时通过与外部的技术交流和合作开发等形式，对新研发项目进行充分的论证，拓展研发项目，以降低目前所掌握的专有技术可能被同行业更先进的技术所代替的风险，避免由此对公司业绩增长及良好盈利能力产生不利影响。</w:t>
      </w:r>
    </w:p>
    <w:p>
      <w:pPr>
        <w:autoSpaceDE w:val="0"/>
        <w:autoSpaceDN w:val="0"/>
        <w:adjustRightInd w:val="0"/>
        <w:spacing w:before="0" w:after="0"/>
        <w:jc w:val="left"/>
        <w:rPr>
          <w:rFonts w:eastAsia="Times New Roman"/>
          <w:kern w:val="0"/>
          <w:szCs w:val="24"/>
          <w:lang w:val="zh-CN"/>
        </w:rPr>
      </w:pPr>
      <w:r>
        <w:rPr>
          <w:rFonts w:asciiTheme="minorEastAsia" w:hAnsiTheme="minorEastAsia" w:eastAsiaTheme="minorEastAsia"/>
          <w:kern w:val="0"/>
          <w:szCs w:val="24"/>
          <w:lang w:val="zh-CN"/>
        </w:rPr>
        <w:t>4</w:t>
      </w:r>
      <w:r>
        <w:rPr>
          <w:rFonts w:eastAsia="Times New Roman"/>
          <w:kern w:val="0"/>
          <w:szCs w:val="24"/>
          <w:lang w:val="zh-CN"/>
        </w:rPr>
        <w:t>.</w:t>
      </w:r>
      <w:r>
        <w:rPr>
          <w:rFonts w:ascii="宋体" w:hAnsi="宋体"/>
          <w:kern w:val="0"/>
          <w:szCs w:val="24"/>
          <w:lang w:val="zh-CN"/>
        </w:rPr>
        <w:t>核心技术人员流失的风险</w:t>
      </w:r>
    </w:p>
    <w:p>
      <w:pPr>
        <w:autoSpaceDE w:val="0"/>
        <w:autoSpaceDN w:val="0"/>
        <w:adjustRightInd w:val="0"/>
        <w:spacing w:before="0" w:after="0"/>
        <w:ind w:firstLine="420"/>
        <w:jc w:val="left"/>
        <w:rPr>
          <w:rFonts w:eastAsia="Times New Roman"/>
          <w:kern w:val="0"/>
          <w:szCs w:val="24"/>
          <w:lang w:val="zh-CN"/>
        </w:rPr>
      </w:pPr>
      <w:r>
        <w:rPr>
          <w:rFonts w:ascii="宋体" w:hAnsi="宋体"/>
          <w:kern w:val="0"/>
          <w:szCs w:val="24"/>
          <w:lang w:val="zh-CN"/>
        </w:rPr>
        <w:t>作为专业的体外诊断产业上下游一体化公司，公司拥有一支稳定、高素质、覆盖诊断领域各个学科的研发人才队伍，这是公司保持竞争优势的关键因素。随着行业竞争格局的不断演化，对研发人才的争夺必将日趋激烈，如果本公司未来不能在发展前景、薪酬、福利、工作环境等方面持续提供具有竞争力的待遇和激励机制，可能造成公司的研发人才流失且无法吸引优秀人才加入，将对公司长期发展产生不利影响。</w:t>
      </w:r>
    </w:p>
    <w:p>
      <w:pPr>
        <w:autoSpaceDE w:val="0"/>
        <w:autoSpaceDN w:val="0"/>
        <w:adjustRightInd w:val="0"/>
        <w:spacing w:before="0" w:after="0"/>
        <w:ind w:firstLine="420"/>
        <w:jc w:val="left"/>
        <w:rPr>
          <w:rFonts w:eastAsia="Times New Roman"/>
          <w:kern w:val="0"/>
          <w:szCs w:val="24"/>
          <w:lang w:val="zh-CN"/>
        </w:rPr>
      </w:pPr>
      <w:r>
        <w:rPr>
          <w:rFonts w:ascii="宋体" w:hAnsi="宋体"/>
          <w:kern w:val="0"/>
          <w:szCs w:val="24"/>
          <w:lang w:val="zh-CN"/>
        </w:rPr>
        <w:t>公司一直注重对研发人员的科学管理，将进一步完善薪酬、人才培养体系、福利与绩效考核机制，利用有效的激励机制，把关键员工的利益与公司的成长挂钩，充分调动科技人才的创新积极性，保证公司拥有一支稳定、充满活力的研发人才队伍。</w:t>
      </w:r>
    </w:p>
    <w:p>
      <w:pPr>
        <w:autoSpaceDE w:val="0"/>
        <w:autoSpaceDN w:val="0"/>
        <w:adjustRightInd w:val="0"/>
        <w:spacing w:before="0" w:after="0"/>
        <w:jc w:val="left"/>
        <w:rPr>
          <w:rFonts w:eastAsia="Times New Roman"/>
          <w:kern w:val="0"/>
          <w:szCs w:val="24"/>
          <w:lang w:val="zh-CN"/>
        </w:rPr>
      </w:pPr>
      <w:r>
        <w:rPr>
          <w:rFonts w:asciiTheme="minorEastAsia" w:hAnsiTheme="minorEastAsia" w:eastAsiaTheme="minorEastAsia"/>
          <w:kern w:val="0"/>
          <w:szCs w:val="24"/>
          <w:lang w:val="zh-CN"/>
        </w:rPr>
        <w:t>5</w:t>
      </w:r>
      <w:r>
        <w:rPr>
          <w:rFonts w:eastAsia="Times New Roman"/>
          <w:kern w:val="0"/>
          <w:szCs w:val="24"/>
          <w:lang w:val="zh-CN"/>
        </w:rPr>
        <w:t>.</w:t>
      </w:r>
      <w:r>
        <w:rPr>
          <w:rFonts w:ascii="宋体" w:hAnsi="宋体"/>
          <w:kern w:val="0"/>
          <w:szCs w:val="24"/>
          <w:lang w:val="zh-CN"/>
        </w:rPr>
        <w:t>质量控制</w:t>
      </w:r>
      <w:r>
        <w:rPr>
          <w:rFonts w:hint="eastAsia" w:ascii="宋体" w:hAnsi="宋体"/>
          <w:kern w:val="0"/>
          <w:szCs w:val="24"/>
        </w:rPr>
        <w:t>的</w:t>
      </w:r>
      <w:r>
        <w:rPr>
          <w:rFonts w:ascii="宋体" w:hAnsi="宋体"/>
          <w:kern w:val="0"/>
          <w:szCs w:val="24"/>
          <w:lang w:val="zh-CN"/>
        </w:rPr>
        <w:t>潜在风险</w:t>
      </w:r>
    </w:p>
    <w:p>
      <w:pPr>
        <w:autoSpaceDE w:val="0"/>
        <w:autoSpaceDN w:val="0"/>
        <w:adjustRightInd w:val="0"/>
        <w:spacing w:before="0" w:after="0"/>
        <w:ind w:firstLine="420"/>
        <w:jc w:val="left"/>
        <w:rPr>
          <w:rFonts w:eastAsia="Times New Roman"/>
          <w:kern w:val="0"/>
          <w:szCs w:val="24"/>
          <w:lang w:val="zh-CN"/>
        </w:rPr>
      </w:pPr>
      <w:r>
        <w:rPr>
          <w:rFonts w:ascii="宋体" w:hAnsi="宋体"/>
          <w:kern w:val="0"/>
          <w:szCs w:val="24"/>
          <w:lang w:val="zh-CN"/>
        </w:rPr>
        <w:t>在产品方面，体外诊断试剂和体外诊断仪器主要供医学诊断服务使用，直接关系到医学诊断的准确性，对产品质量有严格的要求，公司在生产、运输等方面一旦维护或操作不当，将可能导致质量事故的发生，影响公司的正常生产和经营。在诊断服务方面，影响诊断质量的主要环节包括分析前、分析中与分析后</w:t>
      </w:r>
      <w:r>
        <w:rPr>
          <w:rFonts w:hint="eastAsia" w:ascii="宋体" w:hAnsi="宋体"/>
          <w:kern w:val="0"/>
          <w:szCs w:val="24"/>
          <w:lang w:val="zh-CN"/>
        </w:rPr>
        <w:t>，</w:t>
      </w:r>
      <w:r>
        <w:rPr>
          <w:rFonts w:ascii="宋体" w:hAnsi="宋体"/>
          <w:kern w:val="0"/>
          <w:szCs w:val="24"/>
          <w:lang w:val="zh-CN"/>
        </w:rPr>
        <w:t>一旦出现诊断服务质量问题，</w:t>
      </w:r>
      <w:r>
        <w:rPr>
          <w:rFonts w:eastAsia="Times New Roman"/>
          <w:kern w:val="0"/>
          <w:szCs w:val="24"/>
          <w:lang w:val="zh-CN"/>
        </w:rPr>
        <w:t xml:space="preserve"> </w:t>
      </w:r>
      <w:r>
        <w:rPr>
          <w:rFonts w:ascii="宋体" w:hAnsi="宋体"/>
          <w:kern w:val="0"/>
          <w:szCs w:val="24"/>
          <w:lang w:val="zh-CN"/>
        </w:rPr>
        <w:t>既关系到检验结果能否真实客观地反映患者病情，使公司的公信力受到较大损害，也将对公司的正常经营造成不利影响，从而直接影响公司的品牌形象与市场竞争力。</w:t>
      </w:r>
    </w:p>
    <w:p>
      <w:pPr>
        <w:autoSpaceDE w:val="0"/>
        <w:autoSpaceDN w:val="0"/>
        <w:adjustRightInd w:val="0"/>
        <w:spacing w:before="0" w:after="0"/>
        <w:ind w:firstLine="420"/>
        <w:jc w:val="left"/>
        <w:rPr>
          <w:rFonts w:eastAsia="Times New Roman"/>
          <w:kern w:val="0"/>
          <w:szCs w:val="24"/>
          <w:lang w:val="zh-CN"/>
        </w:rPr>
      </w:pPr>
      <w:r>
        <w:rPr>
          <w:rFonts w:ascii="宋体" w:hAnsi="宋体"/>
          <w:kern w:val="0"/>
          <w:szCs w:val="24"/>
          <w:lang w:val="zh-CN"/>
        </w:rPr>
        <w:t>针对产品方面面临的风险，公司建立了基于</w:t>
      </w:r>
      <w:r>
        <w:rPr>
          <w:rFonts w:eastAsia="Times New Roman"/>
          <w:kern w:val="0"/>
          <w:szCs w:val="24"/>
          <w:lang w:val="zh-CN"/>
        </w:rPr>
        <w:t>ISO9001</w:t>
      </w:r>
      <w:r>
        <w:rPr>
          <w:rFonts w:ascii="宋体" w:hAnsi="宋体"/>
          <w:kern w:val="0"/>
          <w:szCs w:val="24"/>
          <w:lang w:val="zh-CN"/>
        </w:rPr>
        <w:t>：</w:t>
      </w:r>
      <w:r>
        <w:rPr>
          <w:rFonts w:eastAsia="Times New Roman"/>
          <w:kern w:val="0"/>
          <w:szCs w:val="24"/>
          <w:lang w:val="zh-CN"/>
        </w:rPr>
        <w:t>2008</w:t>
      </w:r>
      <w:r>
        <w:rPr>
          <w:rFonts w:ascii="宋体" w:hAnsi="宋体"/>
          <w:kern w:val="0"/>
          <w:szCs w:val="24"/>
          <w:lang w:val="zh-CN"/>
        </w:rPr>
        <w:t>及</w:t>
      </w:r>
      <w:r>
        <w:rPr>
          <w:rFonts w:eastAsia="Times New Roman"/>
          <w:kern w:val="0"/>
          <w:szCs w:val="24"/>
          <w:lang w:val="zh-CN"/>
        </w:rPr>
        <w:t>ISO13485</w:t>
      </w:r>
      <w:r>
        <w:rPr>
          <w:rFonts w:ascii="宋体" w:hAnsi="宋体"/>
          <w:kern w:val="0"/>
          <w:szCs w:val="24"/>
          <w:lang w:val="zh-CN"/>
        </w:rPr>
        <w:t>：</w:t>
      </w:r>
      <w:r>
        <w:rPr>
          <w:rFonts w:eastAsia="Times New Roman"/>
          <w:kern w:val="0"/>
          <w:szCs w:val="24"/>
          <w:lang w:val="zh-CN"/>
        </w:rPr>
        <w:t>2003</w:t>
      </w:r>
      <w:r>
        <w:rPr>
          <w:rFonts w:ascii="宋体" w:hAnsi="宋体"/>
          <w:kern w:val="0"/>
          <w:szCs w:val="24"/>
          <w:lang w:val="zh-CN"/>
        </w:rPr>
        <w:t>的质量管理体系，并通过第三方权威机构认证。公司在产品设计、原材料采购、产品生产、销售和售后服务等方面实行全方位的质量控制，针对各个环节制定了以《质量手册》为核心并以具体《设计和开发控制程序》、《采购控制程序》、《生产和服务提供的控制程序》等为支撑的完整体系，使产品从原材料进厂家及国际的质量认证认可工作。</w:t>
      </w:r>
    </w:p>
    <w:p>
      <w:pPr>
        <w:autoSpaceDE w:val="0"/>
        <w:autoSpaceDN w:val="0"/>
        <w:adjustRightInd w:val="0"/>
        <w:spacing w:before="0" w:after="0"/>
        <w:ind w:firstLine="420"/>
        <w:jc w:val="left"/>
        <w:rPr>
          <w:rFonts w:ascii="宋体" w:hAnsi="宋体"/>
          <w:kern w:val="0"/>
          <w:szCs w:val="24"/>
          <w:lang w:val="zh-CN"/>
        </w:rPr>
      </w:pPr>
      <w:r>
        <w:rPr>
          <w:rFonts w:ascii="宋体" w:hAnsi="宋体"/>
          <w:kern w:val="0"/>
          <w:szCs w:val="24"/>
          <w:lang w:val="zh-CN"/>
        </w:rPr>
        <w:t>针对诊断服务面临的风险，公司不断地完善并制订规范的诊断服务质量控制标准和全面的质量管理体系并严格执行，以实现质量目标的持续提升。一是公司投入大量资源进行体系建设、流程优化与实施质量考核机制，二是公司加强对员工的业务技能、质量管理培训，并营造追求零缺陷目标的质量文化；三是公司加强对客户端医护人员的培训，通过专题培训与学术交流等形式，努力提升客户端医护人员的质量意识。</w:t>
      </w:r>
    </w:p>
    <w:p>
      <w:pPr>
        <w:autoSpaceDE w:val="0"/>
        <w:autoSpaceDN w:val="0"/>
        <w:adjustRightInd w:val="0"/>
        <w:spacing w:before="0" w:after="0"/>
        <w:jc w:val="left"/>
        <w:rPr>
          <w:rFonts w:ascii="宋体" w:hAnsi="宋体"/>
          <w:kern w:val="0"/>
          <w:szCs w:val="24"/>
          <w:lang w:val="zh-CN"/>
        </w:rPr>
      </w:pPr>
      <w:r>
        <w:rPr>
          <w:rFonts w:ascii="宋体" w:hAnsi="宋体"/>
          <w:kern w:val="0"/>
          <w:szCs w:val="24"/>
          <w:lang w:val="zh-CN"/>
        </w:rPr>
        <w:t>6．原材料供应风险</w:t>
      </w:r>
    </w:p>
    <w:p>
      <w:pPr>
        <w:autoSpaceDE w:val="0"/>
        <w:autoSpaceDN w:val="0"/>
        <w:adjustRightInd w:val="0"/>
        <w:spacing w:before="0" w:after="0"/>
        <w:ind w:firstLine="420"/>
        <w:jc w:val="left"/>
        <w:rPr>
          <w:rFonts w:eastAsiaTheme="minorEastAsia"/>
          <w:kern w:val="0"/>
          <w:szCs w:val="24"/>
          <w:lang w:val="zh-CN"/>
        </w:rPr>
      </w:pPr>
      <w:r>
        <w:rPr>
          <w:rFonts w:ascii="宋体" w:hAnsi="宋体"/>
          <w:kern w:val="0"/>
          <w:szCs w:val="24"/>
          <w:lang w:val="zh-CN"/>
        </w:rPr>
        <w:t>体外诊断行业是一个技术水平高、知识密集、多学科交叉的行业，对生产原料的工艺技术要较高，但目前国内主要生物化学原料的研发技术和生产工艺等仍处于起步阶段，国内体外诊断试剂产品生产企业的主要原材料主要依赖进口，且这种格局仍将持续一定时间。随着国际多边贸易摩擦的发展，全球贸易受到前所未有的冲击和考验，这对公司自主产品部分原料采购及持续稳定供应造成影响，存在原材料供应短缺的风险。公司在坚持同一原料保持不唯一的供应商的同时，持续加大原材料研发的投入，不断实现自产原材料替代进口原材料，减少关键原材料的进口依赖度，不断提高原材料自给率，降低对上游原材料供应依赖进口造成的原料供应风险。</w:t>
      </w:r>
    </w:p>
    <w:p>
      <w:pPr>
        <w:pStyle w:val="13"/>
        <w:outlineLvl w:val="1"/>
        <w:rPr>
          <w:bCs w:val="0"/>
        </w:rPr>
      </w:pPr>
      <w:r>
        <w:rPr>
          <w:rFonts w:hint="eastAsia"/>
          <w:bCs w:val="0"/>
        </w:rPr>
        <w:t>十、接待调研、沟通、采访等活动登记表</w:t>
      </w:r>
    </w:p>
    <w:p>
      <w:pPr>
        <w:pStyle w:val="14"/>
        <w:outlineLvl w:val="2"/>
        <w:rPr>
          <w:bCs w:val="0"/>
          <w:szCs w:val="24"/>
        </w:rPr>
      </w:pPr>
      <w:r>
        <w:rPr>
          <w:bCs w:val="0"/>
          <w:szCs w:val="24"/>
        </w:rPr>
        <w:t>1</w:t>
      </w:r>
      <w:r>
        <w:rPr>
          <w:rFonts w:hint="eastAsia"/>
          <w:bCs w:val="0"/>
          <w:szCs w:val="24"/>
        </w:rPr>
        <w:t>、报告期内接待调研、沟通、采访等活动登记表</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tbl>
      <w:tblPr>
        <w:tblStyle w:val="9"/>
        <w:tblW w:w="0" w:type="auto"/>
        <w:tblInd w:w="28" w:type="dxa"/>
        <w:tblLayout w:type="fixed"/>
        <w:tblCellMar>
          <w:top w:w="0" w:type="dxa"/>
          <w:left w:w="28" w:type="dxa"/>
          <w:bottom w:w="0" w:type="dxa"/>
          <w:right w:w="28" w:type="dxa"/>
        </w:tblCellMar>
      </w:tblPr>
      <w:tblGrid>
        <w:gridCol w:w="2178"/>
        <w:gridCol w:w="2177"/>
        <w:gridCol w:w="2177"/>
        <w:gridCol w:w="3037"/>
      </w:tblGrid>
      <w:tr>
        <w:tc>
          <w:tcPr>
            <w:tcW w:w="217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接待时间</w:t>
            </w:r>
          </w:p>
        </w:tc>
        <w:tc>
          <w:tcPr>
            <w:tcW w:w="217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接待方式</w:t>
            </w:r>
          </w:p>
        </w:tc>
        <w:tc>
          <w:tcPr>
            <w:tcW w:w="217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接待对象类型</w:t>
            </w:r>
          </w:p>
        </w:tc>
        <w:tc>
          <w:tcPr>
            <w:tcW w:w="303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调研的基本情况索引</w:t>
            </w:r>
          </w:p>
        </w:tc>
      </w:tr>
      <w:tr>
        <w:tc>
          <w:tcPr>
            <w:tcW w:w="217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04</w:t>
            </w:r>
            <w:r>
              <w:rPr>
                <w:rFonts w:hint="eastAsia"/>
                <w:szCs w:val="24"/>
              </w:rPr>
              <w:t>月</w:t>
            </w:r>
            <w:r>
              <w:rPr>
                <w:szCs w:val="24"/>
              </w:rPr>
              <w:t>09</w:t>
            </w:r>
            <w:r>
              <w:rPr>
                <w:rFonts w:hint="eastAsia"/>
                <w:szCs w:val="24"/>
              </w:rPr>
              <w:t>日</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实地调研</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机构</w:t>
            </w:r>
          </w:p>
        </w:tc>
        <w:tc>
          <w:tcPr>
            <w:tcW w:w="303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详见公司于</w:t>
            </w:r>
            <w:r>
              <w:rPr>
                <w:szCs w:val="24"/>
              </w:rPr>
              <w:t>2019</w:t>
            </w:r>
            <w:r>
              <w:rPr>
                <w:rFonts w:hint="eastAsia"/>
                <w:szCs w:val="24"/>
              </w:rPr>
              <w:t>年</w:t>
            </w:r>
            <w:r>
              <w:rPr>
                <w:szCs w:val="24"/>
              </w:rPr>
              <w:t>4</w:t>
            </w:r>
            <w:r>
              <w:rPr>
                <w:rFonts w:hint="eastAsia"/>
                <w:szCs w:val="24"/>
              </w:rPr>
              <w:t>月</w:t>
            </w:r>
            <w:r>
              <w:rPr>
                <w:szCs w:val="24"/>
              </w:rPr>
              <w:t>10</w:t>
            </w:r>
            <w:r>
              <w:rPr>
                <w:rFonts w:hint="eastAsia"/>
                <w:szCs w:val="24"/>
              </w:rPr>
              <w:t>日在巨潮资讯网（</w:t>
            </w:r>
            <w:r>
              <w:rPr>
                <w:szCs w:val="24"/>
              </w:rPr>
              <w:t>http://www.cninfo.com.cn</w:t>
            </w:r>
            <w:r>
              <w:rPr>
                <w:rFonts w:hint="eastAsia"/>
                <w:szCs w:val="24"/>
              </w:rPr>
              <w:t>）披露的《投资者关系活动记录表》</w:t>
            </w:r>
          </w:p>
        </w:tc>
      </w:tr>
    </w:tbl>
    <w:p>
      <w:pPr>
        <w:rPr>
          <w:szCs w:val="24"/>
        </w:rPr>
        <w:sectPr>
          <w:pgSz w:w="11906" w:h="16838"/>
          <w:pgMar w:top="1440" w:right="1134" w:bottom="1440" w:left="1134" w:header="851" w:footer="992" w:gutter="0"/>
          <w:cols w:space="425" w:num="1"/>
          <w:docGrid w:type="lines" w:linePitch="312" w:charSpace="0"/>
        </w:sectPr>
      </w:pPr>
    </w:p>
    <w:p>
      <w:pPr>
        <w:pStyle w:val="8"/>
        <w:outlineLvl w:val="0"/>
        <w:rPr>
          <w:bCs w:val="0"/>
          <w:szCs w:val="24"/>
        </w:rPr>
      </w:pPr>
      <w:bookmarkStart w:id="9" w:name="_Toc38911276"/>
      <w:r>
        <w:rPr>
          <w:rFonts w:hint="eastAsia"/>
          <w:bCs w:val="0"/>
          <w:szCs w:val="24"/>
        </w:rPr>
        <w:t>第五节重要事项</w:t>
      </w:r>
      <w:bookmarkEnd w:id="9"/>
    </w:p>
    <w:p>
      <w:pPr>
        <w:pStyle w:val="13"/>
        <w:outlineLvl w:val="1"/>
        <w:rPr>
          <w:bCs w:val="0"/>
        </w:rPr>
      </w:pPr>
      <w:r>
        <w:rPr>
          <w:rFonts w:hint="eastAsia"/>
          <w:bCs w:val="0"/>
        </w:rPr>
        <w:t>一、公司普通股利润分配及资本公积金转增股本情况</w:t>
      </w:r>
    </w:p>
    <w:p>
      <w:pPr>
        <w:jc w:val="left"/>
        <w:rPr>
          <w:szCs w:val="24"/>
        </w:rPr>
      </w:pPr>
      <w:r>
        <w:rPr>
          <w:rFonts w:hint="eastAsia"/>
          <w:szCs w:val="24"/>
        </w:rPr>
        <w:t>报告期内普通股利润分配政策，特别是现金分红政策的制定、执行或调整情况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报告期内，公司严格执行《上市公司监管指引第</w:t>
      </w:r>
      <w:r>
        <w:rPr>
          <w:rFonts w:eastAsia="Times New Roman"/>
          <w:kern w:val="0"/>
          <w:szCs w:val="24"/>
          <w:lang w:val="zh-CN"/>
        </w:rPr>
        <w:t>3</w:t>
      </w:r>
      <w:r>
        <w:rPr>
          <w:rFonts w:hint="eastAsia" w:ascii="宋体" w:hAnsi="宋体" w:cs="宋体"/>
          <w:kern w:val="0"/>
          <w:szCs w:val="24"/>
          <w:lang w:val="zh-CN"/>
        </w:rPr>
        <w:t>号</w:t>
      </w:r>
      <w:r>
        <w:rPr>
          <w:rFonts w:eastAsia="Times New Roman"/>
          <w:kern w:val="0"/>
          <w:szCs w:val="24"/>
          <w:lang w:val="zh-CN"/>
        </w:rPr>
        <w:t>——</w:t>
      </w:r>
      <w:r>
        <w:rPr>
          <w:rFonts w:hint="eastAsia" w:ascii="宋体" w:hAnsi="宋体" w:cs="宋体"/>
          <w:kern w:val="0"/>
          <w:szCs w:val="24"/>
          <w:lang w:val="zh-CN"/>
        </w:rPr>
        <w:t>上市公司现金分红》、《关于进一步落实上市公司现金分红有关事项的通知》等法律法规和公司章程的相关规定，在综合考虑公司所处行业特点、发展阶段、经营模式、盈利情况及资金需求等因素的基础上，经公司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4</w:t>
      </w:r>
      <w:r>
        <w:rPr>
          <w:rFonts w:hint="eastAsia" w:ascii="宋体" w:hAnsi="宋体" w:cs="宋体"/>
          <w:kern w:val="0"/>
          <w:szCs w:val="24"/>
          <w:lang w:val="zh-CN"/>
        </w:rPr>
        <w:t>月</w:t>
      </w:r>
      <w:r>
        <w:rPr>
          <w:rFonts w:eastAsia="Times New Roman"/>
          <w:kern w:val="0"/>
          <w:szCs w:val="24"/>
          <w:lang w:val="zh-CN"/>
        </w:rPr>
        <w:t>10</w:t>
      </w:r>
      <w:r>
        <w:rPr>
          <w:rFonts w:hint="eastAsia" w:ascii="宋体" w:hAnsi="宋体" w:cs="宋体"/>
          <w:kern w:val="0"/>
          <w:szCs w:val="24"/>
          <w:lang w:val="zh-CN"/>
        </w:rPr>
        <w:t>日召开的</w:t>
      </w:r>
      <w:r>
        <w:rPr>
          <w:rFonts w:eastAsia="Times New Roman"/>
          <w:kern w:val="0"/>
          <w:szCs w:val="24"/>
          <w:lang w:val="zh-CN"/>
        </w:rPr>
        <w:t>2018</w:t>
      </w:r>
      <w:r>
        <w:rPr>
          <w:rFonts w:hint="eastAsia" w:ascii="宋体" w:hAnsi="宋体" w:cs="宋体"/>
          <w:kern w:val="0"/>
          <w:szCs w:val="24"/>
          <w:lang w:val="zh-CN"/>
        </w:rPr>
        <w:t>年年度股东大会审议通过了</w:t>
      </w:r>
      <w:r>
        <w:rPr>
          <w:rFonts w:eastAsia="Times New Roman"/>
          <w:kern w:val="0"/>
          <w:szCs w:val="24"/>
          <w:lang w:val="zh-CN"/>
        </w:rPr>
        <w:t>2018</w:t>
      </w:r>
      <w:r>
        <w:rPr>
          <w:rFonts w:hint="eastAsia" w:ascii="宋体" w:hAnsi="宋体" w:cs="宋体"/>
          <w:kern w:val="0"/>
          <w:szCs w:val="24"/>
          <w:lang w:val="zh-CN"/>
        </w:rPr>
        <w:t>年年度利润分配方案：以公司</w:t>
      </w:r>
      <w:r>
        <w:rPr>
          <w:rFonts w:eastAsia="Times New Roman"/>
          <w:kern w:val="0"/>
          <w:szCs w:val="24"/>
          <w:lang w:val="zh-CN"/>
        </w:rPr>
        <w:t>2018</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31</w:t>
      </w:r>
      <w:r>
        <w:rPr>
          <w:rFonts w:hint="eastAsia" w:ascii="宋体" w:hAnsi="宋体" w:cs="宋体"/>
          <w:kern w:val="0"/>
          <w:szCs w:val="24"/>
          <w:lang w:val="zh-CN"/>
        </w:rPr>
        <w:t>日的总股本</w:t>
      </w:r>
      <w:r>
        <w:rPr>
          <w:rFonts w:eastAsia="Times New Roman"/>
          <w:kern w:val="0"/>
          <w:szCs w:val="24"/>
          <w:lang w:val="zh-CN"/>
        </w:rPr>
        <w:t>346,397,300</w:t>
      </w:r>
      <w:r>
        <w:rPr>
          <w:rFonts w:hint="eastAsia" w:ascii="宋体" w:hAnsi="宋体" w:cs="宋体"/>
          <w:kern w:val="0"/>
          <w:szCs w:val="24"/>
          <w:lang w:val="zh-CN"/>
        </w:rPr>
        <w:t>股为基数，向全体股东每</w:t>
      </w:r>
      <w:r>
        <w:rPr>
          <w:rFonts w:eastAsia="Times New Roman"/>
          <w:kern w:val="0"/>
          <w:szCs w:val="24"/>
          <w:lang w:val="zh-CN"/>
        </w:rPr>
        <w:t>10</w:t>
      </w:r>
      <w:r>
        <w:rPr>
          <w:rFonts w:hint="eastAsia" w:ascii="宋体" w:hAnsi="宋体" w:cs="宋体"/>
          <w:kern w:val="0"/>
          <w:szCs w:val="24"/>
          <w:lang w:val="zh-CN"/>
        </w:rPr>
        <w:t>股派发现金股利人民币</w:t>
      </w:r>
      <w:r>
        <w:rPr>
          <w:rFonts w:eastAsia="Times New Roman"/>
          <w:kern w:val="0"/>
          <w:szCs w:val="24"/>
          <w:lang w:val="zh-CN"/>
        </w:rPr>
        <w:t>1.45</w:t>
      </w:r>
      <w:r>
        <w:rPr>
          <w:rFonts w:hint="eastAsia" w:ascii="宋体" w:hAnsi="宋体" w:cs="宋体"/>
          <w:kern w:val="0"/>
          <w:szCs w:val="24"/>
          <w:lang w:val="zh-CN"/>
        </w:rPr>
        <w:t>元（含税），共计派发现金股利</w:t>
      </w:r>
      <w:r>
        <w:rPr>
          <w:rFonts w:eastAsia="Times New Roman"/>
          <w:kern w:val="0"/>
          <w:szCs w:val="24"/>
          <w:lang w:val="zh-CN"/>
        </w:rPr>
        <w:t>50,227,608.50</w:t>
      </w:r>
      <w:r>
        <w:rPr>
          <w:rFonts w:hint="eastAsia" w:ascii="宋体" w:hAnsi="宋体" w:cs="宋体"/>
          <w:kern w:val="0"/>
          <w:szCs w:val="24"/>
          <w:lang w:val="zh-CN"/>
        </w:rPr>
        <w:t>元，不送红股，不以公积金转增股本。</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该利润分配方案符合公司章程及审议程序的规定，经公司独立董事发表同意的意见，保证利润分配政策的连续性和稳定性，同时兼顾了公司的长远利益、全体股东的整体利益及公司的可持续发展，切实维护了中小投资者的合法权益。公司</w:t>
      </w:r>
      <w:r>
        <w:rPr>
          <w:rFonts w:eastAsia="Times New Roman"/>
          <w:kern w:val="0"/>
          <w:szCs w:val="24"/>
          <w:lang w:val="zh-CN"/>
        </w:rPr>
        <w:t>2018</w:t>
      </w:r>
      <w:r>
        <w:rPr>
          <w:rFonts w:hint="eastAsia" w:ascii="宋体" w:hAnsi="宋体" w:cs="宋体"/>
          <w:kern w:val="0"/>
          <w:szCs w:val="24"/>
          <w:lang w:val="zh-CN"/>
        </w:rPr>
        <w:t>年年度利润分配方案于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6</w:t>
      </w:r>
      <w:r>
        <w:rPr>
          <w:rFonts w:hint="eastAsia" w:ascii="宋体" w:hAnsi="宋体" w:cs="宋体"/>
          <w:kern w:val="0"/>
          <w:szCs w:val="24"/>
          <w:lang w:val="zh-CN"/>
        </w:rPr>
        <w:t>月</w:t>
      </w:r>
      <w:r>
        <w:rPr>
          <w:rFonts w:eastAsia="Times New Roman"/>
          <w:kern w:val="0"/>
          <w:szCs w:val="24"/>
          <w:lang w:val="zh-CN"/>
        </w:rPr>
        <w:t>6</w:t>
      </w:r>
      <w:r>
        <w:rPr>
          <w:rFonts w:hint="eastAsia" w:ascii="宋体" w:hAnsi="宋体" w:cs="宋体"/>
          <w:kern w:val="0"/>
          <w:szCs w:val="24"/>
          <w:lang w:val="zh-CN"/>
        </w:rPr>
        <w:t>日实施完毕。</w:t>
      </w:r>
    </w:p>
    <w:tbl>
      <w:tblPr>
        <w:tblStyle w:val="9"/>
        <w:tblW w:w="0" w:type="auto"/>
        <w:tblInd w:w="28" w:type="dxa"/>
        <w:tblLayout w:type="fixed"/>
        <w:tblCellMar>
          <w:top w:w="0" w:type="dxa"/>
          <w:left w:w="28" w:type="dxa"/>
          <w:bottom w:w="0" w:type="dxa"/>
          <w:right w:w="28" w:type="dxa"/>
        </w:tblCellMar>
      </w:tblPr>
      <w:tblGrid>
        <w:gridCol w:w="4784"/>
        <w:gridCol w:w="4784"/>
      </w:tblGrid>
      <w:tr>
        <w:tblPrEx>
          <w:tblCellMar>
            <w:top w:w="0" w:type="dxa"/>
            <w:left w:w="28" w:type="dxa"/>
            <w:bottom w:w="0" w:type="dxa"/>
            <w:right w:w="28" w:type="dxa"/>
          </w:tblCellMar>
        </w:tblPrEx>
        <w:tc>
          <w:tcPr>
            <w:tcW w:w="956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现金分红政策的专项说明</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是否符合公司章程的规定或股东大会决议的要求：</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分红标准和比例是否明确和清晰：</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相关的决策程序和机制是否完备：</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独立董事是否履职尽责并发挥了应有的作用：</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中小股东是否有充分表达意见和诉求的机会，其合法权益是否得到了充分保护：</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现金分红政策进行调整或变更的，条件及程序是否合规、透明：</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r>
    </w:tbl>
    <w:p>
      <w:pPr>
        <w:jc w:val="left"/>
        <w:rPr>
          <w:szCs w:val="24"/>
        </w:rPr>
      </w:pPr>
      <w:r>
        <w:rPr>
          <w:rFonts w:hint="eastAsia"/>
          <w:szCs w:val="24"/>
        </w:rPr>
        <w:t>公司报告期利润分配预案及资本公积金转增股本预案与公司章程和分红管理办法等的相关规定一致</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公司报告期利润分配预案及资本公积金转增股本预案符合公司章程等的相关规定。</w:t>
      </w:r>
    </w:p>
    <w:p>
      <w:pPr>
        <w:jc w:val="left"/>
        <w:rPr>
          <w:szCs w:val="24"/>
        </w:rPr>
      </w:pPr>
      <w:r>
        <w:rPr>
          <w:rFonts w:hint="eastAsia"/>
          <w:szCs w:val="24"/>
        </w:rPr>
        <w:t>本年度利润分配及资本公积金转增股本情况</w:t>
      </w:r>
    </w:p>
    <w:tbl>
      <w:tblPr>
        <w:tblStyle w:val="9"/>
        <w:tblW w:w="0" w:type="auto"/>
        <w:tblInd w:w="28" w:type="dxa"/>
        <w:tblLayout w:type="fixed"/>
        <w:tblCellMar>
          <w:top w:w="0" w:type="dxa"/>
          <w:left w:w="28" w:type="dxa"/>
          <w:bottom w:w="0" w:type="dxa"/>
          <w:right w:w="28" w:type="dxa"/>
        </w:tblCellMar>
      </w:tblPr>
      <w:tblGrid>
        <w:gridCol w:w="3717"/>
        <w:gridCol w:w="5851"/>
      </w:tblGrid>
      <w:tr>
        <w:tblPrEx>
          <w:tblCellMar>
            <w:top w:w="0" w:type="dxa"/>
            <w:left w:w="28" w:type="dxa"/>
            <w:bottom w:w="0" w:type="dxa"/>
            <w:right w:w="28" w:type="dxa"/>
          </w:tblCellMar>
        </w:tblPrEx>
        <w:tc>
          <w:tcPr>
            <w:tcW w:w="371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每</w:t>
            </w:r>
            <w:r>
              <w:rPr>
                <w:szCs w:val="24"/>
              </w:rPr>
              <w:t>10</w:t>
            </w:r>
            <w:r>
              <w:rPr>
                <w:rFonts w:hint="eastAsia"/>
                <w:szCs w:val="24"/>
              </w:rPr>
              <w:t>股送红股数（股）</w:t>
            </w:r>
          </w:p>
        </w:tc>
        <w:tc>
          <w:tcPr>
            <w:tcW w:w="5851"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0</w:t>
            </w:r>
          </w:p>
        </w:tc>
      </w:tr>
      <w:tr>
        <w:tblPrEx>
          <w:tblCellMar>
            <w:top w:w="0" w:type="dxa"/>
            <w:left w:w="28" w:type="dxa"/>
            <w:bottom w:w="0" w:type="dxa"/>
            <w:right w:w="28" w:type="dxa"/>
          </w:tblCellMar>
        </w:tblPrEx>
        <w:tc>
          <w:tcPr>
            <w:tcW w:w="371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每</w:t>
            </w:r>
            <w:r>
              <w:rPr>
                <w:szCs w:val="24"/>
              </w:rPr>
              <w:t>10</w:t>
            </w:r>
            <w:r>
              <w:rPr>
                <w:rFonts w:hint="eastAsia"/>
                <w:szCs w:val="24"/>
              </w:rPr>
              <w:t>股派息数（元）（含税）</w:t>
            </w:r>
          </w:p>
        </w:tc>
        <w:tc>
          <w:tcPr>
            <w:tcW w:w="5851"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0</w:t>
            </w:r>
          </w:p>
        </w:tc>
      </w:tr>
      <w:tr>
        <w:tblPrEx>
          <w:tblCellMar>
            <w:top w:w="0" w:type="dxa"/>
            <w:left w:w="28" w:type="dxa"/>
            <w:bottom w:w="0" w:type="dxa"/>
            <w:right w:w="28" w:type="dxa"/>
          </w:tblCellMar>
        </w:tblPrEx>
        <w:tc>
          <w:tcPr>
            <w:tcW w:w="371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每</w:t>
            </w:r>
            <w:r>
              <w:rPr>
                <w:szCs w:val="24"/>
              </w:rPr>
              <w:t>10</w:t>
            </w:r>
            <w:r>
              <w:rPr>
                <w:rFonts w:hint="eastAsia"/>
                <w:szCs w:val="24"/>
              </w:rPr>
              <w:t>股转增数（股）</w:t>
            </w:r>
          </w:p>
        </w:tc>
        <w:tc>
          <w:tcPr>
            <w:tcW w:w="5851"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0</w:t>
            </w:r>
          </w:p>
        </w:tc>
      </w:tr>
      <w:tr>
        <w:tblPrEx>
          <w:tblCellMar>
            <w:top w:w="0" w:type="dxa"/>
            <w:left w:w="28" w:type="dxa"/>
            <w:bottom w:w="0" w:type="dxa"/>
            <w:right w:w="28" w:type="dxa"/>
          </w:tblCellMar>
        </w:tblPrEx>
        <w:tc>
          <w:tcPr>
            <w:tcW w:w="371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分配预案的股本基数（股）</w:t>
            </w:r>
          </w:p>
        </w:tc>
        <w:tc>
          <w:tcPr>
            <w:tcW w:w="5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345,302,620</w:t>
            </w:r>
          </w:p>
        </w:tc>
      </w:tr>
      <w:tr>
        <w:tblPrEx>
          <w:tblCellMar>
            <w:top w:w="0" w:type="dxa"/>
            <w:left w:w="28" w:type="dxa"/>
            <w:bottom w:w="0" w:type="dxa"/>
            <w:right w:w="28" w:type="dxa"/>
          </w:tblCellMar>
        </w:tblPrEx>
        <w:tc>
          <w:tcPr>
            <w:tcW w:w="371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现金分红金额（元）（含税）</w:t>
            </w:r>
          </w:p>
        </w:tc>
        <w:tc>
          <w:tcPr>
            <w:tcW w:w="5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r>
      <w:tr>
        <w:tblPrEx>
          <w:tblCellMar>
            <w:top w:w="0" w:type="dxa"/>
            <w:left w:w="28" w:type="dxa"/>
            <w:bottom w:w="0" w:type="dxa"/>
            <w:right w:w="28" w:type="dxa"/>
          </w:tblCellMar>
        </w:tblPrEx>
        <w:tc>
          <w:tcPr>
            <w:tcW w:w="371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以其他方式（如回购股份）现金分红金额（元）</w:t>
            </w:r>
          </w:p>
        </w:tc>
        <w:tc>
          <w:tcPr>
            <w:tcW w:w="5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r>
      <w:tr>
        <w:tblPrEx>
          <w:tblCellMar>
            <w:top w:w="0" w:type="dxa"/>
            <w:left w:w="28" w:type="dxa"/>
            <w:bottom w:w="0" w:type="dxa"/>
            <w:right w:w="28" w:type="dxa"/>
          </w:tblCellMar>
        </w:tblPrEx>
        <w:tc>
          <w:tcPr>
            <w:tcW w:w="371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现金分红总额（含其他方式）（元）</w:t>
            </w:r>
          </w:p>
        </w:tc>
        <w:tc>
          <w:tcPr>
            <w:tcW w:w="5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r>
      <w:tr>
        <w:tblPrEx>
          <w:tblCellMar>
            <w:top w:w="0" w:type="dxa"/>
            <w:left w:w="28" w:type="dxa"/>
            <w:bottom w:w="0" w:type="dxa"/>
            <w:right w:w="28" w:type="dxa"/>
          </w:tblCellMar>
        </w:tblPrEx>
        <w:tc>
          <w:tcPr>
            <w:tcW w:w="371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可分配利润（元）</w:t>
            </w:r>
          </w:p>
        </w:tc>
        <w:tc>
          <w:tcPr>
            <w:tcW w:w="5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305,597,444.78</w:t>
            </w:r>
          </w:p>
        </w:tc>
      </w:tr>
      <w:tr>
        <w:tblPrEx>
          <w:tblCellMar>
            <w:top w:w="0" w:type="dxa"/>
            <w:left w:w="28" w:type="dxa"/>
            <w:bottom w:w="0" w:type="dxa"/>
            <w:right w:w="28" w:type="dxa"/>
          </w:tblCellMar>
        </w:tblPrEx>
        <w:tc>
          <w:tcPr>
            <w:tcW w:w="371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现金分红总额（含其他方式）占利润分配总额的比例</w:t>
            </w:r>
          </w:p>
        </w:tc>
        <w:tc>
          <w:tcPr>
            <w:tcW w:w="5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r>
      <w:tr>
        <w:tblPrEx>
          <w:tblCellMar>
            <w:top w:w="0" w:type="dxa"/>
            <w:left w:w="28" w:type="dxa"/>
            <w:bottom w:w="0" w:type="dxa"/>
            <w:right w:w="28" w:type="dxa"/>
          </w:tblCellMar>
        </w:tblPrEx>
        <w:tc>
          <w:tcPr>
            <w:tcW w:w="956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本次现金分红情况</w:t>
            </w:r>
          </w:p>
        </w:tc>
      </w:tr>
      <w:tr>
        <w:tblPrEx>
          <w:tblCellMar>
            <w:top w:w="0" w:type="dxa"/>
            <w:left w:w="28" w:type="dxa"/>
            <w:bottom w:w="0" w:type="dxa"/>
            <w:right w:w="28" w:type="dxa"/>
          </w:tblCellMar>
        </w:tblPrEx>
        <w:tc>
          <w:tcPr>
            <w:tcW w:w="956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公司发展阶段不易区分但有重大资金支出安排的，进行利润分配时，现金分红在本次利润分配中所占比例最低应达到</w:t>
            </w:r>
            <w:r>
              <w:rPr>
                <w:szCs w:val="24"/>
              </w:rPr>
              <w:t>20</w:t>
            </w:r>
            <w:r>
              <w:rPr>
                <w:rFonts w:hint="eastAsia"/>
                <w:szCs w:val="24"/>
              </w:rPr>
              <w:t>％</w:t>
            </w:r>
          </w:p>
        </w:tc>
      </w:tr>
      <w:tr>
        <w:tblPrEx>
          <w:tblCellMar>
            <w:top w:w="0" w:type="dxa"/>
            <w:left w:w="28" w:type="dxa"/>
            <w:bottom w:w="0" w:type="dxa"/>
            <w:right w:w="28" w:type="dxa"/>
          </w:tblCellMar>
        </w:tblPrEx>
        <w:tc>
          <w:tcPr>
            <w:tcW w:w="956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利润分配或资本公积金转增预案的详细情况说明</w:t>
            </w:r>
          </w:p>
        </w:tc>
      </w:tr>
      <w:tr>
        <w:tblPrEx>
          <w:tblCellMar>
            <w:top w:w="0" w:type="dxa"/>
            <w:left w:w="28" w:type="dxa"/>
            <w:bottom w:w="0" w:type="dxa"/>
            <w:right w:w="28" w:type="dxa"/>
          </w:tblCellMar>
        </w:tblPrEx>
        <w:tc>
          <w:tcPr>
            <w:tcW w:w="956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根据公司2020年4月27日董事会第三届第二十五次会议决议，鉴于公司2019年度出现经营亏损的情况，公司结合2020年度经营计划和相关资金使用安排，在保证正常生产、经营和长远发展的基础上，经公司董事会的审慎考虑拟定2019年度利润分配预案为不派发现金红利，不送红股，不以公积金转增股本。该分配预案兼顾了公司股东的当期利益和长期利益，与公司经营业绩及未来发展相匹配，符合公司的发展规划，符合公司章程及法律法规的规定。该预案需提交公司2019年度股东大会审议通过。</w:t>
            </w:r>
          </w:p>
        </w:tc>
      </w:tr>
    </w:tbl>
    <w:p>
      <w:pPr>
        <w:jc w:val="left"/>
        <w:rPr>
          <w:szCs w:val="24"/>
        </w:rPr>
      </w:pPr>
      <w:r>
        <w:rPr>
          <w:rFonts w:hint="eastAsia"/>
          <w:szCs w:val="24"/>
        </w:rPr>
        <w:t>公司近</w:t>
      </w:r>
      <w:r>
        <w:rPr>
          <w:szCs w:val="24"/>
        </w:rPr>
        <w:t>3</w:t>
      </w:r>
      <w:r>
        <w:rPr>
          <w:rFonts w:hint="eastAsia"/>
          <w:szCs w:val="24"/>
        </w:rPr>
        <w:t>年（包括本报告期）的普通股股利分配方案（预案）、资本公积金转增股本方案（预案）情况</w:t>
      </w:r>
    </w:p>
    <w:p>
      <w:pPr>
        <w:autoSpaceDE w:val="0"/>
        <w:autoSpaceDN w:val="0"/>
        <w:adjustRightInd w:val="0"/>
        <w:spacing w:before="0" w:after="0"/>
        <w:ind w:firstLine="420"/>
        <w:jc w:val="left"/>
        <w:rPr>
          <w:rFonts w:eastAsia="Times New Roman"/>
          <w:kern w:val="0"/>
          <w:szCs w:val="24"/>
          <w:lang w:val="zh-CN"/>
        </w:rPr>
      </w:pPr>
      <w:r>
        <w:rPr>
          <w:rFonts w:eastAsia="Times New Roman"/>
          <w:kern w:val="0"/>
          <w:szCs w:val="24"/>
          <w:lang w:val="zh-CN"/>
        </w:rPr>
        <w:t>2017</w:t>
      </w:r>
      <w:r>
        <w:rPr>
          <w:rFonts w:hint="eastAsia" w:ascii="宋体" w:hAnsi="宋体" w:cs="宋体"/>
          <w:kern w:val="0"/>
          <w:szCs w:val="24"/>
          <w:lang w:val="zh-CN"/>
        </w:rPr>
        <w:t>年年度利润分配方案为：以截至公司</w:t>
      </w:r>
      <w:r>
        <w:rPr>
          <w:rFonts w:eastAsia="Times New Roman"/>
          <w:kern w:val="0"/>
          <w:szCs w:val="24"/>
          <w:lang w:val="zh-CN"/>
        </w:rPr>
        <w:t>2017</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31</w:t>
      </w:r>
      <w:r>
        <w:rPr>
          <w:rFonts w:hint="eastAsia" w:ascii="宋体" w:hAnsi="宋体" w:cs="宋体"/>
          <w:kern w:val="0"/>
          <w:szCs w:val="24"/>
          <w:lang w:val="zh-CN"/>
        </w:rPr>
        <w:t>日的总股本</w:t>
      </w:r>
      <w:r>
        <w:rPr>
          <w:rFonts w:eastAsia="Times New Roman"/>
          <w:kern w:val="0"/>
          <w:szCs w:val="24"/>
          <w:lang w:val="zh-CN"/>
        </w:rPr>
        <w:t>346,960,900</w:t>
      </w:r>
      <w:r>
        <w:rPr>
          <w:rFonts w:hint="eastAsia" w:ascii="宋体" w:hAnsi="宋体" w:cs="宋体"/>
          <w:kern w:val="0"/>
          <w:szCs w:val="24"/>
          <w:lang w:val="zh-CN"/>
        </w:rPr>
        <w:t>股为基数，向全体股东每</w:t>
      </w:r>
      <w:r>
        <w:rPr>
          <w:rFonts w:eastAsia="Times New Roman"/>
          <w:kern w:val="0"/>
          <w:szCs w:val="24"/>
          <w:lang w:val="zh-CN"/>
        </w:rPr>
        <w:t>10</w:t>
      </w:r>
      <w:r>
        <w:rPr>
          <w:rFonts w:hint="eastAsia" w:ascii="宋体" w:hAnsi="宋体" w:cs="宋体"/>
          <w:kern w:val="0"/>
          <w:szCs w:val="24"/>
          <w:lang w:val="zh-CN"/>
        </w:rPr>
        <w:t>股派发现金股利人民币</w:t>
      </w:r>
      <w:r>
        <w:rPr>
          <w:rFonts w:eastAsia="Times New Roman"/>
          <w:kern w:val="0"/>
          <w:szCs w:val="24"/>
          <w:lang w:val="zh-CN"/>
        </w:rPr>
        <w:t>1.25</w:t>
      </w:r>
      <w:r>
        <w:rPr>
          <w:rFonts w:hint="eastAsia" w:ascii="宋体" w:hAnsi="宋体" w:cs="宋体"/>
          <w:kern w:val="0"/>
          <w:szCs w:val="24"/>
          <w:lang w:val="zh-CN"/>
        </w:rPr>
        <w:t>元（含税），共计派发现金股利</w:t>
      </w:r>
      <w:r>
        <w:rPr>
          <w:rFonts w:eastAsia="Times New Roman"/>
          <w:kern w:val="0"/>
          <w:szCs w:val="24"/>
          <w:lang w:val="zh-CN"/>
        </w:rPr>
        <w:t>43,370,112.50</w:t>
      </w:r>
      <w:r>
        <w:rPr>
          <w:rFonts w:hint="eastAsia" w:ascii="宋体" w:hAnsi="宋体" w:cs="宋体"/>
          <w:kern w:val="0"/>
          <w:szCs w:val="24"/>
          <w:lang w:val="zh-CN"/>
        </w:rPr>
        <w:t>元，不送红股，不以公积金转增股本。该分配方案已于</w:t>
      </w:r>
      <w:r>
        <w:rPr>
          <w:rFonts w:eastAsia="Times New Roman"/>
          <w:kern w:val="0"/>
          <w:szCs w:val="24"/>
          <w:lang w:val="zh-CN"/>
        </w:rPr>
        <w:t>2018</w:t>
      </w:r>
      <w:r>
        <w:rPr>
          <w:rFonts w:hint="eastAsia" w:ascii="宋体" w:hAnsi="宋体" w:cs="宋体"/>
          <w:kern w:val="0"/>
          <w:szCs w:val="24"/>
          <w:lang w:val="zh-CN"/>
        </w:rPr>
        <w:t>年度实施完毕。</w:t>
      </w:r>
    </w:p>
    <w:p>
      <w:pPr>
        <w:autoSpaceDE w:val="0"/>
        <w:autoSpaceDN w:val="0"/>
        <w:adjustRightInd w:val="0"/>
        <w:spacing w:before="0" w:after="0"/>
        <w:ind w:firstLine="420"/>
        <w:jc w:val="left"/>
        <w:rPr>
          <w:rFonts w:eastAsia="Times New Roman"/>
          <w:kern w:val="0"/>
          <w:szCs w:val="24"/>
          <w:lang w:val="zh-CN"/>
        </w:rPr>
      </w:pPr>
      <w:r>
        <w:rPr>
          <w:rFonts w:eastAsia="Times New Roman"/>
          <w:kern w:val="0"/>
          <w:szCs w:val="24"/>
          <w:lang w:val="zh-CN"/>
        </w:rPr>
        <w:t>2018</w:t>
      </w:r>
      <w:r>
        <w:rPr>
          <w:rFonts w:hint="eastAsia" w:ascii="宋体" w:hAnsi="宋体" w:cs="宋体"/>
          <w:kern w:val="0"/>
          <w:szCs w:val="24"/>
          <w:lang w:val="zh-CN"/>
        </w:rPr>
        <w:t>年年度利润分配方案为：以截至公司</w:t>
      </w:r>
      <w:r>
        <w:rPr>
          <w:rFonts w:eastAsia="Times New Roman"/>
          <w:kern w:val="0"/>
          <w:szCs w:val="24"/>
          <w:lang w:val="zh-CN"/>
        </w:rPr>
        <w:t>2018</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31</w:t>
      </w:r>
      <w:r>
        <w:rPr>
          <w:rFonts w:hint="eastAsia" w:ascii="宋体" w:hAnsi="宋体" w:cs="宋体"/>
          <w:kern w:val="0"/>
          <w:szCs w:val="24"/>
          <w:lang w:val="zh-CN"/>
        </w:rPr>
        <w:t>日的总股本</w:t>
      </w:r>
      <w:r>
        <w:rPr>
          <w:rFonts w:eastAsia="Times New Roman"/>
          <w:kern w:val="0"/>
          <w:szCs w:val="24"/>
          <w:lang w:val="zh-CN"/>
        </w:rPr>
        <w:t>346,397,300</w:t>
      </w:r>
      <w:r>
        <w:rPr>
          <w:rFonts w:hint="eastAsia" w:ascii="宋体" w:hAnsi="宋体" w:cs="宋体"/>
          <w:kern w:val="0"/>
          <w:szCs w:val="24"/>
          <w:lang w:val="zh-CN"/>
        </w:rPr>
        <w:t>股为基数，向全体股东每</w:t>
      </w:r>
      <w:r>
        <w:rPr>
          <w:rFonts w:eastAsia="Times New Roman"/>
          <w:kern w:val="0"/>
          <w:szCs w:val="24"/>
          <w:lang w:val="zh-CN"/>
        </w:rPr>
        <w:t>10</w:t>
      </w:r>
      <w:r>
        <w:rPr>
          <w:rFonts w:hint="eastAsia" w:ascii="宋体" w:hAnsi="宋体" w:cs="宋体"/>
          <w:kern w:val="0"/>
          <w:szCs w:val="24"/>
          <w:lang w:val="zh-CN"/>
        </w:rPr>
        <w:t>股派发现金股利人民币</w:t>
      </w:r>
      <w:r>
        <w:rPr>
          <w:rFonts w:eastAsia="Times New Roman"/>
          <w:kern w:val="0"/>
          <w:szCs w:val="24"/>
          <w:lang w:val="zh-CN"/>
        </w:rPr>
        <w:t>1.45</w:t>
      </w:r>
      <w:r>
        <w:rPr>
          <w:rFonts w:hint="eastAsia" w:ascii="宋体" w:hAnsi="宋体" w:cs="宋体"/>
          <w:kern w:val="0"/>
          <w:szCs w:val="24"/>
          <w:lang w:val="zh-CN"/>
        </w:rPr>
        <w:t>元（含税），共计派发现金股利</w:t>
      </w:r>
      <w:r>
        <w:rPr>
          <w:rFonts w:eastAsia="Times New Roman"/>
          <w:kern w:val="0"/>
          <w:szCs w:val="24"/>
          <w:lang w:val="zh-CN"/>
        </w:rPr>
        <w:t>50,227,608.50</w:t>
      </w:r>
      <w:r>
        <w:rPr>
          <w:rFonts w:hint="eastAsia" w:ascii="宋体" w:hAnsi="宋体" w:cs="宋体"/>
          <w:kern w:val="0"/>
          <w:szCs w:val="24"/>
          <w:lang w:val="zh-CN"/>
        </w:rPr>
        <w:t>元，不送红股，不以公积金转增股本。该分配方案已于</w:t>
      </w:r>
      <w:r>
        <w:rPr>
          <w:rFonts w:eastAsia="Times New Roman"/>
          <w:kern w:val="0"/>
          <w:szCs w:val="24"/>
          <w:lang w:val="zh-CN"/>
        </w:rPr>
        <w:t>2019</w:t>
      </w:r>
      <w:r>
        <w:rPr>
          <w:rFonts w:hint="eastAsia" w:ascii="宋体" w:hAnsi="宋体" w:cs="宋体"/>
          <w:kern w:val="0"/>
          <w:szCs w:val="24"/>
          <w:lang w:val="zh-CN"/>
        </w:rPr>
        <w:t>年度实施完毕。</w:t>
      </w:r>
    </w:p>
    <w:p>
      <w:pPr>
        <w:autoSpaceDE w:val="0"/>
        <w:autoSpaceDN w:val="0"/>
        <w:adjustRightInd w:val="0"/>
        <w:spacing w:before="0" w:after="0"/>
        <w:ind w:firstLine="420"/>
        <w:jc w:val="left"/>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年年度利润分配方案为：</w:t>
      </w:r>
      <w:r>
        <w:rPr>
          <w:rFonts w:hint="eastAsia"/>
          <w:szCs w:val="24"/>
        </w:rPr>
        <w:t>不派发现金红利，不送红股，不以公积金转增股本。</w:t>
      </w:r>
      <w:r>
        <w:rPr>
          <w:rFonts w:hint="eastAsia" w:ascii="宋体" w:hAnsi="宋体" w:cs="宋体"/>
          <w:kern w:val="0"/>
          <w:szCs w:val="24"/>
          <w:lang w:val="zh-CN"/>
        </w:rPr>
        <w:t>该预案需提交公司</w:t>
      </w:r>
      <w:r>
        <w:rPr>
          <w:rFonts w:eastAsia="Times New Roman"/>
          <w:kern w:val="0"/>
          <w:szCs w:val="24"/>
          <w:lang w:val="zh-CN"/>
        </w:rPr>
        <w:t>2019</w:t>
      </w:r>
      <w:r>
        <w:rPr>
          <w:rFonts w:hint="eastAsia" w:ascii="宋体" w:hAnsi="宋体" w:cs="宋体"/>
          <w:kern w:val="0"/>
          <w:szCs w:val="24"/>
          <w:lang w:val="zh-CN"/>
        </w:rPr>
        <w:t>年度股东大会审议通过。</w:t>
      </w:r>
    </w:p>
    <w:p>
      <w:pPr>
        <w:jc w:val="left"/>
        <w:rPr>
          <w:szCs w:val="24"/>
        </w:rPr>
      </w:pPr>
      <w:r>
        <w:rPr>
          <w:rFonts w:hint="eastAsia"/>
          <w:szCs w:val="24"/>
        </w:rPr>
        <w:t>公司近三年（包括本报告期）普通股现金分红情况表</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1197"/>
        <w:gridCol w:w="1195"/>
        <w:gridCol w:w="1294"/>
        <w:gridCol w:w="1098"/>
        <w:gridCol w:w="1196"/>
        <w:gridCol w:w="1196"/>
        <w:gridCol w:w="1196"/>
        <w:gridCol w:w="1196"/>
      </w:tblGrid>
      <w:tr>
        <w:tblPrEx>
          <w:tblCellMar>
            <w:top w:w="0" w:type="dxa"/>
            <w:left w:w="28" w:type="dxa"/>
            <w:bottom w:w="0" w:type="dxa"/>
            <w:right w:w="28" w:type="dxa"/>
          </w:tblCellMar>
        </w:tblPrEx>
        <w:tc>
          <w:tcPr>
            <w:tcW w:w="119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分红年度</w:t>
            </w:r>
          </w:p>
        </w:tc>
        <w:tc>
          <w:tcPr>
            <w:tcW w:w="119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现金分红金额（含税）</w:t>
            </w:r>
          </w:p>
        </w:tc>
        <w:tc>
          <w:tcPr>
            <w:tcW w:w="12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分红年度合并报表中归属于上市公司普通股股东的净利润</w:t>
            </w:r>
          </w:p>
        </w:tc>
        <w:tc>
          <w:tcPr>
            <w:tcW w:w="10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现金分红金额占合并报表中归属于上市公司普通股股东的净利润的比率</w:t>
            </w: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以其他方式（如回购股份）现金分红的金额</w:t>
            </w: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以其他方式现金分红金额占合并报表中归属于上市公司普通股股东的净利润的比例</w:t>
            </w: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现金分红总额（含其他方式）</w:t>
            </w: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现金分红总额（含其他方式）占合并报表中归属于上市公司普通股股东的净利润的比率</w:t>
            </w:r>
          </w:p>
        </w:tc>
      </w:tr>
      <w:tr>
        <w:tblPrEx>
          <w:tblCellMar>
            <w:top w:w="0" w:type="dxa"/>
            <w:left w:w="28" w:type="dxa"/>
            <w:bottom w:w="0" w:type="dxa"/>
            <w:right w:w="28" w:type="dxa"/>
          </w:tblCellMar>
        </w:tblPrEx>
        <w:tc>
          <w:tcPr>
            <w:tcW w:w="119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2019</w:t>
            </w:r>
            <w:r>
              <w:rPr>
                <w:rFonts w:hint="eastAsia"/>
                <w:szCs w:val="24"/>
              </w:rPr>
              <w:t>年</w:t>
            </w:r>
          </w:p>
        </w:tc>
        <w:tc>
          <w:tcPr>
            <w:tcW w:w="11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12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-559,912</w:t>
            </w:r>
            <w:r>
              <w:rPr>
                <w:rFonts w:hint="eastAsia"/>
                <w:szCs w:val="24"/>
              </w:rPr>
              <w:t>,1</w:t>
            </w:r>
            <w:r>
              <w:rPr>
                <w:szCs w:val="24"/>
              </w:rPr>
              <w:t>83.23</w:t>
            </w:r>
          </w:p>
        </w:tc>
        <w:tc>
          <w:tcPr>
            <w:tcW w:w="10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r>
      <w:tr>
        <w:tblPrEx>
          <w:tblCellMar>
            <w:top w:w="0" w:type="dxa"/>
            <w:left w:w="28" w:type="dxa"/>
            <w:bottom w:w="0" w:type="dxa"/>
            <w:right w:w="28" w:type="dxa"/>
          </w:tblCellMar>
        </w:tblPrEx>
        <w:tc>
          <w:tcPr>
            <w:tcW w:w="119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2018</w:t>
            </w:r>
            <w:r>
              <w:rPr>
                <w:rFonts w:hint="eastAsia"/>
                <w:szCs w:val="24"/>
              </w:rPr>
              <w:t>年</w:t>
            </w:r>
          </w:p>
        </w:tc>
        <w:tc>
          <w:tcPr>
            <w:tcW w:w="11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50,227,608.50</w:t>
            </w:r>
          </w:p>
        </w:tc>
        <w:tc>
          <w:tcPr>
            <w:tcW w:w="12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241,172,082.63</w:t>
            </w:r>
          </w:p>
        </w:tc>
        <w:tc>
          <w:tcPr>
            <w:tcW w:w="10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20.83%</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50,227,608.50</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20.83%</w:t>
            </w:r>
          </w:p>
        </w:tc>
      </w:tr>
      <w:tr>
        <w:tblPrEx>
          <w:tblCellMar>
            <w:top w:w="0" w:type="dxa"/>
            <w:left w:w="28" w:type="dxa"/>
            <w:bottom w:w="0" w:type="dxa"/>
            <w:right w:w="28" w:type="dxa"/>
          </w:tblCellMar>
        </w:tblPrEx>
        <w:tc>
          <w:tcPr>
            <w:tcW w:w="119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2017</w:t>
            </w:r>
            <w:r>
              <w:rPr>
                <w:rFonts w:hint="eastAsia"/>
                <w:szCs w:val="24"/>
              </w:rPr>
              <w:t>年</w:t>
            </w:r>
          </w:p>
        </w:tc>
        <w:tc>
          <w:tcPr>
            <w:tcW w:w="11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43,370,112.50</w:t>
            </w:r>
          </w:p>
        </w:tc>
        <w:tc>
          <w:tcPr>
            <w:tcW w:w="12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229,700,185.54</w:t>
            </w:r>
          </w:p>
        </w:tc>
        <w:tc>
          <w:tcPr>
            <w:tcW w:w="10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18.88%</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43,370,112.50</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18.88%</w:t>
            </w:r>
          </w:p>
        </w:tc>
      </w:tr>
    </w:tbl>
    <w:p>
      <w:pPr>
        <w:jc w:val="left"/>
        <w:rPr>
          <w:szCs w:val="24"/>
        </w:rPr>
      </w:pPr>
      <w:r>
        <w:rPr>
          <w:rFonts w:hint="eastAsia"/>
          <w:szCs w:val="24"/>
        </w:rPr>
        <w:t>公司报告期内盈利且母公司可供普通股股东分配利润为正但未提出普通股现金红利分配预案</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3"/>
        <w:outlineLvl w:val="1"/>
        <w:rPr>
          <w:bCs w:val="0"/>
        </w:rPr>
      </w:pPr>
      <w:r>
        <w:rPr>
          <w:rFonts w:hint="eastAsia"/>
          <w:bCs w:val="0"/>
        </w:rPr>
        <w:t>二、承诺事项履行情况</w:t>
      </w:r>
    </w:p>
    <w:p>
      <w:pPr>
        <w:pStyle w:val="14"/>
        <w:outlineLvl w:val="2"/>
        <w:rPr>
          <w:bCs w:val="0"/>
          <w:szCs w:val="24"/>
        </w:rPr>
      </w:pPr>
      <w:r>
        <w:rPr>
          <w:bCs w:val="0"/>
          <w:szCs w:val="24"/>
        </w:rPr>
        <w:t>1</w:t>
      </w:r>
      <w:r>
        <w:rPr>
          <w:rFonts w:hint="eastAsia"/>
          <w:bCs w:val="0"/>
          <w:szCs w:val="24"/>
        </w:rPr>
        <w:t>、公司实际控制人、股东、关联方、收购人以及公司等承诺相关方在报告期内履行完毕及截至报告期末尚未履行完毕的承诺事项</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tbl>
      <w:tblPr>
        <w:tblStyle w:val="9"/>
        <w:tblW w:w="0" w:type="auto"/>
        <w:tblInd w:w="28" w:type="dxa"/>
        <w:tblLayout w:type="fixed"/>
        <w:tblCellMar>
          <w:top w:w="0" w:type="dxa"/>
          <w:left w:w="28" w:type="dxa"/>
          <w:bottom w:w="0" w:type="dxa"/>
          <w:right w:w="28" w:type="dxa"/>
        </w:tblCellMar>
      </w:tblPr>
      <w:tblGrid>
        <w:gridCol w:w="1101"/>
        <w:gridCol w:w="851"/>
        <w:gridCol w:w="850"/>
        <w:gridCol w:w="4253"/>
        <w:gridCol w:w="850"/>
        <w:gridCol w:w="851"/>
        <w:gridCol w:w="811"/>
      </w:tblGrid>
      <w:tr>
        <w:tblPrEx>
          <w:tblCellMar>
            <w:top w:w="0" w:type="dxa"/>
            <w:left w:w="28" w:type="dxa"/>
            <w:bottom w:w="0" w:type="dxa"/>
            <w:right w:w="28" w:type="dxa"/>
          </w:tblCellMar>
        </w:tblPrEx>
        <w:tc>
          <w:tcPr>
            <w:tcW w:w="110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承诺来源</w:t>
            </w:r>
          </w:p>
        </w:tc>
        <w:tc>
          <w:tcPr>
            <w:tcW w:w="85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承诺方</w:t>
            </w:r>
          </w:p>
        </w:tc>
        <w:tc>
          <w:tcPr>
            <w:tcW w:w="8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承诺类型</w:t>
            </w:r>
          </w:p>
        </w:tc>
        <w:tc>
          <w:tcPr>
            <w:tcW w:w="4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承诺内容</w:t>
            </w:r>
          </w:p>
        </w:tc>
        <w:tc>
          <w:tcPr>
            <w:tcW w:w="8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承诺时间</w:t>
            </w:r>
          </w:p>
        </w:tc>
        <w:tc>
          <w:tcPr>
            <w:tcW w:w="85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承诺期限</w:t>
            </w:r>
          </w:p>
        </w:tc>
        <w:tc>
          <w:tcPr>
            <w:tcW w:w="81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履行情况</w:t>
            </w:r>
          </w:p>
        </w:tc>
      </w:tr>
      <w:tr>
        <w:tblPrEx>
          <w:tblCellMar>
            <w:top w:w="0" w:type="dxa"/>
            <w:left w:w="28" w:type="dxa"/>
            <w:bottom w:w="0" w:type="dxa"/>
            <w:right w:w="28" w:type="dxa"/>
          </w:tblCellMar>
        </w:tblPrEx>
        <w:tc>
          <w:tcPr>
            <w:tcW w:w="1101"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首次公开发行或再融资时所作承诺</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陈琦伟</w:t>
            </w:r>
            <w:r>
              <w:rPr>
                <w:szCs w:val="24"/>
              </w:rPr>
              <w:t>;</w:t>
            </w:r>
            <w:r>
              <w:rPr>
                <w:rFonts w:hint="eastAsia"/>
                <w:szCs w:val="24"/>
              </w:rPr>
              <w:t>高基民</w:t>
            </w:r>
            <w:r>
              <w:rPr>
                <w:szCs w:val="24"/>
              </w:rPr>
              <w:t>;</w:t>
            </w:r>
            <w:r>
              <w:rPr>
                <w:rFonts w:hint="eastAsia"/>
                <w:szCs w:val="24"/>
              </w:rPr>
              <w:t>贾江花</w:t>
            </w:r>
            <w:r>
              <w:rPr>
                <w:szCs w:val="24"/>
              </w:rPr>
              <w:t>;</w:t>
            </w:r>
            <w:r>
              <w:rPr>
                <w:rFonts w:hint="eastAsia"/>
                <w:szCs w:val="24"/>
              </w:rPr>
              <w:t>林琼祁</w:t>
            </w:r>
            <w:r>
              <w:rPr>
                <w:szCs w:val="24"/>
              </w:rPr>
              <w:t>;</w:t>
            </w:r>
            <w:r>
              <w:rPr>
                <w:rFonts w:hint="eastAsia"/>
                <w:szCs w:val="24"/>
              </w:rPr>
              <w:t>孟祥霞</w:t>
            </w:r>
            <w:r>
              <w:rPr>
                <w:szCs w:val="24"/>
              </w:rPr>
              <w:t>;</w:t>
            </w:r>
            <w:r>
              <w:rPr>
                <w:rFonts w:hint="eastAsia"/>
                <w:szCs w:val="24"/>
              </w:rPr>
              <w:t>斯琴都仁</w:t>
            </w:r>
            <w:r>
              <w:rPr>
                <w:szCs w:val="24"/>
              </w:rPr>
              <w:t>;</w:t>
            </w:r>
            <w:r>
              <w:rPr>
                <w:rFonts w:hint="eastAsia"/>
                <w:szCs w:val="24"/>
              </w:rPr>
              <w:t>沃燕波</w:t>
            </w:r>
            <w:r>
              <w:rPr>
                <w:szCs w:val="24"/>
              </w:rPr>
              <w:t>;</w:t>
            </w:r>
            <w:r>
              <w:rPr>
                <w:rFonts w:hint="eastAsia"/>
                <w:szCs w:val="24"/>
              </w:rPr>
              <w:t>吴立山</w:t>
            </w:r>
            <w:r>
              <w:rPr>
                <w:szCs w:val="24"/>
              </w:rPr>
              <w:t>;</w:t>
            </w:r>
            <w:r>
              <w:rPr>
                <w:rFonts w:hint="eastAsia"/>
                <w:szCs w:val="24"/>
              </w:rPr>
              <w:t>叶辉</w:t>
            </w:r>
            <w:r>
              <w:rPr>
                <w:szCs w:val="24"/>
              </w:rPr>
              <w:t>;</w:t>
            </w:r>
            <w:r>
              <w:rPr>
                <w:rFonts w:hint="eastAsia"/>
                <w:szCs w:val="24"/>
              </w:rPr>
              <w:t>周英章</w:t>
            </w:r>
            <w:r>
              <w:rPr>
                <w:szCs w:val="24"/>
              </w:rPr>
              <w:t>;</w:t>
            </w:r>
            <w:r>
              <w:rPr>
                <w:rFonts w:hint="eastAsia"/>
                <w:szCs w:val="24"/>
              </w:rPr>
              <w:t>卓红叶</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股份限售承诺</w:t>
            </w:r>
          </w:p>
        </w:tc>
        <w:tc>
          <w:tcPr>
            <w:tcW w:w="42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w:t>
            </w:r>
            <w:r>
              <w:rPr>
                <w:rFonts w:hint="eastAsia"/>
                <w:szCs w:val="24"/>
              </w:rPr>
              <w:t>直接持有发行人股份的高级管理人员叶辉、周英章承诺：自公司股票上市之日起</w:t>
            </w:r>
            <w:r>
              <w:rPr>
                <w:szCs w:val="24"/>
              </w:rPr>
              <w:t>36</w:t>
            </w:r>
            <w:r>
              <w:rPr>
                <w:rFonts w:hint="eastAsia"/>
                <w:szCs w:val="24"/>
              </w:rPr>
              <w:t>个月内，不转让或者委托他人管理其直接或者间接持有的公司公开发行股票前已发行的股份，也不由公司回购上述股份。通过宁波美康盛德投资咨询有限公司持有发行人股份的董事卓红叶，高级管理人员沃燕波、斯琴都仁，监事吴立山、林琼祁、贾江花承诺：自公司股票上市之日起</w:t>
            </w:r>
            <w:r>
              <w:rPr>
                <w:szCs w:val="24"/>
              </w:rPr>
              <w:t>36</w:t>
            </w:r>
            <w:r>
              <w:rPr>
                <w:rFonts w:hint="eastAsia"/>
                <w:szCs w:val="24"/>
              </w:rPr>
              <w:t>个月内不转让或者委托他人管理本次发行前本人间接持有的公司股份，也不由公司回购本人间接持有的该部分股份。通过宁波创业加速器投资有限公司间接持有发行人股份的董事陈琦伟承诺：自公司股票上市之日起</w:t>
            </w:r>
            <w:r>
              <w:rPr>
                <w:szCs w:val="24"/>
              </w:rPr>
              <w:t>12</w:t>
            </w:r>
            <w:r>
              <w:rPr>
                <w:rFonts w:hint="eastAsia"/>
                <w:szCs w:val="24"/>
              </w:rPr>
              <w:t>个月内不转让或者委托他人管理本次发行前本人间接持有的公司股份，也不由公司回购本人间接持有的该部分股份。除上述锁定期外，在任职期间每年转让的股份不超过其直接或者间接所持有公司股份总数的</w:t>
            </w:r>
            <w:r>
              <w:rPr>
                <w:szCs w:val="24"/>
              </w:rPr>
              <w:t>25%</w:t>
            </w:r>
            <w:r>
              <w:rPr>
                <w:rFonts w:hint="eastAsia"/>
                <w:szCs w:val="24"/>
              </w:rPr>
              <w:t>；离职后半年内，不转让其直接或者间接所持有的公司股份；自公司股票上市之日起</w:t>
            </w:r>
            <w:r>
              <w:rPr>
                <w:szCs w:val="24"/>
              </w:rPr>
              <w:t>6</w:t>
            </w:r>
            <w:r>
              <w:rPr>
                <w:rFonts w:hint="eastAsia"/>
                <w:szCs w:val="24"/>
              </w:rPr>
              <w:t>个月内申报离职的，自申报离职之日起</w:t>
            </w:r>
            <w:r>
              <w:rPr>
                <w:szCs w:val="24"/>
              </w:rPr>
              <w:t>18</w:t>
            </w:r>
            <w:r>
              <w:rPr>
                <w:rFonts w:hint="eastAsia"/>
                <w:szCs w:val="24"/>
              </w:rPr>
              <w:t>个月内不转让其直接或者间接所持有的公司股份；自公司股票上市之日起第</w:t>
            </w:r>
            <w:r>
              <w:rPr>
                <w:szCs w:val="24"/>
              </w:rPr>
              <w:t>7</w:t>
            </w:r>
            <w:r>
              <w:rPr>
                <w:rFonts w:hint="eastAsia"/>
                <w:szCs w:val="24"/>
              </w:rPr>
              <w:t>个月至第</w:t>
            </w:r>
            <w:r>
              <w:rPr>
                <w:szCs w:val="24"/>
              </w:rPr>
              <w:t>12</w:t>
            </w:r>
            <w:r>
              <w:rPr>
                <w:rFonts w:hint="eastAsia"/>
                <w:szCs w:val="24"/>
              </w:rPr>
              <w:t>个月之间申报离职的，自申报离职之日起</w:t>
            </w:r>
            <w:r>
              <w:rPr>
                <w:szCs w:val="24"/>
              </w:rPr>
              <w:t>12</w:t>
            </w:r>
            <w:r>
              <w:rPr>
                <w:rFonts w:hint="eastAsia"/>
                <w:szCs w:val="24"/>
              </w:rPr>
              <w:t>个月内不转让其直接或者间接所持有的公司股份。如果公司股票上市之日起</w:t>
            </w:r>
            <w:r>
              <w:rPr>
                <w:szCs w:val="24"/>
              </w:rPr>
              <w:t>6</w:t>
            </w:r>
            <w:r>
              <w:rPr>
                <w:rFonts w:hint="eastAsia"/>
                <w:szCs w:val="24"/>
              </w:rPr>
              <w:t>个月内连续</w:t>
            </w:r>
            <w:r>
              <w:rPr>
                <w:szCs w:val="24"/>
              </w:rPr>
              <w:t>20</w:t>
            </w:r>
            <w:r>
              <w:rPr>
                <w:rFonts w:hint="eastAsia"/>
                <w:szCs w:val="24"/>
              </w:rPr>
              <w:t>个交易日的收盘价均低于首次公开发行价格或者上市后</w:t>
            </w:r>
            <w:r>
              <w:rPr>
                <w:szCs w:val="24"/>
              </w:rPr>
              <w:t>6</w:t>
            </w:r>
            <w:r>
              <w:rPr>
                <w:rFonts w:hint="eastAsia"/>
                <w:szCs w:val="24"/>
              </w:rPr>
              <w:t>个月期末收盘价（如果公司在该期限内存在派息、送股、资本公积金转增股本、配股、增发等除权除息事项，则收盘价进行相应调整）低于首次公开发行价格，则本人直接或间接持有公司股份的限售期限在前述锁定期基础上自动延长</w:t>
            </w:r>
            <w:r>
              <w:rPr>
                <w:szCs w:val="24"/>
              </w:rPr>
              <w:t>6</w:t>
            </w:r>
            <w:r>
              <w:rPr>
                <w:rFonts w:hint="eastAsia"/>
                <w:szCs w:val="24"/>
              </w:rPr>
              <w:t>个月。</w:t>
            </w:r>
            <w:r>
              <w:rPr>
                <w:szCs w:val="24"/>
              </w:rPr>
              <w:t>"</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2015</w:t>
            </w:r>
            <w:r>
              <w:rPr>
                <w:rFonts w:hint="eastAsia"/>
                <w:szCs w:val="24"/>
              </w:rPr>
              <w:t>年</w:t>
            </w:r>
            <w:r>
              <w:rPr>
                <w:szCs w:val="24"/>
              </w:rPr>
              <w:t>04</w:t>
            </w:r>
            <w:r>
              <w:rPr>
                <w:rFonts w:hint="eastAsia"/>
                <w:szCs w:val="24"/>
              </w:rPr>
              <w:t>月</w:t>
            </w:r>
            <w:r>
              <w:rPr>
                <w:szCs w:val="24"/>
              </w:rPr>
              <w:t>22</w:t>
            </w:r>
            <w:r>
              <w:rPr>
                <w:rFonts w:hint="eastAsia"/>
                <w:szCs w:val="24"/>
              </w:rPr>
              <w:t>日</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36</w:t>
            </w:r>
            <w:r>
              <w:rPr>
                <w:rFonts w:hint="eastAsia"/>
                <w:szCs w:val="24"/>
              </w:rPr>
              <w:t>个月</w:t>
            </w:r>
          </w:p>
        </w:tc>
        <w:tc>
          <w:tcPr>
            <w:tcW w:w="8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已履行完毕</w:t>
            </w:r>
          </w:p>
        </w:tc>
      </w:tr>
      <w:tr>
        <w:tblPrEx>
          <w:tblCellMar>
            <w:top w:w="0" w:type="dxa"/>
            <w:left w:w="28" w:type="dxa"/>
            <w:bottom w:w="0" w:type="dxa"/>
            <w:right w:w="28" w:type="dxa"/>
          </w:tblCellMar>
        </w:tblPrEx>
        <w:tc>
          <w:tcPr>
            <w:tcW w:w="1101"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邹继华</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股份限售及减持承诺</w:t>
            </w:r>
          </w:p>
        </w:tc>
        <w:tc>
          <w:tcPr>
            <w:tcW w:w="42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自公司股票上市之日起三十六个月内，不转让或者委托他人管理其直接或者间接持有的公司公开发行股票前已发行的股份，也不由公司回购上述股份。如果公司股票上市之日起</w:t>
            </w:r>
            <w:r>
              <w:rPr>
                <w:szCs w:val="24"/>
              </w:rPr>
              <w:t>6</w:t>
            </w:r>
            <w:r>
              <w:rPr>
                <w:rFonts w:hint="eastAsia"/>
                <w:szCs w:val="24"/>
              </w:rPr>
              <w:t>个月内连续</w:t>
            </w:r>
            <w:r>
              <w:rPr>
                <w:szCs w:val="24"/>
              </w:rPr>
              <w:t>20</w:t>
            </w:r>
            <w:r>
              <w:rPr>
                <w:rFonts w:hint="eastAsia"/>
                <w:szCs w:val="24"/>
              </w:rPr>
              <w:t>个交易日的收盘价均低于首次公开发行价格或者上市后</w:t>
            </w:r>
            <w:r>
              <w:rPr>
                <w:szCs w:val="24"/>
              </w:rPr>
              <w:t>6</w:t>
            </w:r>
            <w:r>
              <w:rPr>
                <w:rFonts w:hint="eastAsia"/>
                <w:szCs w:val="24"/>
              </w:rPr>
              <w:t>个月期末收盘价（如果公司在该期限内存在派息、送股、资本公积金转增股本、配股、增发等除权除息事项，则收盘价进行相应调整）低于首次公开发行价格，则其直接及间接持有公司股份的限售期限在</w:t>
            </w:r>
            <w:r>
              <w:rPr>
                <w:szCs w:val="24"/>
              </w:rPr>
              <w:t>36</w:t>
            </w:r>
            <w:r>
              <w:rPr>
                <w:rFonts w:hint="eastAsia"/>
                <w:szCs w:val="24"/>
              </w:rPr>
              <w:t>个月基础上自动延长</w:t>
            </w:r>
            <w:r>
              <w:rPr>
                <w:szCs w:val="24"/>
              </w:rPr>
              <w:t>6</w:t>
            </w:r>
            <w:r>
              <w:rPr>
                <w:rFonts w:hint="eastAsia"/>
                <w:szCs w:val="24"/>
              </w:rPr>
              <w:t>个月。如果在锁定期满后的</w:t>
            </w:r>
            <w:r>
              <w:rPr>
                <w:szCs w:val="24"/>
              </w:rPr>
              <w:t>24</w:t>
            </w:r>
            <w:r>
              <w:rPr>
                <w:rFonts w:hint="eastAsia"/>
                <w:szCs w:val="24"/>
              </w:rPr>
              <w:t>个月内进行减持的，减持股票的价格（如果公司在该期限内存在派息、送股、资本公积金转增股本、配股、增发等除权除息事项，则减持价进行相应调整）不低于本次公开发行价。</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2015</w:t>
            </w:r>
            <w:r>
              <w:rPr>
                <w:rFonts w:hint="eastAsia"/>
                <w:szCs w:val="24"/>
              </w:rPr>
              <w:t>年</w:t>
            </w:r>
            <w:r>
              <w:rPr>
                <w:szCs w:val="24"/>
              </w:rPr>
              <w:t>04</w:t>
            </w:r>
            <w:r>
              <w:rPr>
                <w:rFonts w:hint="eastAsia"/>
                <w:szCs w:val="24"/>
              </w:rPr>
              <w:t>月</w:t>
            </w:r>
            <w:r>
              <w:rPr>
                <w:szCs w:val="24"/>
              </w:rPr>
              <w:t>22</w:t>
            </w:r>
            <w:r>
              <w:rPr>
                <w:rFonts w:hint="eastAsia"/>
                <w:szCs w:val="24"/>
              </w:rPr>
              <w:t>日</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36</w:t>
            </w:r>
            <w:r>
              <w:rPr>
                <w:rFonts w:hint="eastAsia"/>
                <w:szCs w:val="24"/>
              </w:rPr>
              <w:t>个月</w:t>
            </w:r>
          </w:p>
        </w:tc>
        <w:tc>
          <w:tcPr>
            <w:tcW w:w="8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正常履行中</w:t>
            </w:r>
          </w:p>
        </w:tc>
      </w:tr>
      <w:tr>
        <w:tblPrEx>
          <w:tblCellMar>
            <w:top w:w="0" w:type="dxa"/>
            <w:left w:w="28" w:type="dxa"/>
            <w:bottom w:w="0" w:type="dxa"/>
            <w:right w:w="28" w:type="dxa"/>
          </w:tblCellMar>
        </w:tblPrEx>
        <w:tc>
          <w:tcPr>
            <w:tcW w:w="1101"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宁波美康盛德投资咨询有限公司</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股份限售承诺</w:t>
            </w:r>
          </w:p>
        </w:tc>
        <w:tc>
          <w:tcPr>
            <w:tcW w:w="42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w:t>
            </w:r>
            <w:r>
              <w:rPr>
                <w:rFonts w:hint="eastAsia"/>
                <w:szCs w:val="24"/>
              </w:rPr>
              <w:t>自公司股票上市之日起三十六个月内，不转让或者委托他人管理其直接或者间接持有的公司公开发行股票前已发行的股份，也不由公司回购上述股份。如果公司股票上市之日起</w:t>
            </w:r>
            <w:r>
              <w:rPr>
                <w:szCs w:val="24"/>
              </w:rPr>
              <w:t>6</w:t>
            </w:r>
            <w:r>
              <w:rPr>
                <w:rFonts w:hint="eastAsia"/>
                <w:szCs w:val="24"/>
              </w:rPr>
              <w:t>个月内连续</w:t>
            </w:r>
            <w:r>
              <w:rPr>
                <w:szCs w:val="24"/>
              </w:rPr>
              <w:t>20</w:t>
            </w:r>
            <w:r>
              <w:rPr>
                <w:rFonts w:hint="eastAsia"/>
                <w:szCs w:val="24"/>
              </w:rPr>
              <w:t>个交易日的收盘价均低于首次公开发行价格或者上市后</w:t>
            </w:r>
            <w:r>
              <w:rPr>
                <w:szCs w:val="24"/>
              </w:rPr>
              <w:t>6</w:t>
            </w:r>
            <w:r>
              <w:rPr>
                <w:rFonts w:hint="eastAsia"/>
                <w:szCs w:val="24"/>
              </w:rPr>
              <w:t>个月期末收盘价（如果公司在该期限内存在派息、送股、资本公积金转增股本、配股、增发等除权除息事项，则收盘价进行相应调整）低于首次公开发行价格，则其直接及间接持有公司股份的限售期限在</w:t>
            </w:r>
            <w:r>
              <w:rPr>
                <w:szCs w:val="24"/>
              </w:rPr>
              <w:t>36</w:t>
            </w:r>
            <w:r>
              <w:rPr>
                <w:rFonts w:hint="eastAsia"/>
                <w:szCs w:val="24"/>
              </w:rPr>
              <w:t>个月基础上自动延长</w:t>
            </w:r>
            <w:r>
              <w:rPr>
                <w:szCs w:val="24"/>
              </w:rPr>
              <w:t>6</w:t>
            </w:r>
            <w:r>
              <w:rPr>
                <w:rFonts w:hint="eastAsia"/>
                <w:szCs w:val="24"/>
              </w:rPr>
              <w:t>个月。</w:t>
            </w:r>
            <w:r>
              <w:rPr>
                <w:szCs w:val="24"/>
              </w:rPr>
              <w:t>"</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2015</w:t>
            </w:r>
            <w:r>
              <w:rPr>
                <w:rFonts w:hint="eastAsia"/>
                <w:szCs w:val="24"/>
              </w:rPr>
              <w:t>年</w:t>
            </w:r>
            <w:r>
              <w:rPr>
                <w:szCs w:val="24"/>
              </w:rPr>
              <w:t>04</w:t>
            </w:r>
            <w:r>
              <w:rPr>
                <w:rFonts w:hint="eastAsia"/>
                <w:szCs w:val="24"/>
              </w:rPr>
              <w:t>月</w:t>
            </w:r>
            <w:r>
              <w:rPr>
                <w:szCs w:val="24"/>
              </w:rPr>
              <w:t>22</w:t>
            </w:r>
            <w:r>
              <w:rPr>
                <w:rFonts w:hint="eastAsia"/>
                <w:szCs w:val="24"/>
              </w:rPr>
              <w:t>日</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36</w:t>
            </w:r>
            <w:r>
              <w:rPr>
                <w:rFonts w:hint="eastAsia"/>
                <w:szCs w:val="24"/>
              </w:rPr>
              <w:t>个月</w:t>
            </w:r>
          </w:p>
        </w:tc>
        <w:tc>
          <w:tcPr>
            <w:tcW w:w="8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已履行完毕</w:t>
            </w:r>
          </w:p>
        </w:tc>
      </w:tr>
      <w:tr>
        <w:tblPrEx>
          <w:tblCellMar>
            <w:top w:w="0" w:type="dxa"/>
            <w:left w:w="28" w:type="dxa"/>
            <w:bottom w:w="0" w:type="dxa"/>
            <w:right w:w="28" w:type="dxa"/>
          </w:tblCellMar>
        </w:tblPrEx>
        <w:tc>
          <w:tcPr>
            <w:tcW w:w="1101"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邹炳德</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股份限售承诺</w:t>
            </w:r>
          </w:p>
        </w:tc>
        <w:tc>
          <w:tcPr>
            <w:tcW w:w="42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w:t>
            </w:r>
            <w:r>
              <w:rPr>
                <w:rFonts w:hint="eastAsia"/>
                <w:szCs w:val="24"/>
              </w:rPr>
              <w:t>自公司股票上市之日起三十六个月内，不转让或者委托他人管理其直接或者间接持有的公司公开发行股票前已发行的股份，也不由公司回购上述股份。如果公司股票上市之日起</w:t>
            </w:r>
            <w:r>
              <w:rPr>
                <w:szCs w:val="24"/>
              </w:rPr>
              <w:t>6</w:t>
            </w:r>
            <w:r>
              <w:rPr>
                <w:rFonts w:hint="eastAsia"/>
                <w:szCs w:val="24"/>
              </w:rPr>
              <w:t>个月内连续</w:t>
            </w:r>
            <w:r>
              <w:rPr>
                <w:szCs w:val="24"/>
              </w:rPr>
              <w:t>20</w:t>
            </w:r>
            <w:r>
              <w:rPr>
                <w:rFonts w:hint="eastAsia"/>
                <w:szCs w:val="24"/>
              </w:rPr>
              <w:t>个交易日的收盘价均低于首次公开发行价格或者上市后</w:t>
            </w:r>
            <w:r>
              <w:rPr>
                <w:szCs w:val="24"/>
              </w:rPr>
              <w:t>6</w:t>
            </w:r>
            <w:r>
              <w:rPr>
                <w:rFonts w:hint="eastAsia"/>
                <w:szCs w:val="24"/>
              </w:rPr>
              <w:t>个月期末收盘价（如果公司在该期限内存在派息、送股、资本公积金转增股本、配股、增发等除权除息事项，则收盘价进行相应调整）低于首次公开发行价格，则其直接及间接持有公司股份的限售期限在</w:t>
            </w:r>
            <w:r>
              <w:rPr>
                <w:szCs w:val="24"/>
              </w:rPr>
              <w:t>36</w:t>
            </w:r>
            <w:r>
              <w:rPr>
                <w:rFonts w:hint="eastAsia"/>
                <w:szCs w:val="24"/>
              </w:rPr>
              <w:t>个月基础上自动延长</w:t>
            </w:r>
            <w:r>
              <w:rPr>
                <w:szCs w:val="24"/>
              </w:rPr>
              <w:t>6</w:t>
            </w:r>
            <w:r>
              <w:rPr>
                <w:rFonts w:hint="eastAsia"/>
                <w:szCs w:val="24"/>
              </w:rPr>
              <w:t>个月。</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2015</w:t>
            </w:r>
            <w:r>
              <w:rPr>
                <w:rFonts w:hint="eastAsia"/>
                <w:szCs w:val="24"/>
              </w:rPr>
              <w:t>年</w:t>
            </w:r>
            <w:r>
              <w:rPr>
                <w:szCs w:val="24"/>
              </w:rPr>
              <w:t>04</w:t>
            </w:r>
            <w:r>
              <w:rPr>
                <w:rFonts w:hint="eastAsia"/>
                <w:szCs w:val="24"/>
              </w:rPr>
              <w:t>月</w:t>
            </w:r>
            <w:r>
              <w:rPr>
                <w:szCs w:val="24"/>
              </w:rPr>
              <w:t>22</w:t>
            </w:r>
            <w:r>
              <w:rPr>
                <w:rFonts w:hint="eastAsia"/>
                <w:szCs w:val="24"/>
              </w:rPr>
              <w:t>日</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36</w:t>
            </w:r>
            <w:r>
              <w:rPr>
                <w:rFonts w:hint="eastAsia"/>
                <w:szCs w:val="24"/>
              </w:rPr>
              <w:t>个月</w:t>
            </w:r>
          </w:p>
        </w:tc>
        <w:tc>
          <w:tcPr>
            <w:tcW w:w="8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已履行完毕</w:t>
            </w:r>
          </w:p>
        </w:tc>
      </w:tr>
      <w:tr>
        <w:tblPrEx>
          <w:tblCellMar>
            <w:top w:w="0" w:type="dxa"/>
            <w:left w:w="28" w:type="dxa"/>
            <w:bottom w:w="0" w:type="dxa"/>
            <w:right w:w="28" w:type="dxa"/>
          </w:tblCellMar>
        </w:tblPrEx>
        <w:tc>
          <w:tcPr>
            <w:tcW w:w="1101"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宁波美康盛德投资咨询有限公司</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股份减持承诺</w:t>
            </w:r>
          </w:p>
        </w:tc>
        <w:tc>
          <w:tcPr>
            <w:tcW w:w="42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在锁定期满后的</w:t>
            </w:r>
            <w:r>
              <w:rPr>
                <w:szCs w:val="24"/>
              </w:rPr>
              <w:t>24</w:t>
            </w:r>
            <w:r>
              <w:rPr>
                <w:rFonts w:hint="eastAsia"/>
                <w:szCs w:val="24"/>
              </w:rPr>
              <w:t>个月内，每年度减持股份数量不超过其上年度末持有的公司股份总数的</w:t>
            </w:r>
            <w:r>
              <w:rPr>
                <w:szCs w:val="24"/>
              </w:rPr>
              <w:t>25%</w:t>
            </w:r>
            <w:r>
              <w:rPr>
                <w:rFonts w:hint="eastAsia"/>
                <w:szCs w:val="24"/>
              </w:rPr>
              <w:t>，减持方式为通过深圳证券交易所竞价交易系统、大宗交易平台或深圳证券交易所允许的其他转让方式。每次减持时，盛德投资将通知公司将本次减持的数量、价格区间、时间区间等内容提前</w:t>
            </w:r>
            <w:r>
              <w:rPr>
                <w:szCs w:val="24"/>
              </w:rPr>
              <w:t>3</w:t>
            </w:r>
            <w:r>
              <w:rPr>
                <w:rFonts w:hint="eastAsia"/>
                <w:szCs w:val="24"/>
              </w:rPr>
              <w:t>个交易日予以公告。盛德投资如违反前述持股承诺进行减持的，则其减持时转让价与发行价的差价所得收益全部归属公司，若转让价格低于发行价格的，则其将转让收入与按发行价格计算的金额之间的差价交付公司。</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2015</w:t>
            </w:r>
            <w:r>
              <w:rPr>
                <w:rFonts w:hint="eastAsia"/>
                <w:szCs w:val="24"/>
              </w:rPr>
              <w:t>年</w:t>
            </w:r>
            <w:r>
              <w:rPr>
                <w:szCs w:val="24"/>
              </w:rPr>
              <w:t>04</w:t>
            </w:r>
            <w:r>
              <w:rPr>
                <w:rFonts w:hint="eastAsia"/>
                <w:szCs w:val="24"/>
              </w:rPr>
              <w:t>月</w:t>
            </w:r>
            <w:r>
              <w:rPr>
                <w:szCs w:val="24"/>
              </w:rPr>
              <w:t>22</w:t>
            </w:r>
            <w:r>
              <w:rPr>
                <w:rFonts w:hint="eastAsia"/>
                <w:szCs w:val="24"/>
              </w:rPr>
              <w:t>日</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24</w:t>
            </w:r>
            <w:r>
              <w:rPr>
                <w:rFonts w:hint="eastAsia"/>
                <w:szCs w:val="24"/>
              </w:rPr>
              <w:t>个月</w:t>
            </w:r>
          </w:p>
        </w:tc>
        <w:tc>
          <w:tcPr>
            <w:tcW w:w="8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正常履行中</w:t>
            </w:r>
          </w:p>
        </w:tc>
      </w:tr>
      <w:tr>
        <w:tblPrEx>
          <w:tblCellMar>
            <w:top w:w="0" w:type="dxa"/>
            <w:left w:w="28" w:type="dxa"/>
            <w:bottom w:w="0" w:type="dxa"/>
            <w:right w:w="28" w:type="dxa"/>
          </w:tblCellMar>
        </w:tblPrEx>
        <w:tc>
          <w:tcPr>
            <w:tcW w:w="1101"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邹炳德</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股份减持承诺</w:t>
            </w:r>
          </w:p>
        </w:tc>
        <w:tc>
          <w:tcPr>
            <w:tcW w:w="42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在锁定期满后的</w:t>
            </w:r>
            <w:r>
              <w:rPr>
                <w:szCs w:val="24"/>
              </w:rPr>
              <w:t>24</w:t>
            </w:r>
            <w:r>
              <w:rPr>
                <w:rFonts w:hint="eastAsia"/>
                <w:szCs w:val="24"/>
              </w:rPr>
              <w:t>个月内，在不对公司控制权产生影响及不违反本人在首次公开发行时所作出的公开承诺的前提下进行减持，减持股份数量不超过本人直接及间接持有的公司股份总数的</w:t>
            </w:r>
            <w:r>
              <w:rPr>
                <w:szCs w:val="24"/>
              </w:rPr>
              <w:t>10%</w:t>
            </w:r>
            <w:r>
              <w:rPr>
                <w:rFonts w:hint="eastAsia"/>
                <w:szCs w:val="24"/>
              </w:rPr>
              <w:t>。每次减持时，本人将通知公司将本次减持的数量、价格区间、时间区间等内容提前三个交易日予以公告。本人如违反前述持股承诺进行减持的，则本人减持时转让价与发行价的差价所得收益全部归属公司，若转让价格低于发行价格的，则将转让收入与按发行价格计算的金额之间的差价交付公司。</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2015</w:t>
            </w:r>
            <w:r>
              <w:rPr>
                <w:rFonts w:hint="eastAsia"/>
                <w:szCs w:val="24"/>
              </w:rPr>
              <w:t>年</w:t>
            </w:r>
            <w:r>
              <w:rPr>
                <w:szCs w:val="24"/>
              </w:rPr>
              <w:t>04</w:t>
            </w:r>
            <w:r>
              <w:rPr>
                <w:rFonts w:hint="eastAsia"/>
                <w:szCs w:val="24"/>
              </w:rPr>
              <w:t>月</w:t>
            </w:r>
            <w:r>
              <w:rPr>
                <w:szCs w:val="24"/>
              </w:rPr>
              <w:t>22</w:t>
            </w:r>
            <w:r>
              <w:rPr>
                <w:rFonts w:hint="eastAsia"/>
                <w:szCs w:val="24"/>
              </w:rPr>
              <w:t>日</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24</w:t>
            </w:r>
            <w:r>
              <w:rPr>
                <w:rFonts w:hint="eastAsia"/>
                <w:szCs w:val="24"/>
              </w:rPr>
              <w:t>个月</w:t>
            </w:r>
          </w:p>
        </w:tc>
        <w:tc>
          <w:tcPr>
            <w:tcW w:w="8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正常履行中</w:t>
            </w:r>
          </w:p>
        </w:tc>
      </w:tr>
      <w:tr>
        <w:tblPrEx>
          <w:tblCellMar>
            <w:top w:w="0" w:type="dxa"/>
            <w:left w:w="28" w:type="dxa"/>
            <w:bottom w:w="0" w:type="dxa"/>
            <w:right w:w="28" w:type="dxa"/>
          </w:tblCellMar>
        </w:tblPrEx>
        <w:tc>
          <w:tcPr>
            <w:tcW w:w="1101"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邹炳德</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关于同业竞争、关联交易、资金占用方面的承诺</w:t>
            </w:r>
          </w:p>
        </w:tc>
        <w:tc>
          <w:tcPr>
            <w:tcW w:w="42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w:t>
            </w:r>
            <w:r>
              <w:rPr>
                <w:rFonts w:hint="eastAsia"/>
                <w:szCs w:val="24"/>
              </w:rPr>
              <w:t>一、关于减少及规范关联交易的承诺</w:t>
            </w:r>
            <w:r>
              <w:rPr>
                <w:szCs w:val="24"/>
              </w:rPr>
              <w:t>1</w:t>
            </w:r>
            <w:r>
              <w:rPr>
                <w:rFonts w:hint="eastAsia"/>
                <w:szCs w:val="24"/>
              </w:rPr>
              <w:t>、本人不会利用控股股东和实际控制人地位及与公司之间的关联关系损害公司利益和其他股东的合法权益。</w:t>
            </w:r>
            <w:r>
              <w:rPr>
                <w:szCs w:val="24"/>
              </w:rPr>
              <w:t>2</w:t>
            </w:r>
            <w:r>
              <w:rPr>
                <w:rFonts w:hint="eastAsia"/>
                <w:szCs w:val="24"/>
              </w:rPr>
              <w:t>、自本承诺函出具日起本人及本人控制的其他企业或经济组织将不会以任何理由和方式占用公司的资金或其他资产。</w:t>
            </w:r>
            <w:r>
              <w:rPr>
                <w:szCs w:val="24"/>
              </w:rPr>
              <w:t>3</w:t>
            </w:r>
            <w:r>
              <w:rPr>
                <w:rFonts w:hint="eastAsia"/>
                <w:szCs w:val="24"/>
              </w:rPr>
              <w:t>、本人及本人控制的其他企业或经济组织将尽量避免或减少与公司发生关联交易，如关联交易无法避免，将按照公平合理和正常的商业交易条件进行，将不会要求或接受公司给予比在任何一项市场公平交易中第三者更优惠的条件。</w:t>
            </w:r>
            <w:r>
              <w:rPr>
                <w:szCs w:val="24"/>
              </w:rPr>
              <w:t>4</w:t>
            </w:r>
            <w:r>
              <w:rPr>
                <w:rFonts w:hint="eastAsia"/>
                <w:szCs w:val="24"/>
              </w:rPr>
              <w:t>、本人及本人控制的其他企业或经济组织将严格和善意地履行与公司签订的各种关联交易协议，不会向公司谋求任何超出上述规定以外的利益或收益。</w:t>
            </w:r>
            <w:r>
              <w:rPr>
                <w:szCs w:val="24"/>
              </w:rPr>
              <w:t>5</w:t>
            </w:r>
            <w:r>
              <w:rPr>
                <w:rFonts w:hint="eastAsia"/>
                <w:szCs w:val="24"/>
              </w:rPr>
              <w:t>、若违反上述承诺，本人将承担相应的法律责任，包括但不限于由此给公司及其他股东造成的全部损失。二、避免同业竞争的承诺</w:t>
            </w:r>
            <w:r>
              <w:rPr>
                <w:szCs w:val="24"/>
              </w:rPr>
              <w:t>1</w:t>
            </w:r>
            <w:r>
              <w:rPr>
                <w:rFonts w:hint="eastAsia"/>
                <w:szCs w:val="24"/>
              </w:rPr>
              <w:t>、本人及本人控制的企业或其他经济组织目前未从事与美康生物及其控股子公司现有业务相同或类似的业务，本人及本人控制的企业或其他经济组织与美康生物及其控股子公司不构成同业竞争；</w:t>
            </w:r>
            <w:r>
              <w:rPr>
                <w:szCs w:val="24"/>
              </w:rPr>
              <w:t>2</w:t>
            </w:r>
            <w:r>
              <w:rPr>
                <w:rFonts w:hint="eastAsia"/>
                <w:szCs w:val="24"/>
              </w:rPr>
              <w:t>、本人今后不会以任何方式经营或从事与美康生物及其控股子公司构成竞争的业务或活动，如果本人及本人控制的企业或其他经济组织有任何与美康生物及其控股子公司从事相同或类似业务的商业机会，本人将无偿将该等商业机会让渡给美康生物及其控股子公司；</w:t>
            </w:r>
            <w:r>
              <w:rPr>
                <w:szCs w:val="24"/>
              </w:rPr>
              <w:t>3</w:t>
            </w:r>
            <w:r>
              <w:rPr>
                <w:rFonts w:hint="eastAsia"/>
                <w:szCs w:val="24"/>
              </w:rPr>
              <w:t>、如果本人及本人控制的企业或其他经济组织违反上述承诺，本人将向美康生物承担相应的赔偿责任；</w:t>
            </w:r>
            <w:r>
              <w:rPr>
                <w:szCs w:val="24"/>
              </w:rPr>
              <w:t>4</w:t>
            </w:r>
            <w:r>
              <w:rPr>
                <w:rFonts w:hint="eastAsia"/>
                <w:szCs w:val="24"/>
              </w:rPr>
              <w:t>、本承诺自本人签署后生效，且在本人直接或间接持有美康生物</w:t>
            </w:r>
            <w:r>
              <w:rPr>
                <w:szCs w:val="24"/>
              </w:rPr>
              <w:t>5%</w:t>
            </w:r>
            <w:r>
              <w:rPr>
                <w:rFonts w:hint="eastAsia"/>
                <w:szCs w:val="24"/>
              </w:rPr>
              <w:t>以上（含</w:t>
            </w:r>
            <w:r>
              <w:rPr>
                <w:szCs w:val="24"/>
              </w:rPr>
              <w:t>5%</w:t>
            </w:r>
            <w:r>
              <w:rPr>
                <w:rFonts w:hint="eastAsia"/>
                <w:szCs w:val="24"/>
              </w:rPr>
              <w:t>）股份期间持续有效。三、不占用公司资金的承诺本人及本人控制的企业及其他经济组织不存在占用公司及其控股子公司资金的情况。为规范未来与公司之间的资金往来，本人不以下列任何方式占用公司及控股子公司的资金：</w:t>
            </w:r>
            <w:r>
              <w:rPr>
                <w:szCs w:val="24"/>
              </w:rPr>
              <w:t>1.</w:t>
            </w:r>
            <w:r>
              <w:rPr>
                <w:rFonts w:hint="eastAsia"/>
                <w:szCs w:val="24"/>
              </w:rPr>
              <w:t>有偿或无偿地拆借公司的资金给本人或本人控制的企业或其他经济组织使用；</w:t>
            </w:r>
            <w:r>
              <w:rPr>
                <w:szCs w:val="24"/>
              </w:rPr>
              <w:t>2.</w:t>
            </w:r>
            <w:r>
              <w:rPr>
                <w:rFonts w:hint="eastAsia"/>
                <w:szCs w:val="24"/>
              </w:rPr>
              <w:t>通过银行或非银行金融机构向本人或本人控制的企业或其他经济组织提供委托贷款；</w:t>
            </w:r>
            <w:r>
              <w:rPr>
                <w:szCs w:val="24"/>
              </w:rPr>
              <w:t>3.</w:t>
            </w:r>
            <w:r>
              <w:rPr>
                <w:rFonts w:hint="eastAsia"/>
                <w:szCs w:val="24"/>
              </w:rPr>
              <w:t>委托本人或本人控制的企业或其他经济组织进行投资活动；</w:t>
            </w:r>
            <w:r>
              <w:rPr>
                <w:szCs w:val="24"/>
              </w:rPr>
              <w:t>4.</w:t>
            </w:r>
            <w:r>
              <w:rPr>
                <w:rFonts w:hint="eastAsia"/>
                <w:szCs w:val="24"/>
              </w:rPr>
              <w:t>为本人或本人控制的企业或其他经济组织开具没有真实交易背景的商业承兑汇票；</w:t>
            </w:r>
            <w:r>
              <w:rPr>
                <w:szCs w:val="24"/>
              </w:rPr>
              <w:t>5.</w:t>
            </w:r>
            <w:r>
              <w:rPr>
                <w:rFonts w:hint="eastAsia"/>
                <w:szCs w:val="24"/>
              </w:rPr>
              <w:t>代本人或本人控制的企业或其他经济组织偿还债务；</w:t>
            </w:r>
            <w:r>
              <w:rPr>
                <w:szCs w:val="24"/>
              </w:rPr>
              <w:t>6.</w:t>
            </w:r>
            <w:r>
              <w:rPr>
                <w:rFonts w:hint="eastAsia"/>
                <w:szCs w:val="24"/>
              </w:rPr>
              <w:t>违反公司章程的规定为本人或本人控制的企业或其他经济组织提供担保。</w:t>
            </w:r>
            <w:r>
              <w:rPr>
                <w:szCs w:val="24"/>
              </w:rPr>
              <w:t>"</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2015</w:t>
            </w:r>
            <w:r>
              <w:rPr>
                <w:rFonts w:hint="eastAsia"/>
                <w:szCs w:val="24"/>
              </w:rPr>
              <w:t>年</w:t>
            </w:r>
            <w:r>
              <w:rPr>
                <w:szCs w:val="24"/>
              </w:rPr>
              <w:t>04</w:t>
            </w:r>
            <w:r>
              <w:rPr>
                <w:rFonts w:hint="eastAsia"/>
                <w:szCs w:val="24"/>
              </w:rPr>
              <w:t>月</w:t>
            </w:r>
            <w:r>
              <w:rPr>
                <w:szCs w:val="24"/>
              </w:rPr>
              <w:t>22</w:t>
            </w:r>
            <w:r>
              <w:rPr>
                <w:rFonts w:hint="eastAsia"/>
                <w:szCs w:val="24"/>
              </w:rPr>
              <w:t>日</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长期</w:t>
            </w:r>
          </w:p>
        </w:tc>
        <w:tc>
          <w:tcPr>
            <w:tcW w:w="8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正常履行中</w:t>
            </w:r>
          </w:p>
        </w:tc>
      </w:tr>
      <w:tr>
        <w:tblPrEx>
          <w:tblCellMar>
            <w:top w:w="0" w:type="dxa"/>
            <w:left w:w="28" w:type="dxa"/>
            <w:bottom w:w="0" w:type="dxa"/>
            <w:right w:w="28" w:type="dxa"/>
          </w:tblCellMar>
        </w:tblPrEx>
        <w:tc>
          <w:tcPr>
            <w:tcW w:w="1101"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宁波美康盛德投资咨询有限公司</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关于同业竞争、关联交易、资金占用方面的承诺</w:t>
            </w:r>
          </w:p>
        </w:tc>
        <w:tc>
          <w:tcPr>
            <w:tcW w:w="42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w:t>
            </w:r>
            <w:r>
              <w:rPr>
                <w:rFonts w:hint="eastAsia"/>
                <w:szCs w:val="24"/>
              </w:rPr>
              <w:t>为避免同业竞争，盛德投资承诺：</w:t>
            </w:r>
            <w:r>
              <w:rPr>
                <w:szCs w:val="24"/>
              </w:rPr>
              <w:t>1</w:t>
            </w:r>
            <w:r>
              <w:rPr>
                <w:rFonts w:hint="eastAsia"/>
                <w:szCs w:val="24"/>
              </w:rPr>
              <w:t>、本公司目前未从事与美康生物及其控股子公司现有业务相同或类似的业务，与美康生物及其控股子公司不构成同业竞争；</w:t>
            </w:r>
            <w:r>
              <w:rPr>
                <w:szCs w:val="24"/>
              </w:rPr>
              <w:t>2</w:t>
            </w:r>
            <w:r>
              <w:rPr>
                <w:rFonts w:hint="eastAsia"/>
                <w:szCs w:val="24"/>
              </w:rPr>
              <w:t>、本公司今后不会以任何方式经营或从事与美康生物及其控股子公司构成竞争的业务或活动，如果本公司及本公司控制的企业或其他经济组织有任何与美康生物及其控股子公司从事相同或类似业务的商业机会，本公司将无偿将该等商业机会让渡给美康生物及其控股子公司；</w:t>
            </w:r>
            <w:r>
              <w:rPr>
                <w:szCs w:val="24"/>
              </w:rPr>
              <w:t>3</w:t>
            </w:r>
            <w:r>
              <w:rPr>
                <w:rFonts w:hint="eastAsia"/>
                <w:szCs w:val="24"/>
              </w:rPr>
              <w:t>、如果本公司及本公司控制的企业或其他经济组织违反上述承诺，本公司将向美康生物承担相应的赔偿责任；</w:t>
            </w:r>
            <w:r>
              <w:rPr>
                <w:szCs w:val="24"/>
              </w:rPr>
              <w:t>4</w:t>
            </w:r>
            <w:r>
              <w:rPr>
                <w:rFonts w:hint="eastAsia"/>
                <w:szCs w:val="24"/>
              </w:rPr>
              <w:t>、本承诺自本公司签署后生效，且在本公司直接或间接持有美康生物</w:t>
            </w:r>
            <w:r>
              <w:rPr>
                <w:szCs w:val="24"/>
              </w:rPr>
              <w:t>5%</w:t>
            </w:r>
            <w:r>
              <w:rPr>
                <w:rFonts w:hint="eastAsia"/>
                <w:szCs w:val="24"/>
              </w:rPr>
              <w:t>以上（含</w:t>
            </w:r>
            <w:r>
              <w:rPr>
                <w:szCs w:val="24"/>
              </w:rPr>
              <w:t>5%</w:t>
            </w:r>
            <w:r>
              <w:rPr>
                <w:rFonts w:hint="eastAsia"/>
                <w:szCs w:val="24"/>
              </w:rPr>
              <w:t>）股份期间持续有效。</w:t>
            </w:r>
            <w:r>
              <w:rPr>
                <w:szCs w:val="24"/>
              </w:rPr>
              <w:t>"</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2015</w:t>
            </w:r>
            <w:r>
              <w:rPr>
                <w:rFonts w:hint="eastAsia"/>
                <w:szCs w:val="24"/>
              </w:rPr>
              <w:t>年</w:t>
            </w:r>
            <w:r>
              <w:rPr>
                <w:szCs w:val="24"/>
              </w:rPr>
              <w:t>04</w:t>
            </w:r>
            <w:r>
              <w:rPr>
                <w:rFonts w:hint="eastAsia"/>
                <w:szCs w:val="24"/>
              </w:rPr>
              <w:t>月</w:t>
            </w:r>
            <w:r>
              <w:rPr>
                <w:szCs w:val="24"/>
              </w:rPr>
              <w:t>22</w:t>
            </w:r>
            <w:r>
              <w:rPr>
                <w:rFonts w:hint="eastAsia"/>
                <w:szCs w:val="24"/>
              </w:rPr>
              <w:t>日</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长期</w:t>
            </w:r>
          </w:p>
        </w:tc>
        <w:tc>
          <w:tcPr>
            <w:tcW w:w="8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正常履行中</w:t>
            </w:r>
          </w:p>
        </w:tc>
      </w:tr>
      <w:tr>
        <w:tblPrEx>
          <w:tblCellMar>
            <w:top w:w="0" w:type="dxa"/>
            <w:left w:w="28" w:type="dxa"/>
            <w:bottom w:w="0" w:type="dxa"/>
            <w:right w:w="28" w:type="dxa"/>
          </w:tblCellMar>
        </w:tblPrEx>
        <w:tc>
          <w:tcPr>
            <w:tcW w:w="1101"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陈琦伟</w:t>
            </w:r>
            <w:r>
              <w:rPr>
                <w:szCs w:val="24"/>
              </w:rPr>
              <w:t>;</w:t>
            </w:r>
            <w:r>
              <w:rPr>
                <w:rFonts w:hint="eastAsia"/>
                <w:szCs w:val="24"/>
              </w:rPr>
              <w:t>高基民</w:t>
            </w:r>
            <w:r>
              <w:rPr>
                <w:szCs w:val="24"/>
              </w:rPr>
              <w:t>;</w:t>
            </w:r>
            <w:r>
              <w:rPr>
                <w:rFonts w:hint="eastAsia"/>
                <w:szCs w:val="24"/>
              </w:rPr>
              <w:t>贾江花</w:t>
            </w:r>
            <w:r>
              <w:rPr>
                <w:szCs w:val="24"/>
              </w:rPr>
              <w:t>;</w:t>
            </w:r>
            <w:r>
              <w:rPr>
                <w:rFonts w:hint="eastAsia"/>
                <w:szCs w:val="24"/>
              </w:rPr>
              <w:t>林琼祁</w:t>
            </w:r>
            <w:r>
              <w:rPr>
                <w:szCs w:val="24"/>
              </w:rPr>
              <w:t>;</w:t>
            </w:r>
            <w:r>
              <w:rPr>
                <w:rFonts w:hint="eastAsia"/>
                <w:szCs w:val="24"/>
              </w:rPr>
              <w:t>孟祥霞</w:t>
            </w:r>
            <w:r>
              <w:rPr>
                <w:szCs w:val="24"/>
              </w:rPr>
              <w:t>;</w:t>
            </w:r>
            <w:r>
              <w:rPr>
                <w:rFonts w:hint="eastAsia"/>
                <w:szCs w:val="24"/>
              </w:rPr>
              <w:t>斯琴都仁</w:t>
            </w:r>
            <w:r>
              <w:rPr>
                <w:szCs w:val="24"/>
              </w:rPr>
              <w:t>;</w:t>
            </w:r>
            <w:r>
              <w:rPr>
                <w:rFonts w:hint="eastAsia"/>
                <w:szCs w:val="24"/>
              </w:rPr>
              <w:t>沃燕波</w:t>
            </w:r>
            <w:r>
              <w:rPr>
                <w:szCs w:val="24"/>
              </w:rPr>
              <w:t>;</w:t>
            </w:r>
            <w:r>
              <w:rPr>
                <w:rFonts w:hint="eastAsia"/>
                <w:szCs w:val="24"/>
              </w:rPr>
              <w:t>吴立山</w:t>
            </w:r>
            <w:r>
              <w:rPr>
                <w:szCs w:val="24"/>
              </w:rPr>
              <w:t>;</w:t>
            </w:r>
            <w:r>
              <w:rPr>
                <w:rFonts w:hint="eastAsia"/>
                <w:szCs w:val="24"/>
              </w:rPr>
              <w:t>叶辉</w:t>
            </w:r>
            <w:r>
              <w:rPr>
                <w:szCs w:val="24"/>
              </w:rPr>
              <w:t>;</w:t>
            </w:r>
            <w:r>
              <w:rPr>
                <w:rFonts w:hint="eastAsia"/>
                <w:szCs w:val="24"/>
              </w:rPr>
              <w:t>周英章</w:t>
            </w:r>
            <w:r>
              <w:rPr>
                <w:szCs w:val="24"/>
              </w:rPr>
              <w:t>;</w:t>
            </w:r>
            <w:r>
              <w:rPr>
                <w:rFonts w:hint="eastAsia"/>
                <w:szCs w:val="24"/>
              </w:rPr>
              <w:t>卓红叶</w:t>
            </w:r>
            <w:r>
              <w:rPr>
                <w:szCs w:val="24"/>
              </w:rPr>
              <w:t>;</w:t>
            </w:r>
            <w:r>
              <w:rPr>
                <w:rFonts w:hint="eastAsia"/>
                <w:szCs w:val="24"/>
              </w:rPr>
              <w:t>邹继华</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IPO</w:t>
            </w:r>
            <w:r>
              <w:rPr>
                <w:rFonts w:hint="eastAsia"/>
                <w:szCs w:val="24"/>
              </w:rPr>
              <w:t>稳定股价承诺</w:t>
            </w:r>
          </w:p>
        </w:tc>
        <w:tc>
          <w:tcPr>
            <w:tcW w:w="42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w:t>
            </w:r>
            <w:r>
              <w:rPr>
                <w:rFonts w:hint="eastAsia"/>
                <w:szCs w:val="24"/>
              </w:rPr>
              <w:t>发行人及其控股股东、发行人董事和高级管理人员提出上市后三年内公司股价低于每股净资产时稳定公司股价的预案：公司股票自挂牌上市之日起三年内，一旦出现连续</w:t>
            </w:r>
            <w:r>
              <w:rPr>
                <w:szCs w:val="24"/>
              </w:rPr>
              <w:t>20</w:t>
            </w:r>
            <w:r>
              <w:rPr>
                <w:rFonts w:hint="eastAsia"/>
                <w:szCs w:val="24"/>
              </w:rPr>
              <w:t>个交易日公司股票收盘价（如果公司在该期限内存在派息、送股、资本公积金转增股本、配股、增发等除权除息事项，则收盘价进行相应调整）均低于公司上一个会计年度末经审计的每股净资产情形时，启动稳定股价措施，具体包括公司控股股东增持股份、公司回购股份和董事、高级管理人员增持股份。在公司领取薪酬的董事（不含独立董事）、高级管理人员承诺：公司股票自挂牌上市之日起三年内，一旦出现连续</w:t>
            </w:r>
            <w:r>
              <w:rPr>
                <w:szCs w:val="24"/>
              </w:rPr>
              <w:t>20</w:t>
            </w:r>
            <w:r>
              <w:rPr>
                <w:rFonts w:hint="eastAsia"/>
                <w:szCs w:val="24"/>
              </w:rPr>
              <w:t>个交易日公司股票收盘价均低于公司上一个会计年度末经审计的每股净资产情形且在公司回购股票方案实施完成之日起公司股票连续</w:t>
            </w:r>
            <w:r>
              <w:rPr>
                <w:szCs w:val="24"/>
              </w:rPr>
              <w:t>3</w:t>
            </w:r>
            <w:r>
              <w:rPr>
                <w:rFonts w:hint="eastAsia"/>
                <w:szCs w:val="24"/>
              </w:rPr>
              <w:t>个交易日的收盘价均低于公司上一个会计年度末经审计的每股净资产时，启动稳定股价措施。在符合《上市公司收购管理办法》、《上市公司董事、监事和高级管理人员所持本公司股份及其变动管理规则》等法律法规的条件和要求且不会导致公司股权分布不符合上市条件的前提下，在公司领取薪酬的董事、高级管理人员需在二级市场增持流通股份，且连续十二个月内用于增持公司股份的货币资金不少于该等董事、高级管理人员上年度薪酬总和的</w:t>
            </w:r>
            <w:r>
              <w:rPr>
                <w:szCs w:val="24"/>
              </w:rPr>
              <w:t>30%</w:t>
            </w:r>
            <w:r>
              <w:rPr>
                <w:rFonts w:hint="eastAsia"/>
                <w:szCs w:val="24"/>
              </w:rPr>
              <w:t>。对于公司股票发行上市后三年内新聘任的董事、高级管理人员应当签署并遵守上述承诺。</w:t>
            </w:r>
            <w:r>
              <w:rPr>
                <w:szCs w:val="24"/>
              </w:rPr>
              <w:t>"</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2015</w:t>
            </w:r>
            <w:r>
              <w:rPr>
                <w:rFonts w:hint="eastAsia"/>
                <w:szCs w:val="24"/>
              </w:rPr>
              <w:t>年</w:t>
            </w:r>
            <w:r>
              <w:rPr>
                <w:szCs w:val="24"/>
              </w:rPr>
              <w:t>04</w:t>
            </w:r>
            <w:r>
              <w:rPr>
                <w:rFonts w:hint="eastAsia"/>
                <w:szCs w:val="24"/>
              </w:rPr>
              <w:t>月</w:t>
            </w:r>
            <w:r>
              <w:rPr>
                <w:szCs w:val="24"/>
              </w:rPr>
              <w:t>22</w:t>
            </w:r>
            <w:r>
              <w:rPr>
                <w:rFonts w:hint="eastAsia"/>
                <w:szCs w:val="24"/>
              </w:rPr>
              <w:t>日</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36</w:t>
            </w:r>
            <w:r>
              <w:rPr>
                <w:rFonts w:hint="eastAsia"/>
                <w:szCs w:val="24"/>
              </w:rPr>
              <w:t>个月</w:t>
            </w:r>
          </w:p>
        </w:tc>
        <w:tc>
          <w:tcPr>
            <w:tcW w:w="8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已履行完毕</w:t>
            </w:r>
          </w:p>
        </w:tc>
      </w:tr>
      <w:tr>
        <w:tblPrEx>
          <w:tblCellMar>
            <w:top w:w="0" w:type="dxa"/>
            <w:left w:w="28" w:type="dxa"/>
            <w:bottom w:w="0" w:type="dxa"/>
            <w:right w:w="28" w:type="dxa"/>
          </w:tblCellMar>
        </w:tblPrEx>
        <w:tc>
          <w:tcPr>
            <w:tcW w:w="1101"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邹炳德</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IPO</w:t>
            </w:r>
            <w:r>
              <w:rPr>
                <w:rFonts w:hint="eastAsia"/>
                <w:szCs w:val="24"/>
              </w:rPr>
              <w:t>稳定股价承诺</w:t>
            </w:r>
          </w:p>
        </w:tc>
        <w:tc>
          <w:tcPr>
            <w:tcW w:w="42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w:t>
            </w:r>
            <w:r>
              <w:rPr>
                <w:rFonts w:hint="eastAsia"/>
                <w:szCs w:val="24"/>
              </w:rPr>
              <w:t>关于股价稳定措施的承诺：</w:t>
            </w:r>
            <w:r>
              <w:rPr>
                <w:szCs w:val="24"/>
              </w:rPr>
              <w:t>1</w:t>
            </w:r>
            <w:r>
              <w:rPr>
                <w:rFonts w:hint="eastAsia"/>
                <w:szCs w:val="24"/>
              </w:rPr>
              <w:t>、公司股票自挂牌上市之日起三年内，一旦出现连续</w:t>
            </w:r>
            <w:r>
              <w:rPr>
                <w:szCs w:val="24"/>
              </w:rPr>
              <w:t>20</w:t>
            </w:r>
            <w:r>
              <w:rPr>
                <w:rFonts w:hint="eastAsia"/>
                <w:szCs w:val="24"/>
              </w:rPr>
              <w:t>个交易日公司股票收盘价（如果公司在该期限内存在派息、送股、资本公积金转增股本、配股、增发等除权除息事项，则收盘价进行相应调整）均低于公司上一个会计年度末经审计的每股净资产情形时，启动稳定股价措施，且本人作为第一顺位首先履行股票增持义务。</w:t>
            </w:r>
            <w:r>
              <w:rPr>
                <w:szCs w:val="24"/>
              </w:rPr>
              <w:t>2</w:t>
            </w:r>
            <w:r>
              <w:rPr>
                <w:rFonts w:hint="eastAsia"/>
                <w:szCs w:val="24"/>
              </w:rPr>
              <w:t>、在不违反《深圳证券交易所创业板股票上市规则》、《上市公司收购管理办法》及《创业板信息披露业务备忘录第</w:t>
            </w:r>
            <w:r>
              <w:rPr>
                <w:szCs w:val="24"/>
              </w:rPr>
              <w:t>5</w:t>
            </w:r>
            <w:r>
              <w:rPr>
                <w:rFonts w:hint="eastAsia"/>
                <w:szCs w:val="24"/>
              </w:rPr>
              <w:t>号－股东及其一致行动人增持股份业务管理》等规定及在不导致公司股权分布不符合上市条件的前提下，本人以自有资金在二级市场增持流通股份。</w:t>
            </w:r>
            <w:r>
              <w:rPr>
                <w:szCs w:val="24"/>
              </w:rPr>
              <w:t>3</w:t>
            </w:r>
            <w:r>
              <w:rPr>
                <w:rFonts w:hint="eastAsia"/>
                <w:szCs w:val="24"/>
              </w:rPr>
              <w:t>、增持股份的金额与数量（</w:t>
            </w:r>
            <w:r>
              <w:rPr>
                <w:szCs w:val="24"/>
              </w:rPr>
              <w:t>1</w:t>
            </w:r>
            <w:r>
              <w:rPr>
                <w:rFonts w:hint="eastAsia"/>
                <w:szCs w:val="24"/>
              </w:rPr>
              <w:t>）单次增持总金额不应少于人民币</w:t>
            </w:r>
            <w:r>
              <w:rPr>
                <w:szCs w:val="24"/>
              </w:rPr>
              <w:t>1,000</w:t>
            </w:r>
            <w:r>
              <w:rPr>
                <w:rFonts w:hint="eastAsia"/>
                <w:szCs w:val="24"/>
              </w:rPr>
              <w:t>万元；（</w:t>
            </w:r>
            <w:r>
              <w:rPr>
                <w:szCs w:val="24"/>
              </w:rPr>
              <w:t>2</w:t>
            </w:r>
            <w:r>
              <w:rPr>
                <w:rFonts w:hint="eastAsia"/>
                <w:szCs w:val="24"/>
              </w:rPr>
              <w:t>）单次及</w:t>
            </w:r>
            <w:r>
              <w:rPr>
                <w:szCs w:val="24"/>
              </w:rPr>
              <w:t>/</w:t>
            </w:r>
            <w:r>
              <w:rPr>
                <w:rFonts w:hint="eastAsia"/>
                <w:szCs w:val="24"/>
              </w:rPr>
              <w:t>或连续十二个月增持公司股份数量不超过公司总股本的</w:t>
            </w:r>
            <w:r>
              <w:rPr>
                <w:szCs w:val="24"/>
              </w:rPr>
              <w:t>2%</w:t>
            </w:r>
            <w:r>
              <w:rPr>
                <w:rFonts w:hint="eastAsia"/>
                <w:szCs w:val="24"/>
              </w:rPr>
              <w:t>；如上述第（</w:t>
            </w:r>
            <w:r>
              <w:rPr>
                <w:szCs w:val="24"/>
              </w:rPr>
              <w:t>1</w:t>
            </w:r>
            <w:r>
              <w:rPr>
                <w:rFonts w:hint="eastAsia"/>
                <w:szCs w:val="24"/>
              </w:rPr>
              <w:t>）项与本项冲突的，按照本项执行。</w:t>
            </w:r>
            <w:r>
              <w:rPr>
                <w:szCs w:val="24"/>
              </w:rPr>
              <w:t>"</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2015</w:t>
            </w:r>
            <w:r>
              <w:rPr>
                <w:rFonts w:hint="eastAsia"/>
                <w:szCs w:val="24"/>
              </w:rPr>
              <w:t>年</w:t>
            </w:r>
            <w:r>
              <w:rPr>
                <w:szCs w:val="24"/>
              </w:rPr>
              <w:t>04</w:t>
            </w:r>
            <w:r>
              <w:rPr>
                <w:rFonts w:hint="eastAsia"/>
                <w:szCs w:val="24"/>
              </w:rPr>
              <w:t>月</w:t>
            </w:r>
            <w:r>
              <w:rPr>
                <w:szCs w:val="24"/>
              </w:rPr>
              <w:t>22</w:t>
            </w:r>
            <w:r>
              <w:rPr>
                <w:rFonts w:hint="eastAsia"/>
                <w:szCs w:val="24"/>
              </w:rPr>
              <w:t>日</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36</w:t>
            </w:r>
            <w:r>
              <w:rPr>
                <w:rFonts w:hint="eastAsia"/>
                <w:szCs w:val="24"/>
              </w:rPr>
              <w:t>个月</w:t>
            </w:r>
          </w:p>
        </w:tc>
        <w:tc>
          <w:tcPr>
            <w:tcW w:w="8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已履行完毕</w:t>
            </w:r>
          </w:p>
        </w:tc>
      </w:tr>
      <w:tr>
        <w:tblPrEx>
          <w:tblCellMar>
            <w:top w:w="0" w:type="dxa"/>
            <w:left w:w="28" w:type="dxa"/>
            <w:bottom w:w="0" w:type="dxa"/>
            <w:right w:w="28" w:type="dxa"/>
          </w:tblCellMar>
        </w:tblPrEx>
        <w:tc>
          <w:tcPr>
            <w:tcW w:w="11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股权激励承诺</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本公司</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股权激励承诺</w:t>
            </w:r>
          </w:p>
        </w:tc>
        <w:tc>
          <w:tcPr>
            <w:tcW w:w="42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公司承诺不为激励对象依本激励计划获取有关限制性股票提供贷款以及其他任何形式的财务资助，包括为其贷款提供担保。</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2016</w:t>
            </w:r>
            <w:r>
              <w:rPr>
                <w:rFonts w:hint="eastAsia"/>
                <w:szCs w:val="24"/>
              </w:rPr>
              <w:t>年</w:t>
            </w:r>
            <w:r>
              <w:rPr>
                <w:szCs w:val="24"/>
              </w:rPr>
              <w:t>03</w:t>
            </w:r>
            <w:r>
              <w:rPr>
                <w:rFonts w:hint="eastAsia"/>
                <w:szCs w:val="24"/>
              </w:rPr>
              <w:t>月</w:t>
            </w:r>
            <w:r>
              <w:rPr>
                <w:szCs w:val="24"/>
              </w:rPr>
              <w:t>31</w:t>
            </w:r>
            <w:r>
              <w:rPr>
                <w:rFonts w:hint="eastAsia"/>
                <w:szCs w:val="24"/>
              </w:rPr>
              <w:t>日</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激励计划实施期间</w:t>
            </w:r>
          </w:p>
        </w:tc>
        <w:tc>
          <w:tcPr>
            <w:tcW w:w="8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正常履行中</w:t>
            </w:r>
          </w:p>
        </w:tc>
      </w:tr>
      <w:tr>
        <w:tblPrEx>
          <w:tblCellMar>
            <w:top w:w="0" w:type="dxa"/>
            <w:left w:w="28" w:type="dxa"/>
            <w:bottom w:w="0" w:type="dxa"/>
            <w:right w:w="28" w:type="dxa"/>
          </w:tblCellMar>
        </w:tblPrEx>
        <w:tc>
          <w:tcPr>
            <w:tcW w:w="1101"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其他对公司中小股东所作承诺</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方亮</w:t>
            </w:r>
            <w:r>
              <w:rPr>
                <w:szCs w:val="24"/>
              </w:rPr>
              <w:t>;</w:t>
            </w:r>
            <w:r>
              <w:rPr>
                <w:rFonts w:hint="eastAsia"/>
                <w:szCs w:val="24"/>
              </w:rPr>
              <w:t>吴立山</w:t>
            </w:r>
            <w:r>
              <w:rPr>
                <w:szCs w:val="24"/>
              </w:rPr>
              <w:t>;</w:t>
            </w:r>
            <w:r>
              <w:rPr>
                <w:rFonts w:hint="eastAsia"/>
                <w:szCs w:val="24"/>
              </w:rPr>
              <w:t>熊慧萍</w:t>
            </w:r>
            <w:r>
              <w:rPr>
                <w:szCs w:val="24"/>
              </w:rPr>
              <w:t>;</w:t>
            </w:r>
            <w:r>
              <w:rPr>
                <w:rFonts w:hint="eastAsia"/>
                <w:szCs w:val="24"/>
              </w:rPr>
              <w:t>卓红叶</w:t>
            </w:r>
            <w:r>
              <w:rPr>
                <w:szCs w:val="24"/>
              </w:rPr>
              <w:t>;</w:t>
            </w:r>
            <w:r>
              <w:rPr>
                <w:rFonts w:hint="eastAsia"/>
                <w:szCs w:val="24"/>
              </w:rPr>
              <w:t>邹继华</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股份增持承诺</w:t>
            </w:r>
          </w:p>
        </w:tc>
        <w:tc>
          <w:tcPr>
            <w:tcW w:w="42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基于对公司未来发展和投资价值的信心，同时为了积极维护中小股东利益，本次增持人员计划增持公司股份，以此增强投资者信心，维护公司股价及资本市场的稳定。公司董事及总经理邹继华先生、董事卓红叶女士、高级管理人员方亮先生、董事会秘书熊慧萍女士、监事会主席吴立山先生，计划自本承诺函出具日起</w:t>
            </w:r>
            <w:r>
              <w:rPr>
                <w:szCs w:val="24"/>
              </w:rPr>
              <w:t>6</w:t>
            </w:r>
            <w:r>
              <w:rPr>
                <w:rFonts w:hint="eastAsia"/>
                <w:szCs w:val="24"/>
              </w:rPr>
              <w:t>个月内增持公司股票，增持金额不低于</w:t>
            </w:r>
            <w:r>
              <w:rPr>
                <w:szCs w:val="24"/>
              </w:rPr>
              <w:t xml:space="preserve">2,000 </w:t>
            </w:r>
            <w:r>
              <w:rPr>
                <w:rFonts w:hint="eastAsia"/>
                <w:szCs w:val="24"/>
              </w:rPr>
              <w:t>万元人民币。本次拟增持股份的资金来源为增持人员的自有资金或自筹资金，增持方式以合规方式通过二级市场集中竞价交易择机增持公司股份。</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w:t>
            </w:r>
            <w:r>
              <w:rPr>
                <w:szCs w:val="24"/>
              </w:rPr>
              <w:t>08</w:t>
            </w:r>
            <w:r>
              <w:rPr>
                <w:rFonts w:hint="eastAsia"/>
                <w:szCs w:val="24"/>
              </w:rPr>
              <w:t>月</w:t>
            </w:r>
            <w:r>
              <w:rPr>
                <w:szCs w:val="24"/>
              </w:rPr>
              <w:t>22</w:t>
            </w:r>
            <w:r>
              <w:rPr>
                <w:rFonts w:hint="eastAsia"/>
                <w:szCs w:val="24"/>
              </w:rPr>
              <w:t>日</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12</w:t>
            </w:r>
            <w:r>
              <w:rPr>
                <w:rFonts w:hint="eastAsia"/>
                <w:szCs w:val="24"/>
              </w:rPr>
              <w:t>个月</w:t>
            </w:r>
          </w:p>
        </w:tc>
        <w:tc>
          <w:tcPr>
            <w:tcW w:w="8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已履行完毕</w:t>
            </w:r>
          </w:p>
        </w:tc>
      </w:tr>
      <w:tr>
        <w:tblPrEx>
          <w:tblCellMar>
            <w:top w:w="0" w:type="dxa"/>
            <w:left w:w="28" w:type="dxa"/>
            <w:bottom w:w="0" w:type="dxa"/>
            <w:right w:w="28" w:type="dxa"/>
          </w:tblCellMar>
        </w:tblPrEx>
        <w:tc>
          <w:tcPr>
            <w:tcW w:w="1101" w:type="dxa"/>
            <w:vMerge w:val="continue"/>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邹炳德</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其他承诺</w:t>
            </w:r>
          </w:p>
        </w:tc>
        <w:tc>
          <w:tcPr>
            <w:tcW w:w="42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基于对公司未来发展前景的信心以及对公司价值的认可，为支持公司持续、稳定、健康发展，维护广大中小投资者利益，支持公司实现未来发展战略，邹炳德先生承诺自本公告披露之日起</w:t>
            </w:r>
            <w:r>
              <w:rPr>
                <w:szCs w:val="24"/>
              </w:rPr>
              <w:t>6</w:t>
            </w:r>
            <w:r>
              <w:rPr>
                <w:rFonts w:hint="eastAsia"/>
                <w:szCs w:val="24"/>
              </w:rPr>
              <w:t>个月内不减持其持有的公司股份，包括承诺期间因送股、公积金转增股本等权益分派产生的股份。若其违反承诺减持股份，减持股份所得收益将全部上缴公司，并承担由此引发的法律责任。</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w:t>
            </w:r>
            <w:r>
              <w:rPr>
                <w:szCs w:val="24"/>
              </w:rPr>
              <w:t>06</w:t>
            </w:r>
            <w:r>
              <w:rPr>
                <w:rFonts w:hint="eastAsia"/>
                <w:szCs w:val="24"/>
              </w:rPr>
              <w:t>月</w:t>
            </w:r>
            <w:r>
              <w:rPr>
                <w:szCs w:val="24"/>
              </w:rPr>
              <w:t>13</w:t>
            </w:r>
            <w:r>
              <w:rPr>
                <w:rFonts w:hint="eastAsia"/>
                <w:szCs w:val="24"/>
              </w:rPr>
              <w:t>日</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6</w:t>
            </w:r>
            <w:r>
              <w:rPr>
                <w:rFonts w:hint="eastAsia"/>
                <w:szCs w:val="24"/>
              </w:rPr>
              <w:t>个月</w:t>
            </w:r>
          </w:p>
        </w:tc>
        <w:tc>
          <w:tcPr>
            <w:tcW w:w="8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已履行完毕</w:t>
            </w:r>
          </w:p>
        </w:tc>
      </w:tr>
      <w:tr>
        <w:tblPrEx>
          <w:tblCellMar>
            <w:top w:w="0" w:type="dxa"/>
            <w:left w:w="28" w:type="dxa"/>
            <w:bottom w:w="0" w:type="dxa"/>
            <w:right w:w="28" w:type="dxa"/>
          </w:tblCellMar>
        </w:tblPrEx>
        <w:tc>
          <w:tcPr>
            <w:tcW w:w="11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承诺是否按时履行</w:t>
            </w:r>
          </w:p>
        </w:tc>
        <w:tc>
          <w:tcPr>
            <w:tcW w:w="8466"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r>
      <w:tr>
        <w:tblPrEx>
          <w:tblCellMar>
            <w:top w:w="0" w:type="dxa"/>
            <w:left w:w="28" w:type="dxa"/>
            <w:bottom w:w="0" w:type="dxa"/>
            <w:right w:w="28" w:type="dxa"/>
          </w:tblCellMar>
        </w:tblPrEx>
        <w:tc>
          <w:tcPr>
            <w:tcW w:w="11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如承诺超期未履行完毕的，应当详细说明未完成履行的具体原因及下一步的工作计划</w:t>
            </w:r>
          </w:p>
        </w:tc>
        <w:tc>
          <w:tcPr>
            <w:tcW w:w="8466"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无</w:t>
            </w:r>
          </w:p>
        </w:tc>
      </w:tr>
    </w:tbl>
    <w:p>
      <w:pPr>
        <w:pStyle w:val="14"/>
        <w:outlineLvl w:val="2"/>
        <w:rPr>
          <w:bCs w:val="0"/>
          <w:szCs w:val="24"/>
        </w:rPr>
      </w:pPr>
      <w:r>
        <w:rPr>
          <w:bCs w:val="0"/>
          <w:szCs w:val="24"/>
        </w:rPr>
        <w:t>2</w:t>
      </w:r>
      <w:r>
        <w:rPr>
          <w:rFonts w:hint="eastAsia"/>
          <w:bCs w:val="0"/>
          <w:szCs w:val="24"/>
        </w:rPr>
        <w:t>、公司资产或项目存在盈利预测，且报告期仍处在盈利预测期间，公司就资产或项目达到原盈利预测及其原因做出说明</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3"/>
        <w:outlineLvl w:val="1"/>
        <w:rPr>
          <w:bCs w:val="0"/>
        </w:rPr>
      </w:pPr>
      <w:r>
        <w:rPr>
          <w:rFonts w:hint="eastAsia"/>
          <w:bCs w:val="0"/>
        </w:rPr>
        <w:t>三、控股股东及其关联方对上市公司的非经营性占用资金情况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公司报告期不存在控股股东及其关联方对上市公司的非经营性占用资金。</w:t>
      </w:r>
    </w:p>
    <w:p>
      <w:pPr>
        <w:pStyle w:val="13"/>
        <w:outlineLvl w:val="1"/>
        <w:rPr>
          <w:bCs w:val="0"/>
        </w:rPr>
      </w:pPr>
      <w:r>
        <w:rPr>
          <w:rFonts w:hint="eastAsia"/>
          <w:bCs w:val="0"/>
        </w:rPr>
        <w:t>四、董事会对最近一期</w:t>
      </w:r>
      <w:r>
        <w:rPr>
          <w:bCs w:val="0"/>
        </w:rPr>
        <w:t>“</w:t>
      </w:r>
      <w:r>
        <w:rPr>
          <w:rFonts w:hint="eastAsia"/>
          <w:bCs w:val="0"/>
        </w:rPr>
        <w:t>非标准审计报告</w:t>
      </w:r>
      <w:r>
        <w:rPr>
          <w:bCs w:val="0"/>
        </w:rPr>
        <w:t>”</w:t>
      </w:r>
      <w:r>
        <w:rPr>
          <w:rFonts w:hint="eastAsia"/>
          <w:bCs w:val="0"/>
        </w:rPr>
        <w:t>相关情况的说明</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3"/>
        <w:outlineLvl w:val="1"/>
        <w:rPr>
          <w:bCs w:val="0"/>
        </w:rPr>
      </w:pPr>
      <w:r>
        <w:rPr>
          <w:rFonts w:hint="eastAsia"/>
          <w:bCs w:val="0"/>
        </w:rPr>
        <w:t>五、董事会、监事会、独立董事（如有）对会计师事务所本报告期</w:t>
      </w:r>
      <w:r>
        <w:rPr>
          <w:bCs w:val="0"/>
        </w:rPr>
        <w:t>“</w:t>
      </w:r>
      <w:r>
        <w:rPr>
          <w:rFonts w:hint="eastAsia"/>
          <w:bCs w:val="0"/>
        </w:rPr>
        <w:t>非标准审计报告</w:t>
      </w:r>
      <w:r>
        <w:rPr>
          <w:bCs w:val="0"/>
        </w:rPr>
        <w:t>”</w:t>
      </w:r>
      <w:r>
        <w:rPr>
          <w:rFonts w:hint="eastAsia"/>
          <w:bCs w:val="0"/>
        </w:rPr>
        <w:t>的说明</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3"/>
        <w:outlineLvl w:val="1"/>
        <w:rPr>
          <w:bCs w:val="0"/>
        </w:rPr>
      </w:pPr>
      <w:r>
        <w:rPr>
          <w:rFonts w:hint="eastAsia"/>
          <w:bCs w:val="0"/>
        </w:rPr>
        <w:t>六、董事会关于报告期会计政策、会计估计变更或重大会计差错更正的说明</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autoSpaceDE w:val="0"/>
        <w:autoSpaceDN w:val="0"/>
        <w:adjustRightInd w:val="0"/>
        <w:spacing w:before="0" w:after="0"/>
        <w:jc w:val="left"/>
        <w:rPr>
          <w:rFonts w:eastAsia="Times New Roman"/>
          <w:kern w:val="0"/>
          <w:szCs w:val="24"/>
          <w:lang w:val="zh-CN"/>
        </w:rPr>
      </w:pPr>
      <w:r>
        <w:rPr>
          <w:rFonts w:eastAsia="Times New Roman"/>
          <w:kern w:val="0"/>
          <w:szCs w:val="24"/>
          <w:lang w:val="zh-CN"/>
        </w:rPr>
        <w:t>1.</w:t>
      </w:r>
      <w:r>
        <w:rPr>
          <w:rFonts w:hint="eastAsia" w:ascii="宋体" w:hAnsi="宋体" w:cs="宋体"/>
          <w:kern w:val="0"/>
          <w:szCs w:val="24"/>
          <w:lang w:val="zh-CN"/>
        </w:rPr>
        <w:t>财政部于</w:t>
      </w:r>
      <w:r>
        <w:rPr>
          <w:rFonts w:eastAsia="Times New Roman"/>
          <w:kern w:val="0"/>
          <w:szCs w:val="24"/>
          <w:lang w:val="zh-CN"/>
        </w:rPr>
        <w:t>2017</w:t>
      </w:r>
      <w:r>
        <w:rPr>
          <w:rFonts w:hint="eastAsia" w:ascii="宋体" w:hAnsi="宋体" w:cs="宋体"/>
          <w:kern w:val="0"/>
          <w:szCs w:val="24"/>
          <w:lang w:val="zh-CN"/>
        </w:rPr>
        <w:t>年修订发布了《企业会计准则第</w:t>
      </w:r>
      <w:r>
        <w:rPr>
          <w:rFonts w:eastAsia="Times New Roman"/>
          <w:kern w:val="0"/>
          <w:szCs w:val="24"/>
          <w:lang w:val="zh-CN"/>
        </w:rPr>
        <w:t>22</w:t>
      </w:r>
      <w:r>
        <w:rPr>
          <w:rFonts w:hint="eastAsia" w:ascii="宋体" w:hAnsi="宋体" w:cs="宋体"/>
          <w:kern w:val="0"/>
          <w:szCs w:val="24"/>
          <w:lang w:val="zh-CN"/>
        </w:rPr>
        <w:t>号</w:t>
      </w:r>
      <w:r>
        <w:rPr>
          <w:rFonts w:eastAsia="Times New Roman"/>
          <w:kern w:val="0"/>
          <w:szCs w:val="24"/>
          <w:lang w:val="zh-CN"/>
        </w:rPr>
        <w:t>——</w:t>
      </w:r>
      <w:r>
        <w:rPr>
          <w:rFonts w:hint="eastAsia" w:ascii="宋体" w:hAnsi="宋体" w:cs="宋体"/>
          <w:kern w:val="0"/>
          <w:szCs w:val="24"/>
          <w:lang w:val="zh-CN"/>
        </w:rPr>
        <w:t>金融工具确认和计量》《企业会计准则第</w:t>
      </w:r>
      <w:r>
        <w:rPr>
          <w:rFonts w:eastAsia="Times New Roman"/>
          <w:kern w:val="0"/>
          <w:szCs w:val="24"/>
          <w:lang w:val="zh-CN"/>
        </w:rPr>
        <w:t>23</w:t>
      </w:r>
      <w:r>
        <w:rPr>
          <w:rFonts w:hint="eastAsia" w:ascii="宋体" w:hAnsi="宋体" w:cs="宋体"/>
          <w:kern w:val="0"/>
          <w:szCs w:val="24"/>
          <w:lang w:val="zh-CN"/>
        </w:rPr>
        <w:t>号</w:t>
      </w:r>
      <w:r>
        <w:rPr>
          <w:rFonts w:eastAsia="Times New Roman"/>
          <w:kern w:val="0"/>
          <w:szCs w:val="24"/>
          <w:lang w:val="zh-CN"/>
        </w:rPr>
        <w:t>——</w:t>
      </w:r>
      <w:r>
        <w:rPr>
          <w:rFonts w:hint="eastAsia" w:ascii="宋体" w:hAnsi="宋体" w:cs="宋体"/>
          <w:kern w:val="0"/>
          <w:szCs w:val="24"/>
          <w:lang w:val="zh-CN"/>
        </w:rPr>
        <w:t>金融资产转移》《企业会计准则第</w:t>
      </w:r>
      <w:r>
        <w:rPr>
          <w:rFonts w:eastAsia="Times New Roman"/>
          <w:kern w:val="0"/>
          <w:szCs w:val="24"/>
          <w:lang w:val="zh-CN"/>
        </w:rPr>
        <w:t>24</w:t>
      </w:r>
      <w:r>
        <w:rPr>
          <w:rFonts w:hint="eastAsia" w:ascii="宋体" w:hAnsi="宋体" w:cs="宋体"/>
          <w:kern w:val="0"/>
          <w:szCs w:val="24"/>
          <w:lang w:val="zh-CN"/>
        </w:rPr>
        <w:t>号</w:t>
      </w:r>
      <w:r>
        <w:rPr>
          <w:rFonts w:eastAsia="Times New Roman"/>
          <w:kern w:val="0"/>
          <w:szCs w:val="24"/>
          <w:lang w:val="zh-CN"/>
        </w:rPr>
        <w:t>——</w:t>
      </w:r>
      <w:r>
        <w:rPr>
          <w:rFonts w:hint="eastAsia" w:ascii="宋体" w:hAnsi="宋体" w:cs="宋体"/>
          <w:kern w:val="0"/>
          <w:szCs w:val="24"/>
          <w:lang w:val="zh-CN"/>
        </w:rPr>
        <w:t>套期会计》《企业会计准则第</w:t>
      </w:r>
      <w:r>
        <w:rPr>
          <w:rFonts w:eastAsia="Times New Roman"/>
          <w:kern w:val="0"/>
          <w:szCs w:val="24"/>
          <w:lang w:val="zh-CN"/>
        </w:rPr>
        <w:t>37</w:t>
      </w:r>
      <w:r>
        <w:rPr>
          <w:rFonts w:hint="eastAsia" w:ascii="宋体" w:hAnsi="宋体" w:cs="宋体"/>
          <w:kern w:val="0"/>
          <w:szCs w:val="24"/>
          <w:lang w:val="zh-CN"/>
        </w:rPr>
        <w:t>号</w:t>
      </w:r>
      <w:r>
        <w:rPr>
          <w:rFonts w:eastAsia="Times New Roman"/>
          <w:kern w:val="0"/>
          <w:szCs w:val="24"/>
          <w:lang w:val="zh-CN"/>
        </w:rPr>
        <w:t>——</w:t>
      </w:r>
      <w:r>
        <w:rPr>
          <w:rFonts w:hint="eastAsia" w:ascii="宋体" w:hAnsi="宋体" w:cs="宋体"/>
          <w:kern w:val="0"/>
          <w:szCs w:val="24"/>
          <w:lang w:val="zh-CN"/>
        </w:rPr>
        <w:t>金融工具列报》，并要求境内上市的企业自</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w:t>
      </w:r>
      <w:r>
        <w:rPr>
          <w:rFonts w:hint="eastAsia" w:ascii="宋体" w:hAnsi="宋体" w:cs="宋体"/>
          <w:kern w:val="0"/>
          <w:szCs w:val="24"/>
          <w:lang w:val="zh-CN"/>
        </w:rPr>
        <w:t>月</w:t>
      </w:r>
      <w:r>
        <w:rPr>
          <w:rFonts w:eastAsia="Times New Roman"/>
          <w:kern w:val="0"/>
          <w:szCs w:val="24"/>
          <w:lang w:val="zh-CN"/>
        </w:rPr>
        <w:t>1</w:t>
      </w:r>
      <w:r>
        <w:rPr>
          <w:rFonts w:hint="eastAsia" w:ascii="宋体" w:hAnsi="宋体" w:cs="宋体"/>
          <w:kern w:val="0"/>
          <w:szCs w:val="24"/>
          <w:lang w:val="zh-CN"/>
        </w:rPr>
        <w:t>日起施行新金融工具相关会计准则。</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上述会计政策变更事项已经公司</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4</w:t>
      </w:r>
      <w:r>
        <w:rPr>
          <w:rFonts w:hint="eastAsia" w:ascii="宋体" w:hAnsi="宋体" w:cs="宋体"/>
          <w:kern w:val="0"/>
          <w:szCs w:val="24"/>
          <w:lang w:val="zh-CN"/>
        </w:rPr>
        <w:t>月</w:t>
      </w:r>
      <w:r>
        <w:rPr>
          <w:rFonts w:eastAsia="Times New Roman"/>
          <w:kern w:val="0"/>
          <w:szCs w:val="24"/>
          <w:lang w:val="zh-CN"/>
        </w:rPr>
        <w:t>26</w:t>
      </w:r>
      <w:r>
        <w:rPr>
          <w:rFonts w:hint="eastAsia" w:ascii="宋体" w:hAnsi="宋体" w:cs="宋体"/>
          <w:kern w:val="0"/>
          <w:szCs w:val="24"/>
          <w:lang w:val="zh-CN"/>
        </w:rPr>
        <w:t>日召开的第三届董事会第十七次会议及第三届监事会第十五次会议审议通过。</w:t>
      </w:r>
    </w:p>
    <w:p>
      <w:pPr>
        <w:autoSpaceDE w:val="0"/>
        <w:autoSpaceDN w:val="0"/>
        <w:adjustRightInd w:val="0"/>
        <w:spacing w:before="0" w:after="0"/>
        <w:jc w:val="left"/>
        <w:rPr>
          <w:rFonts w:eastAsia="Times New Roman"/>
          <w:kern w:val="0"/>
          <w:szCs w:val="24"/>
          <w:lang w:val="zh-CN"/>
        </w:rPr>
      </w:pPr>
      <w:r>
        <w:rPr>
          <w:rFonts w:eastAsia="Times New Roman"/>
          <w:kern w:val="0"/>
          <w:szCs w:val="24"/>
          <w:lang w:val="zh-CN"/>
        </w:rPr>
        <w:t>2.</w:t>
      </w:r>
      <w:r>
        <w:rPr>
          <w:rFonts w:hint="eastAsia" w:ascii="宋体" w:hAnsi="宋体" w:cs="宋体"/>
          <w:kern w:val="0"/>
          <w:szCs w:val="24"/>
          <w:lang w:val="zh-CN"/>
        </w:rPr>
        <w:t>（</w:t>
      </w:r>
      <w:r>
        <w:rPr>
          <w:rFonts w:eastAsia="Times New Roman"/>
          <w:kern w:val="0"/>
          <w:szCs w:val="24"/>
          <w:lang w:val="zh-CN"/>
        </w:rPr>
        <w:t>1</w:t>
      </w:r>
      <w:r>
        <w:rPr>
          <w:rFonts w:hint="eastAsia" w:ascii="宋体" w:hAnsi="宋体" w:cs="宋体"/>
          <w:kern w:val="0"/>
          <w:szCs w:val="24"/>
          <w:lang w:val="zh-CN"/>
        </w:rPr>
        <w:t>）新财务报表格式</w:t>
      </w:r>
    </w:p>
    <w:p>
      <w:pPr>
        <w:autoSpaceDE w:val="0"/>
        <w:autoSpaceDN w:val="0"/>
        <w:adjustRightInd w:val="0"/>
        <w:spacing w:before="156" w:after="156"/>
        <w:ind w:firstLine="480"/>
        <w:rPr>
          <w:rFonts w:eastAsia="Times New Roman"/>
          <w:kern w:val="0"/>
          <w:szCs w:val="24"/>
          <w:lang w:val="zh-CN"/>
        </w:rPr>
      </w:pPr>
      <w:r>
        <w:rPr>
          <w:rFonts w:hint="eastAsia" w:ascii="宋体" w:hAnsi="宋体" w:cs="宋体"/>
          <w:kern w:val="0"/>
          <w:szCs w:val="24"/>
          <w:lang w:val="zh-CN"/>
        </w:rPr>
        <w:t>财政部于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4</w:t>
      </w:r>
      <w:r>
        <w:rPr>
          <w:rFonts w:hint="eastAsia" w:ascii="宋体" w:hAnsi="宋体" w:cs="宋体"/>
          <w:kern w:val="0"/>
          <w:szCs w:val="24"/>
          <w:lang w:val="zh-CN"/>
        </w:rPr>
        <w:t>月</w:t>
      </w:r>
      <w:r>
        <w:rPr>
          <w:rFonts w:eastAsia="Times New Roman"/>
          <w:kern w:val="0"/>
          <w:szCs w:val="24"/>
          <w:lang w:val="zh-CN"/>
        </w:rPr>
        <w:t>30</w:t>
      </w:r>
      <w:r>
        <w:rPr>
          <w:rFonts w:hint="eastAsia" w:ascii="宋体" w:hAnsi="宋体" w:cs="宋体"/>
          <w:kern w:val="0"/>
          <w:szCs w:val="24"/>
          <w:lang w:val="zh-CN"/>
        </w:rPr>
        <w:t>日发布了《关于修订印发</w:t>
      </w:r>
      <w:r>
        <w:rPr>
          <w:rFonts w:eastAsia="Times New Roman"/>
          <w:kern w:val="0"/>
          <w:szCs w:val="24"/>
          <w:lang w:val="zh-CN"/>
        </w:rPr>
        <w:t>2019</w:t>
      </w:r>
      <w:r>
        <w:rPr>
          <w:rFonts w:hint="eastAsia" w:ascii="宋体" w:hAnsi="宋体" w:cs="宋体"/>
          <w:kern w:val="0"/>
          <w:szCs w:val="24"/>
          <w:lang w:val="zh-CN"/>
        </w:rPr>
        <w:t>年度一般企业财务报表格式的通知》（财会</w:t>
      </w:r>
      <w:r>
        <w:rPr>
          <w:rFonts w:eastAsia="Times New Roman"/>
          <w:kern w:val="0"/>
          <w:szCs w:val="24"/>
          <w:lang w:val="zh-CN"/>
        </w:rPr>
        <w:t>[2019]6</w:t>
      </w:r>
      <w:r>
        <w:rPr>
          <w:rFonts w:hint="eastAsia" w:ascii="宋体" w:hAnsi="宋体" w:cs="宋体"/>
          <w:kern w:val="0"/>
          <w:szCs w:val="24"/>
          <w:lang w:val="zh-CN"/>
        </w:rPr>
        <w:t>号）（以下简称《修订通知》），对一般企业财务报表格式进行了修订，适用于执行企业会计准则的非金融企业</w:t>
      </w:r>
      <w:r>
        <w:rPr>
          <w:rFonts w:eastAsia="Times New Roman"/>
          <w:kern w:val="0"/>
          <w:szCs w:val="24"/>
          <w:lang w:val="zh-CN"/>
        </w:rPr>
        <w:t>2019</w:t>
      </w:r>
      <w:r>
        <w:rPr>
          <w:rFonts w:hint="eastAsia" w:ascii="宋体" w:hAnsi="宋体" w:cs="宋体"/>
          <w:kern w:val="0"/>
          <w:szCs w:val="24"/>
          <w:lang w:val="zh-CN"/>
        </w:rPr>
        <w:t>年度中期财务报表和年度财务报表及以后期间的财务报表。</w:t>
      </w:r>
    </w:p>
    <w:p>
      <w:pPr>
        <w:autoSpaceDE w:val="0"/>
        <w:autoSpaceDN w:val="0"/>
        <w:adjustRightInd w:val="0"/>
        <w:spacing w:before="156" w:after="156"/>
        <w:ind w:firstLine="180"/>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2</w:t>
      </w:r>
      <w:r>
        <w:rPr>
          <w:rFonts w:hint="eastAsia" w:ascii="宋体" w:hAnsi="宋体" w:cs="宋体"/>
          <w:kern w:val="0"/>
          <w:szCs w:val="24"/>
          <w:lang w:val="zh-CN"/>
        </w:rPr>
        <w:t>）非货币性资产交换</w:t>
      </w:r>
      <w:r>
        <w:rPr>
          <w:rFonts w:eastAsia="Times New Roman"/>
          <w:kern w:val="0"/>
          <w:szCs w:val="24"/>
          <w:lang w:val="zh-CN"/>
        </w:rPr>
        <w:t xml:space="preserve"> </w:t>
      </w:r>
    </w:p>
    <w:p>
      <w:pPr>
        <w:autoSpaceDE w:val="0"/>
        <w:autoSpaceDN w:val="0"/>
        <w:adjustRightInd w:val="0"/>
        <w:spacing w:before="156" w:after="156"/>
        <w:ind w:firstLine="420"/>
        <w:rPr>
          <w:rFonts w:eastAsia="Times New Roman"/>
          <w:kern w:val="0"/>
          <w:szCs w:val="24"/>
          <w:lang w:val="zh-CN"/>
        </w:rPr>
      </w:pPr>
      <w:r>
        <w:rPr>
          <w:rFonts w:hint="eastAsia" w:ascii="宋体" w:hAnsi="宋体" w:cs="宋体"/>
          <w:kern w:val="0"/>
          <w:szCs w:val="24"/>
          <w:lang w:val="zh-CN"/>
        </w:rPr>
        <w:t>财政部于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5</w:t>
      </w:r>
      <w:r>
        <w:rPr>
          <w:rFonts w:hint="eastAsia" w:ascii="宋体" w:hAnsi="宋体" w:cs="宋体"/>
          <w:kern w:val="0"/>
          <w:szCs w:val="24"/>
          <w:lang w:val="zh-CN"/>
        </w:rPr>
        <w:t>月</w:t>
      </w:r>
      <w:r>
        <w:rPr>
          <w:rFonts w:eastAsia="Times New Roman"/>
          <w:kern w:val="0"/>
          <w:szCs w:val="24"/>
          <w:lang w:val="zh-CN"/>
        </w:rPr>
        <w:t>9</w:t>
      </w:r>
      <w:r>
        <w:rPr>
          <w:rFonts w:hint="eastAsia" w:ascii="宋体" w:hAnsi="宋体" w:cs="宋体"/>
          <w:kern w:val="0"/>
          <w:szCs w:val="24"/>
          <w:lang w:val="zh-CN"/>
        </w:rPr>
        <w:t>日发布了《关于印发修订</w:t>
      </w:r>
      <w:r>
        <w:rPr>
          <w:rFonts w:eastAsia="Times New Roman"/>
          <w:kern w:val="0"/>
          <w:szCs w:val="24"/>
          <w:lang w:val="zh-CN"/>
        </w:rPr>
        <w:t>&lt;</w:t>
      </w:r>
      <w:r>
        <w:rPr>
          <w:rFonts w:hint="eastAsia" w:ascii="宋体" w:hAnsi="宋体" w:cs="宋体"/>
          <w:kern w:val="0"/>
          <w:szCs w:val="24"/>
          <w:lang w:val="zh-CN"/>
        </w:rPr>
        <w:t>企业会计准则第</w:t>
      </w:r>
      <w:r>
        <w:rPr>
          <w:rFonts w:eastAsia="Times New Roman"/>
          <w:kern w:val="0"/>
          <w:szCs w:val="24"/>
          <w:lang w:val="zh-CN"/>
        </w:rPr>
        <w:t>7</w:t>
      </w:r>
      <w:r>
        <w:rPr>
          <w:rFonts w:hint="eastAsia" w:ascii="宋体" w:hAnsi="宋体" w:cs="宋体"/>
          <w:kern w:val="0"/>
          <w:szCs w:val="24"/>
          <w:lang w:val="zh-CN"/>
        </w:rPr>
        <w:t>号</w:t>
      </w:r>
      <w:r>
        <w:rPr>
          <w:rFonts w:eastAsia="Times New Roman"/>
          <w:kern w:val="0"/>
          <w:szCs w:val="24"/>
          <w:lang w:val="zh-CN"/>
        </w:rPr>
        <w:t>——</w:t>
      </w:r>
      <w:r>
        <w:rPr>
          <w:rFonts w:hint="eastAsia" w:ascii="宋体" w:hAnsi="宋体" w:cs="宋体"/>
          <w:kern w:val="0"/>
          <w:szCs w:val="24"/>
          <w:lang w:val="zh-CN"/>
        </w:rPr>
        <w:t>非货币性资产交换</w:t>
      </w:r>
      <w:r>
        <w:rPr>
          <w:rFonts w:eastAsia="Times New Roman"/>
          <w:kern w:val="0"/>
          <w:szCs w:val="24"/>
          <w:lang w:val="zh-CN"/>
        </w:rPr>
        <w:t>&gt;</w:t>
      </w:r>
      <w:r>
        <w:rPr>
          <w:rFonts w:hint="eastAsia" w:ascii="宋体" w:hAnsi="宋体" w:cs="宋体"/>
          <w:kern w:val="0"/>
          <w:szCs w:val="24"/>
          <w:lang w:val="zh-CN"/>
        </w:rPr>
        <w:t>的通知》（财会</w:t>
      </w:r>
      <w:r>
        <w:rPr>
          <w:rFonts w:eastAsia="Times New Roman"/>
          <w:kern w:val="0"/>
          <w:szCs w:val="24"/>
          <w:lang w:val="zh-CN"/>
        </w:rPr>
        <w:t>[2019]8</w:t>
      </w:r>
      <w:r>
        <w:rPr>
          <w:rFonts w:hint="eastAsia" w:ascii="宋体" w:hAnsi="宋体" w:cs="宋体"/>
          <w:kern w:val="0"/>
          <w:szCs w:val="24"/>
          <w:lang w:val="zh-CN"/>
        </w:rPr>
        <w:t>号），对《企业会计准则第</w:t>
      </w:r>
      <w:r>
        <w:rPr>
          <w:rFonts w:eastAsia="Times New Roman"/>
          <w:kern w:val="0"/>
          <w:szCs w:val="24"/>
          <w:lang w:val="zh-CN"/>
        </w:rPr>
        <w:t>7</w:t>
      </w:r>
      <w:r>
        <w:rPr>
          <w:rFonts w:hint="eastAsia" w:ascii="宋体" w:hAnsi="宋体" w:cs="宋体"/>
          <w:kern w:val="0"/>
          <w:szCs w:val="24"/>
          <w:lang w:val="zh-CN"/>
        </w:rPr>
        <w:t>号</w:t>
      </w:r>
      <w:r>
        <w:rPr>
          <w:rFonts w:eastAsia="Times New Roman"/>
          <w:kern w:val="0"/>
          <w:szCs w:val="24"/>
          <w:lang w:val="zh-CN"/>
        </w:rPr>
        <w:t>——</w:t>
      </w:r>
      <w:r>
        <w:rPr>
          <w:rFonts w:hint="eastAsia" w:ascii="宋体" w:hAnsi="宋体" w:cs="宋体"/>
          <w:kern w:val="0"/>
          <w:szCs w:val="24"/>
          <w:lang w:val="zh-CN"/>
        </w:rPr>
        <w:t>非货币性资产交换》进行了修订。修订后的新准则自</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6</w:t>
      </w:r>
      <w:r>
        <w:rPr>
          <w:rFonts w:hint="eastAsia" w:ascii="宋体" w:hAnsi="宋体" w:cs="宋体"/>
          <w:kern w:val="0"/>
          <w:szCs w:val="24"/>
          <w:lang w:val="zh-CN"/>
        </w:rPr>
        <w:t>月</w:t>
      </w:r>
      <w:r>
        <w:rPr>
          <w:rFonts w:eastAsia="Times New Roman"/>
          <w:kern w:val="0"/>
          <w:szCs w:val="24"/>
          <w:lang w:val="zh-CN"/>
        </w:rPr>
        <w:t>10</w:t>
      </w:r>
      <w:r>
        <w:rPr>
          <w:rFonts w:hint="eastAsia" w:ascii="宋体" w:hAnsi="宋体" w:cs="宋体"/>
          <w:kern w:val="0"/>
          <w:szCs w:val="24"/>
          <w:lang w:val="zh-CN"/>
        </w:rPr>
        <w:t>日起执行。</w:t>
      </w:r>
    </w:p>
    <w:p>
      <w:pPr>
        <w:autoSpaceDE w:val="0"/>
        <w:autoSpaceDN w:val="0"/>
        <w:adjustRightInd w:val="0"/>
        <w:spacing w:before="156" w:after="156"/>
        <w:ind w:firstLine="180"/>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3</w:t>
      </w:r>
      <w:r>
        <w:rPr>
          <w:rFonts w:hint="eastAsia" w:ascii="宋体" w:hAnsi="宋体" w:cs="宋体"/>
          <w:kern w:val="0"/>
          <w:szCs w:val="24"/>
          <w:lang w:val="zh-CN"/>
        </w:rPr>
        <w:t>）债务重组</w:t>
      </w:r>
      <w:r>
        <w:rPr>
          <w:rFonts w:eastAsia="Times New Roman"/>
          <w:kern w:val="0"/>
          <w:szCs w:val="24"/>
          <w:lang w:val="zh-CN"/>
        </w:rPr>
        <w:t xml:space="preserve"> </w:t>
      </w:r>
    </w:p>
    <w:p>
      <w:pPr>
        <w:autoSpaceDE w:val="0"/>
        <w:autoSpaceDN w:val="0"/>
        <w:adjustRightInd w:val="0"/>
        <w:spacing w:before="156" w:after="156"/>
        <w:ind w:firstLine="480"/>
        <w:rPr>
          <w:rFonts w:eastAsia="Times New Roman"/>
          <w:kern w:val="0"/>
          <w:szCs w:val="24"/>
          <w:lang w:val="zh-CN"/>
        </w:rPr>
      </w:pPr>
      <w:r>
        <w:rPr>
          <w:rFonts w:hint="eastAsia" w:ascii="宋体" w:hAnsi="宋体" w:cs="宋体"/>
          <w:kern w:val="0"/>
          <w:szCs w:val="24"/>
          <w:lang w:val="zh-CN"/>
        </w:rPr>
        <w:t>财政部于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5</w:t>
      </w:r>
      <w:r>
        <w:rPr>
          <w:rFonts w:hint="eastAsia" w:ascii="宋体" w:hAnsi="宋体" w:cs="宋体"/>
          <w:kern w:val="0"/>
          <w:szCs w:val="24"/>
          <w:lang w:val="zh-CN"/>
        </w:rPr>
        <w:t>月</w:t>
      </w:r>
      <w:r>
        <w:rPr>
          <w:rFonts w:eastAsia="Times New Roman"/>
          <w:kern w:val="0"/>
          <w:szCs w:val="24"/>
          <w:lang w:val="zh-CN"/>
        </w:rPr>
        <w:t>16</w:t>
      </w:r>
      <w:r>
        <w:rPr>
          <w:rFonts w:hint="eastAsia" w:ascii="宋体" w:hAnsi="宋体" w:cs="宋体"/>
          <w:kern w:val="0"/>
          <w:szCs w:val="24"/>
          <w:lang w:val="zh-CN"/>
        </w:rPr>
        <w:t>日发布了《关于印发修订</w:t>
      </w:r>
      <w:r>
        <w:rPr>
          <w:rFonts w:eastAsia="Times New Roman"/>
          <w:kern w:val="0"/>
          <w:szCs w:val="24"/>
          <w:lang w:val="zh-CN"/>
        </w:rPr>
        <w:t>&lt;</w:t>
      </w:r>
      <w:r>
        <w:rPr>
          <w:rFonts w:hint="eastAsia" w:ascii="宋体" w:hAnsi="宋体" w:cs="宋体"/>
          <w:kern w:val="0"/>
          <w:szCs w:val="24"/>
          <w:lang w:val="zh-CN"/>
        </w:rPr>
        <w:t>企业会计准则第</w:t>
      </w:r>
      <w:r>
        <w:rPr>
          <w:rFonts w:eastAsia="Times New Roman"/>
          <w:kern w:val="0"/>
          <w:szCs w:val="24"/>
          <w:lang w:val="zh-CN"/>
        </w:rPr>
        <w:t>12</w:t>
      </w:r>
      <w:r>
        <w:rPr>
          <w:rFonts w:hint="eastAsia" w:ascii="宋体" w:hAnsi="宋体" w:cs="宋体"/>
          <w:kern w:val="0"/>
          <w:szCs w:val="24"/>
          <w:lang w:val="zh-CN"/>
        </w:rPr>
        <w:t>号</w:t>
      </w:r>
      <w:r>
        <w:rPr>
          <w:rFonts w:eastAsia="Times New Roman"/>
          <w:kern w:val="0"/>
          <w:szCs w:val="24"/>
          <w:lang w:val="zh-CN"/>
        </w:rPr>
        <w:t>——</w:t>
      </w:r>
      <w:r>
        <w:rPr>
          <w:rFonts w:hint="eastAsia" w:ascii="宋体" w:hAnsi="宋体" w:cs="宋体"/>
          <w:kern w:val="0"/>
          <w:szCs w:val="24"/>
          <w:lang w:val="zh-CN"/>
        </w:rPr>
        <w:t>债务重组</w:t>
      </w:r>
      <w:r>
        <w:rPr>
          <w:rFonts w:eastAsia="Times New Roman"/>
          <w:kern w:val="0"/>
          <w:szCs w:val="24"/>
          <w:lang w:val="zh-CN"/>
        </w:rPr>
        <w:t>&gt;</w:t>
      </w:r>
      <w:r>
        <w:rPr>
          <w:rFonts w:hint="eastAsia" w:ascii="宋体" w:hAnsi="宋体" w:cs="宋体"/>
          <w:kern w:val="0"/>
          <w:szCs w:val="24"/>
          <w:lang w:val="zh-CN"/>
        </w:rPr>
        <w:t>的通知》（财会</w:t>
      </w:r>
      <w:r>
        <w:rPr>
          <w:rFonts w:eastAsia="Times New Roman"/>
          <w:kern w:val="0"/>
          <w:szCs w:val="24"/>
          <w:lang w:val="zh-CN"/>
        </w:rPr>
        <w:t>[2019]9</w:t>
      </w:r>
      <w:r>
        <w:rPr>
          <w:rFonts w:hint="eastAsia" w:ascii="宋体" w:hAnsi="宋体" w:cs="宋体"/>
          <w:kern w:val="0"/>
          <w:szCs w:val="24"/>
          <w:lang w:val="zh-CN"/>
        </w:rPr>
        <w:t>号），对《企业会计准则第</w:t>
      </w:r>
      <w:r>
        <w:rPr>
          <w:rFonts w:eastAsia="Times New Roman"/>
          <w:kern w:val="0"/>
          <w:szCs w:val="24"/>
          <w:lang w:val="zh-CN"/>
        </w:rPr>
        <w:t>12</w:t>
      </w:r>
      <w:r>
        <w:rPr>
          <w:rFonts w:hint="eastAsia" w:ascii="宋体" w:hAnsi="宋体" w:cs="宋体"/>
          <w:kern w:val="0"/>
          <w:szCs w:val="24"/>
          <w:lang w:val="zh-CN"/>
        </w:rPr>
        <w:t>号</w:t>
      </w:r>
      <w:r>
        <w:rPr>
          <w:rFonts w:eastAsia="Times New Roman"/>
          <w:kern w:val="0"/>
          <w:szCs w:val="24"/>
          <w:lang w:val="zh-CN"/>
        </w:rPr>
        <w:t>——</w:t>
      </w:r>
      <w:r>
        <w:rPr>
          <w:rFonts w:hint="eastAsia" w:ascii="宋体" w:hAnsi="宋体" w:cs="宋体"/>
          <w:kern w:val="0"/>
          <w:szCs w:val="24"/>
          <w:lang w:val="zh-CN"/>
        </w:rPr>
        <w:t>债务重组》进行了修订。修订后的新准则自</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6</w:t>
      </w:r>
      <w:r>
        <w:rPr>
          <w:rFonts w:hint="eastAsia" w:ascii="宋体" w:hAnsi="宋体" w:cs="宋体"/>
          <w:kern w:val="0"/>
          <w:szCs w:val="24"/>
          <w:lang w:val="zh-CN"/>
        </w:rPr>
        <w:t>月</w:t>
      </w:r>
      <w:r>
        <w:rPr>
          <w:rFonts w:eastAsia="Times New Roman"/>
          <w:kern w:val="0"/>
          <w:szCs w:val="24"/>
          <w:lang w:val="zh-CN"/>
        </w:rPr>
        <w:t>17</w:t>
      </w:r>
      <w:r>
        <w:rPr>
          <w:rFonts w:hint="eastAsia" w:ascii="宋体" w:hAnsi="宋体" w:cs="宋体"/>
          <w:kern w:val="0"/>
          <w:szCs w:val="24"/>
          <w:lang w:val="zh-CN"/>
        </w:rPr>
        <w:t>日起执行。</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上述会计政策变更事项已经公司</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8</w:t>
      </w:r>
      <w:r>
        <w:rPr>
          <w:rFonts w:hint="eastAsia" w:ascii="宋体" w:hAnsi="宋体" w:cs="宋体"/>
          <w:kern w:val="0"/>
          <w:szCs w:val="24"/>
          <w:lang w:val="zh-CN"/>
        </w:rPr>
        <w:t>月</w:t>
      </w:r>
      <w:r>
        <w:rPr>
          <w:rFonts w:eastAsia="Times New Roman"/>
          <w:kern w:val="0"/>
          <w:szCs w:val="24"/>
          <w:lang w:val="zh-CN"/>
        </w:rPr>
        <w:t>16</w:t>
      </w:r>
      <w:r>
        <w:rPr>
          <w:rFonts w:hint="eastAsia" w:ascii="宋体" w:hAnsi="宋体" w:cs="宋体"/>
          <w:kern w:val="0"/>
          <w:szCs w:val="24"/>
          <w:lang w:val="zh-CN"/>
        </w:rPr>
        <w:t>日召开的第三届董事会第十九次会议及第三届监事会第十七次会议审议通过。</w:t>
      </w:r>
    </w:p>
    <w:p>
      <w:pPr>
        <w:pStyle w:val="13"/>
        <w:outlineLvl w:val="1"/>
        <w:rPr>
          <w:bCs w:val="0"/>
        </w:rPr>
      </w:pPr>
      <w:r>
        <w:rPr>
          <w:rFonts w:hint="eastAsia"/>
          <w:bCs w:val="0"/>
        </w:rPr>
        <w:t>七、与上年度财务报告相比，合并报表范围发生变化的情况说明</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autoSpaceDE w:val="0"/>
        <w:autoSpaceDN w:val="0"/>
        <w:adjustRightInd w:val="0"/>
        <w:spacing w:before="0" w:after="0"/>
        <w:rPr>
          <w:rFonts w:eastAsia="Times New Roman"/>
          <w:b/>
          <w:bCs/>
          <w:kern w:val="0"/>
          <w:sz w:val="21"/>
          <w:szCs w:val="21"/>
          <w:lang w:val="zh-CN"/>
        </w:rPr>
      </w:pPr>
      <w:r>
        <w:rPr>
          <w:rFonts w:eastAsia="Times New Roman"/>
          <w:b/>
          <w:bCs/>
          <w:kern w:val="0"/>
          <w:sz w:val="21"/>
          <w:szCs w:val="21"/>
          <w:lang w:val="zh-CN"/>
        </w:rPr>
        <w:t>1</w:t>
      </w:r>
      <w:r>
        <w:rPr>
          <w:rFonts w:hint="eastAsia" w:ascii="宋体" w:hAnsi="宋体" w:cs="宋体"/>
          <w:b/>
          <w:bCs/>
          <w:kern w:val="0"/>
          <w:sz w:val="21"/>
          <w:szCs w:val="21"/>
          <w:lang w:val="zh-CN"/>
        </w:rPr>
        <w:t>、处置子公司</w:t>
      </w:r>
    </w:p>
    <w:p>
      <w:pPr>
        <w:autoSpaceDE w:val="0"/>
        <w:autoSpaceDN w:val="0"/>
        <w:adjustRightInd w:val="0"/>
        <w:spacing w:before="0" w:after="0"/>
        <w:rPr>
          <w:rFonts w:eastAsia="Times New Roman"/>
          <w:b/>
          <w:kern w:val="0"/>
          <w:lang w:val="zh-CN"/>
        </w:rPr>
      </w:pPr>
      <w:r>
        <w:rPr>
          <w:rFonts w:hint="eastAsia" w:ascii="宋体" w:hAnsi="宋体" w:cs="宋体"/>
          <w:kern w:val="0"/>
          <w:lang w:val="zh-CN"/>
        </w:rPr>
        <w:t>单次处置对子公司投资即丧失控制权的情形</w:t>
      </w:r>
    </w:p>
    <w:tbl>
      <w:tblPr>
        <w:tblStyle w:val="9"/>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 w:type="dxa"/>
          <w:left w:w="10" w:type="dxa"/>
          <w:bottom w:w="10" w:type="dxa"/>
          <w:right w:w="10" w:type="dxa"/>
        </w:tblCellMar>
      </w:tblPr>
      <w:tblGrid>
        <w:gridCol w:w="820"/>
        <w:gridCol w:w="1020"/>
        <w:gridCol w:w="622"/>
        <w:gridCol w:w="523"/>
        <w:gridCol w:w="767"/>
        <w:gridCol w:w="622"/>
        <w:gridCol w:w="940"/>
        <w:gridCol w:w="500"/>
        <w:gridCol w:w="940"/>
        <w:gridCol w:w="940"/>
        <w:gridCol w:w="860"/>
        <w:gridCol w:w="482"/>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820" w:type="dxa"/>
            <w:shd w:val="clear" w:color="auto" w:fill="D8D8D8" w:themeFill="background1" w:themeFillShade="D9"/>
          </w:tcPr>
          <w:p>
            <w:pPr>
              <w:autoSpaceDE w:val="0"/>
              <w:autoSpaceDN w:val="0"/>
              <w:adjustRightInd w:val="0"/>
              <w:spacing w:before="0" w:after="0"/>
              <w:jc w:val="center"/>
              <w:rPr>
                <w:rFonts w:eastAsia="Times New Roman"/>
                <w:kern w:val="0"/>
                <w:sz w:val="16"/>
                <w:lang w:val="zh-CN"/>
              </w:rPr>
            </w:pPr>
            <w:r>
              <w:rPr>
                <w:rFonts w:hint="eastAsia" w:ascii="宋体" w:hAnsi="宋体" w:cs="宋体"/>
                <w:kern w:val="0"/>
                <w:sz w:val="16"/>
                <w:lang w:val="zh-CN"/>
              </w:rPr>
              <w:t>子公司名称</w:t>
            </w:r>
          </w:p>
        </w:tc>
        <w:tc>
          <w:tcPr>
            <w:tcW w:w="1020" w:type="dxa"/>
            <w:shd w:val="clear" w:color="auto" w:fill="D8D8D8" w:themeFill="background1" w:themeFillShade="D9"/>
          </w:tcPr>
          <w:p>
            <w:pPr>
              <w:autoSpaceDE w:val="0"/>
              <w:autoSpaceDN w:val="0"/>
              <w:adjustRightInd w:val="0"/>
              <w:spacing w:before="0" w:after="0"/>
              <w:jc w:val="center"/>
              <w:rPr>
                <w:rFonts w:eastAsia="Times New Roman"/>
                <w:kern w:val="0"/>
                <w:sz w:val="16"/>
                <w:lang w:val="zh-CN"/>
              </w:rPr>
            </w:pPr>
            <w:r>
              <w:rPr>
                <w:rFonts w:hint="eastAsia" w:ascii="宋体" w:hAnsi="宋体" w:cs="宋体"/>
                <w:kern w:val="0"/>
                <w:sz w:val="16"/>
                <w:lang w:val="zh-CN"/>
              </w:rPr>
              <w:t>股权处置价款</w:t>
            </w:r>
          </w:p>
        </w:tc>
        <w:tc>
          <w:tcPr>
            <w:tcW w:w="622" w:type="dxa"/>
            <w:shd w:val="clear" w:color="auto" w:fill="D8D8D8" w:themeFill="background1" w:themeFillShade="D9"/>
          </w:tcPr>
          <w:p>
            <w:pPr>
              <w:autoSpaceDE w:val="0"/>
              <w:autoSpaceDN w:val="0"/>
              <w:adjustRightInd w:val="0"/>
              <w:spacing w:before="0" w:after="0"/>
              <w:jc w:val="center"/>
              <w:rPr>
                <w:rFonts w:eastAsia="Times New Roman"/>
                <w:kern w:val="0"/>
                <w:sz w:val="16"/>
                <w:lang w:val="zh-CN"/>
              </w:rPr>
            </w:pPr>
            <w:r>
              <w:rPr>
                <w:rFonts w:hint="eastAsia" w:ascii="宋体" w:hAnsi="宋体" w:cs="宋体"/>
                <w:kern w:val="0"/>
                <w:sz w:val="16"/>
                <w:lang w:val="zh-CN"/>
              </w:rPr>
              <w:t>股权处置比例（</w:t>
            </w:r>
            <w:r>
              <w:rPr>
                <w:rFonts w:eastAsia="Times New Roman"/>
                <w:kern w:val="0"/>
                <w:sz w:val="16"/>
                <w:lang w:val="zh-CN"/>
              </w:rPr>
              <w:t>%</w:t>
            </w:r>
            <w:r>
              <w:rPr>
                <w:rFonts w:hint="eastAsia" w:ascii="宋体" w:hAnsi="宋体" w:cs="宋体"/>
                <w:kern w:val="0"/>
                <w:sz w:val="16"/>
                <w:lang w:val="zh-CN"/>
              </w:rPr>
              <w:t>）</w:t>
            </w:r>
          </w:p>
        </w:tc>
        <w:tc>
          <w:tcPr>
            <w:tcW w:w="523" w:type="dxa"/>
            <w:shd w:val="clear" w:color="auto" w:fill="D8D8D8" w:themeFill="background1" w:themeFillShade="D9"/>
          </w:tcPr>
          <w:p>
            <w:pPr>
              <w:autoSpaceDE w:val="0"/>
              <w:autoSpaceDN w:val="0"/>
              <w:adjustRightInd w:val="0"/>
              <w:spacing w:before="0" w:after="0"/>
              <w:jc w:val="center"/>
              <w:rPr>
                <w:rFonts w:eastAsia="Times New Roman"/>
                <w:kern w:val="0"/>
                <w:sz w:val="16"/>
                <w:lang w:val="zh-CN"/>
              </w:rPr>
            </w:pPr>
            <w:r>
              <w:rPr>
                <w:rFonts w:hint="eastAsia" w:ascii="宋体" w:hAnsi="宋体" w:cs="宋体"/>
                <w:kern w:val="0"/>
                <w:sz w:val="16"/>
                <w:lang w:val="zh-CN"/>
              </w:rPr>
              <w:t>股权处置方式</w:t>
            </w:r>
          </w:p>
        </w:tc>
        <w:tc>
          <w:tcPr>
            <w:tcW w:w="767" w:type="dxa"/>
            <w:shd w:val="clear" w:color="auto" w:fill="D8D8D8" w:themeFill="background1" w:themeFillShade="D9"/>
          </w:tcPr>
          <w:p>
            <w:pPr>
              <w:autoSpaceDE w:val="0"/>
              <w:autoSpaceDN w:val="0"/>
              <w:adjustRightInd w:val="0"/>
              <w:spacing w:before="0" w:after="0"/>
              <w:jc w:val="center"/>
              <w:rPr>
                <w:rFonts w:eastAsia="Times New Roman"/>
                <w:kern w:val="0"/>
                <w:sz w:val="16"/>
                <w:lang w:val="zh-CN"/>
              </w:rPr>
            </w:pPr>
            <w:r>
              <w:rPr>
                <w:rFonts w:hint="eastAsia" w:ascii="宋体" w:hAnsi="宋体" w:cs="宋体"/>
                <w:kern w:val="0"/>
                <w:sz w:val="16"/>
                <w:lang w:val="zh-CN"/>
              </w:rPr>
              <w:t>丧失控制权的时点</w:t>
            </w:r>
          </w:p>
        </w:tc>
        <w:tc>
          <w:tcPr>
            <w:tcW w:w="622" w:type="dxa"/>
            <w:shd w:val="clear" w:color="auto" w:fill="D8D8D8" w:themeFill="background1" w:themeFillShade="D9"/>
          </w:tcPr>
          <w:p>
            <w:pPr>
              <w:autoSpaceDE w:val="0"/>
              <w:autoSpaceDN w:val="0"/>
              <w:adjustRightInd w:val="0"/>
              <w:spacing w:before="0" w:after="0"/>
              <w:jc w:val="center"/>
              <w:rPr>
                <w:rFonts w:eastAsia="Times New Roman"/>
                <w:kern w:val="0"/>
                <w:sz w:val="16"/>
                <w:lang w:val="zh-CN"/>
              </w:rPr>
            </w:pPr>
            <w:r>
              <w:rPr>
                <w:rFonts w:hint="eastAsia" w:ascii="宋体" w:hAnsi="宋体" w:cs="宋体"/>
                <w:kern w:val="0"/>
                <w:sz w:val="16"/>
                <w:lang w:val="zh-CN"/>
              </w:rPr>
              <w:t>丧失控制权时点的确定依据</w:t>
            </w:r>
          </w:p>
        </w:tc>
        <w:tc>
          <w:tcPr>
            <w:tcW w:w="940" w:type="dxa"/>
            <w:shd w:val="clear" w:color="auto" w:fill="D8D8D8" w:themeFill="background1" w:themeFillShade="D9"/>
          </w:tcPr>
          <w:p>
            <w:pPr>
              <w:autoSpaceDE w:val="0"/>
              <w:autoSpaceDN w:val="0"/>
              <w:adjustRightInd w:val="0"/>
              <w:spacing w:before="0" w:after="0"/>
              <w:jc w:val="center"/>
              <w:rPr>
                <w:rFonts w:eastAsia="Times New Roman"/>
                <w:kern w:val="0"/>
                <w:sz w:val="16"/>
                <w:lang w:val="zh-CN"/>
              </w:rPr>
            </w:pPr>
            <w:r>
              <w:rPr>
                <w:rFonts w:hint="eastAsia" w:ascii="宋体" w:hAnsi="宋体" w:cs="宋体"/>
                <w:kern w:val="0"/>
                <w:sz w:val="16"/>
                <w:lang w:val="zh-CN"/>
              </w:rPr>
              <w:t>处置价款与处置投资对应的合并财务报表层面享有该子公司净资产份额的差额</w:t>
            </w:r>
          </w:p>
        </w:tc>
        <w:tc>
          <w:tcPr>
            <w:tcW w:w="500" w:type="dxa"/>
            <w:shd w:val="clear" w:color="auto" w:fill="D8D8D8" w:themeFill="background1" w:themeFillShade="D9"/>
          </w:tcPr>
          <w:p>
            <w:pPr>
              <w:autoSpaceDE w:val="0"/>
              <w:autoSpaceDN w:val="0"/>
              <w:adjustRightInd w:val="0"/>
              <w:spacing w:before="0" w:after="0"/>
              <w:jc w:val="center"/>
              <w:rPr>
                <w:rFonts w:eastAsia="Times New Roman"/>
                <w:kern w:val="0"/>
                <w:sz w:val="16"/>
                <w:lang w:val="zh-CN"/>
              </w:rPr>
            </w:pPr>
            <w:r>
              <w:rPr>
                <w:rFonts w:hint="eastAsia" w:ascii="宋体" w:hAnsi="宋体" w:cs="宋体"/>
                <w:kern w:val="0"/>
                <w:sz w:val="16"/>
                <w:lang w:val="zh-CN"/>
              </w:rPr>
              <w:t>丧失控制权之日剩余股权的比例（</w:t>
            </w:r>
            <w:r>
              <w:rPr>
                <w:rFonts w:eastAsia="Times New Roman"/>
                <w:kern w:val="0"/>
                <w:sz w:val="16"/>
                <w:lang w:val="zh-CN"/>
              </w:rPr>
              <w:t>%</w:t>
            </w:r>
            <w:r>
              <w:rPr>
                <w:rFonts w:hint="eastAsia" w:ascii="宋体" w:hAnsi="宋体" w:cs="宋体"/>
                <w:kern w:val="0"/>
                <w:sz w:val="16"/>
                <w:lang w:val="zh-CN"/>
              </w:rPr>
              <w:t>）</w:t>
            </w:r>
          </w:p>
        </w:tc>
        <w:tc>
          <w:tcPr>
            <w:tcW w:w="940" w:type="dxa"/>
            <w:shd w:val="clear" w:color="auto" w:fill="D8D8D8" w:themeFill="background1" w:themeFillShade="D9"/>
          </w:tcPr>
          <w:p>
            <w:pPr>
              <w:autoSpaceDE w:val="0"/>
              <w:autoSpaceDN w:val="0"/>
              <w:adjustRightInd w:val="0"/>
              <w:spacing w:before="0" w:after="0"/>
              <w:jc w:val="center"/>
              <w:rPr>
                <w:rFonts w:eastAsia="Times New Roman"/>
                <w:kern w:val="0"/>
                <w:sz w:val="16"/>
                <w:lang w:val="zh-CN"/>
              </w:rPr>
            </w:pPr>
            <w:r>
              <w:rPr>
                <w:rFonts w:hint="eastAsia" w:ascii="宋体" w:hAnsi="宋体" w:cs="宋体"/>
                <w:kern w:val="0"/>
                <w:sz w:val="16"/>
                <w:lang w:val="zh-CN"/>
              </w:rPr>
              <w:t>丧失控制权之日剩余股权的账面价值</w:t>
            </w:r>
          </w:p>
        </w:tc>
        <w:tc>
          <w:tcPr>
            <w:tcW w:w="940" w:type="dxa"/>
            <w:shd w:val="clear" w:color="auto" w:fill="D8D8D8" w:themeFill="background1" w:themeFillShade="D9"/>
          </w:tcPr>
          <w:p>
            <w:pPr>
              <w:autoSpaceDE w:val="0"/>
              <w:autoSpaceDN w:val="0"/>
              <w:adjustRightInd w:val="0"/>
              <w:spacing w:before="0" w:after="0"/>
              <w:jc w:val="center"/>
              <w:rPr>
                <w:rFonts w:eastAsia="Times New Roman"/>
                <w:kern w:val="0"/>
                <w:sz w:val="16"/>
                <w:lang w:val="zh-CN"/>
              </w:rPr>
            </w:pPr>
            <w:r>
              <w:rPr>
                <w:rFonts w:hint="eastAsia" w:ascii="宋体" w:hAnsi="宋体" w:cs="宋体"/>
                <w:kern w:val="0"/>
                <w:sz w:val="16"/>
                <w:lang w:val="zh-CN"/>
              </w:rPr>
              <w:t>丧失控制权之日剩余股权的公允价值</w:t>
            </w:r>
          </w:p>
        </w:tc>
        <w:tc>
          <w:tcPr>
            <w:tcW w:w="860" w:type="dxa"/>
            <w:shd w:val="clear" w:color="auto" w:fill="D8D8D8" w:themeFill="background1" w:themeFillShade="D9"/>
          </w:tcPr>
          <w:p>
            <w:pPr>
              <w:autoSpaceDE w:val="0"/>
              <w:autoSpaceDN w:val="0"/>
              <w:adjustRightInd w:val="0"/>
              <w:spacing w:before="0" w:after="0"/>
              <w:jc w:val="center"/>
              <w:rPr>
                <w:rFonts w:eastAsia="Times New Roman"/>
                <w:kern w:val="0"/>
                <w:sz w:val="16"/>
                <w:lang w:val="zh-CN"/>
              </w:rPr>
            </w:pPr>
            <w:r>
              <w:rPr>
                <w:rFonts w:hint="eastAsia" w:ascii="宋体" w:hAnsi="宋体" w:cs="宋体"/>
                <w:kern w:val="0"/>
                <w:sz w:val="16"/>
                <w:lang w:val="zh-CN"/>
              </w:rPr>
              <w:t>按照公允价值重新计量剩余股权产生的利得或损失</w:t>
            </w:r>
          </w:p>
        </w:tc>
        <w:tc>
          <w:tcPr>
            <w:tcW w:w="482" w:type="dxa"/>
            <w:shd w:val="clear" w:color="auto" w:fill="D8D8D8" w:themeFill="background1" w:themeFillShade="D9"/>
          </w:tcPr>
          <w:p>
            <w:pPr>
              <w:autoSpaceDE w:val="0"/>
              <w:autoSpaceDN w:val="0"/>
              <w:adjustRightInd w:val="0"/>
              <w:spacing w:before="0" w:after="0"/>
              <w:jc w:val="center"/>
              <w:rPr>
                <w:rFonts w:eastAsia="Times New Roman"/>
                <w:kern w:val="0"/>
                <w:sz w:val="16"/>
                <w:lang w:val="zh-CN"/>
              </w:rPr>
            </w:pPr>
            <w:r>
              <w:rPr>
                <w:rFonts w:hint="eastAsia" w:ascii="宋体" w:hAnsi="宋体" w:cs="宋体"/>
                <w:kern w:val="0"/>
                <w:sz w:val="16"/>
                <w:lang w:val="zh-CN"/>
              </w:rPr>
              <w:t>丧失控制权之日剩余股权公允价值的确定方法及主要假设</w:t>
            </w:r>
          </w:p>
        </w:tc>
        <w:tc>
          <w:tcPr>
            <w:tcW w:w="622" w:type="dxa"/>
            <w:shd w:val="clear" w:color="auto" w:fill="D8D8D8" w:themeFill="background1" w:themeFillShade="D9"/>
          </w:tcPr>
          <w:p>
            <w:pPr>
              <w:autoSpaceDE w:val="0"/>
              <w:autoSpaceDN w:val="0"/>
              <w:adjustRightInd w:val="0"/>
              <w:spacing w:before="0" w:after="0"/>
              <w:jc w:val="center"/>
              <w:rPr>
                <w:rFonts w:eastAsia="Times New Roman"/>
                <w:kern w:val="0"/>
                <w:sz w:val="16"/>
                <w:lang w:val="zh-CN"/>
              </w:rPr>
            </w:pPr>
            <w:r>
              <w:rPr>
                <w:rFonts w:hint="eastAsia" w:ascii="宋体" w:hAnsi="宋体" w:cs="宋体"/>
                <w:kern w:val="0"/>
                <w:sz w:val="16"/>
                <w:lang w:val="zh-CN"/>
              </w:rPr>
              <w:t>与原子公司股权投资相关的其他综合收益转入投资损益的金额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820" w:type="dxa"/>
          </w:tcPr>
          <w:p>
            <w:pPr>
              <w:autoSpaceDE w:val="0"/>
              <w:autoSpaceDN w:val="0"/>
              <w:adjustRightInd w:val="0"/>
              <w:spacing w:before="0" w:after="0"/>
              <w:jc w:val="left"/>
              <w:rPr>
                <w:rFonts w:eastAsia="Times New Roman"/>
                <w:kern w:val="0"/>
                <w:sz w:val="16"/>
                <w:lang w:val="zh-CN"/>
              </w:rPr>
            </w:pPr>
            <w:r>
              <w:rPr>
                <w:rFonts w:hint="eastAsia" w:ascii="宋体" w:hAnsi="宋体" w:cs="宋体"/>
                <w:kern w:val="0"/>
                <w:sz w:val="16"/>
                <w:lang w:val="zh-CN"/>
              </w:rPr>
              <w:t>赣州美康盛德医学检验所有限公司</w:t>
            </w:r>
          </w:p>
        </w:tc>
        <w:tc>
          <w:tcPr>
            <w:tcW w:w="1020" w:type="dxa"/>
          </w:tcPr>
          <w:p>
            <w:pPr>
              <w:autoSpaceDE w:val="0"/>
              <w:autoSpaceDN w:val="0"/>
              <w:adjustRightInd w:val="0"/>
              <w:spacing w:before="0" w:after="0"/>
              <w:jc w:val="right"/>
              <w:rPr>
                <w:rFonts w:eastAsia="Times New Roman"/>
                <w:kern w:val="0"/>
                <w:sz w:val="16"/>
                <w:lang w:val="zh-CN"/>
              </w:rPr>
            </w:pPr>
          </w:p>
        </w:tc>
        <w:tc>
          <w:tcPr>
            <w:tcW w:w="622"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35.00</w:t>
            </w:r>
          </w:p>
        </w:tc>
        <w:tc>
          <w:tcPr>
            <w:tcW w:w="523" w:type="dxa"/>
          </w:tcPr>
          <w:p>
            <w:pPr>
              <w:autoSpaceDE w:val="0"/>
              <w:autoSpaceDN w:val="0"/>
              <w:adjustRightInd w:val="0"/>
              <w:spacing w:before="0" w:after="0"/>
              <w:jc w:val="right"/>
              <w:rPr>
                <w:rFonts w:eastAsia="Times New Roman"/>
                <w:kern w:val="0"/>
                <w:sz w:val="16"/>
                <w:lang w:val="zh-CN"/>
              </w:rPr>
            </w:pPr>
            <w:r>
              <w:rPr>
                <w:rFonts w:hint="eastAsia" w:ascii="宋体" w:hAnsi="宋体" w:cs="宋体"/>
                <w:kern w:val="0"/>
                <w:sz w:val="16"/>
                <w:lang w:val="zh-CN"/>
              </w:rPr>
              <w:t>转让</w:t>
            </w:r>
          </w:p>
        </w:tc>
        <w:tc>
          <w:tcPr>
            <w:tcW w:w="767"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2019-4-16</w:t>
            </w:r>
          </w:p>
        </w:tc>
        <w:tc>
          <w:tcPr>
            <w:tcW w:w="622" w:type="dxa"/>
          </w:tcPr>
          <w:p>
            <w:pPr>
              <w:autoSpaceDE w:val="0"/>
              <w:autoSpaceDN w:val="0"/>
              <w:adjustRightInd w:val="0"/>
              <w:spacing w:before="0" w:after="0"/>
              <w:jc w:val="right"/>
              <w:rPr>
                <w:rFonts w:eastAsia="Times New Roman"/>
                <w:kern w:val="0"/>
                <w:sz w:val="16"/>
                <w:lang w:val="zh-CN"/>
              </w:rPr>
            </w:pPr>
            <w:r>
              <w:rPr>
                <w:rFonts w:hint="eastAsia" w:ascii="宋体" w:hAnsi="宋体" w:cs="宋体"/>
                <w:kern w:val="0"/>
                <w:sz w:val="16"/>
                <w:lang w:val="zh-CN"/>
              </w:rPr>
              <w:t>办妥工商变更</w:t>
            </w:r>
          </w:p>
        </w:tc>
        <w:tc>
          <w:tcPr>
            <w:tcW w:w="940" w:type="dxa"/>
          </w:tcPr>
          <w:p>
            <w:pPr>
              <w:autoSpaceDE w:val="0"/>
              <w:autoSpaceDN w:val="0"/>
              <w:adjustRightInd w:val="0"/>
              <w:spacing w:before="0" w:after="0"/>
              <w:jc w:val="right"/>
              <w:rPr>
                <w:rFonts w:eastAsia="Times New Roman"/>
                <w:kern w:val="0"/>
                <w:sz w:val="16"/>
                <w:lang w:val="zh-CN"/>
              </w:rPr>
            </w:pPr>
          </w:p>
        </w:tc>
        <w:tc>
          <w:tcPr>
            <w:tcW w:w="50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20.00</w:t>
            </w:r>
          </w:p>
        </w:tc>
        <w:tc>
          <w:tcPr>
            <w:tcW w:w="940" w:type="dxa"/>
          </w:tcPr>
          <w:p>
            <w:pPr>
              <w:autoSpaceDE w:val="0"/>
              <w:autoSpaceDN w:val="0"/>
              <w:adjustRightInd w:val="0"/>
              <w:spacing w:before="0" w:after="0"/>
              <w:jc w:val="right"/>
              <w:rPr>
                <w:rFonts w:eastAsia="Times New Roman"/>
                <w:kern w:val="0"/>
                <w:sz w:val="16"/>
                <w:lang w:val="zh-CN"/>
              </w:rPr>
            </w:pPr>
          </w:p>
        </w:tc>
        <w:tc>
          <w:tcPr>
            <w:tcW w:w="940" w:type="dxa"/>
          </w:tcPr>
          <w:p>
            <w:pPr>
              <w:autoSpaceDE w:val="0"/>
              <w:autoSpaceDN w:val="0"/>
              <w:adjustRightInd w:val="0"/>
              <w:spacing w:before="0" w:after="0"/>
              <w:jc w:val="right"/>
              <w:rPr>
                <w:rFonts w:eastAsia="Times New Roman"/>
                <w:kern w:val="0"/>
                <w:sz w:val="16"/>
                <w:lang w:val="zh-CN"/>
              </w:rPr>
            </w:pPr>
          </w:p>
        </w:tc>
        <w:tc>
          <w:tcPr>
            <w:tcW w:w="860" w:type="dxa"/>
          </w:tcPr>
          <w:p>
            <w:pPr>
              <w:autoSpaceDE w:val="0"/>
              <w:autoSpaceDN w:val="0"/>
              <w:adjustRightInd w:val="0"/>
              <w:spacing w:before="0" w:after="0"/>
              <w:jc w:val="right"/>
              <w:rPr>
                <w:rFonts w:eastAsia="Times New Roman"/>
                <w:kern w:val="0"/>
                <w:sz w:val="16"/>
                <w:lang w:val="zh-CN"/>
              </w:rPr>
            </w:pPr>
          </w:p>
        </w:tc>
        <w:tc>
          <w:tcPr>
            <w:tcW w:w="482" w:type="dxa"/>
          </w:tcPr>
          <w:p>
            <w:pPr>
              <w:autoSpaceDE w:val="0"/>
              <w:autoSpaceDN w:val="0"/>
              <w:adjustRightInd w:val="0"/>
              <w:spacing w:before="0" w:after="0"/>
              <w:jc w:val="right"/>
              <w:rPr>
                <w:rFonts w:eastAsia="Times New Roman"/>
                <w:kern w:val="0"/>
                <w:sz w:val="16"/>
                <w:lang w:val="zh-CN"/>
              </w:rPr>
            </w:pPr>
          </w:p>
        </w:tc>
        <w:tc>
          <w:tcPr>
            <w:tcW w:w="622" w:type="dxa"/>
          </w:tcPr>
          <w:p>
            <w:pPr>
              <w:autoSpaceDE w:val="0"/>
              <w:autoSpaceDN w:val="0"/>
              <w:adjustRightInd w:val="0"/>
              <w:spacing w:before="0" w:after="0"/>
              <w:jc w:val="right"/>
              <w:rPr>
                <w:rFonts w:eastAsia="Times New Roman"/>
                <w:kern w:val="0"/>
                <w:sz w:val="16"/>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820" w:type="dxa"/>
          </w:tcPr>
          <w:p>
            <w:pPr>
              <w:autoSpaceDE w:val="0"/>
              <w:autoSpaceDN w:val="0"/>
              <w:adjustRightInd w:val="0"/>
              <w:spacing w:before="0" w:after="0"/>
              <w:jc w:val="left"/>
              <w:rPr>
                <w:rFonts w:eastAsia="Times New Roman"/>
                <w:kern w:val="0"/>
                <w:sz w:val="16"/>
                <w:lang w:val="zh-CN"/>
              </w:rPr>
            </w:pPr>
            <w:r>
              <w:rPr>
                <w:rFonts w:hint="eastAsia" w:ascii="宋体" w:hAnsi="宋体" w:cs="宋体"/>
                <w:kern w:val="0"/>
                <w:sz w:val="16"/>
                <w:lang w:val="zh-CN"/>
              </w:rPr>
              <w:t>江西省美康医疗器械有限公司</w:t>
            </w:r>
          </w:p>
        </w:tc>
        <w:tc>
          <w:tcPr>
            <w:tcW w:w="102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6,000,000.00</w:t>
            </w:r>
          </w:p>
        </w:tc>
        <w:tc>
          <w:tcPr>
            <w:tcW w:w="622"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52.00</w:t>
            </w:r>
          </w:p>
        </w:tc>
        <w:tc>
          <w:tcPr>
            <w:tcW w:w="523" w:type="dxa"/>
          </w:tcPr>
          <w:p>
            <w:pPr>
              <w:autoSpaceDE w:val="0"/>
              <w:autoSpaceDN w:val="0"/>
              <w:adjustRightInd w:val="0"/>
              <w:spacing w:before="0" w:after="0"/>
              <w:jc w:val="right"/>
              <w:rPr>
                <w:rFonts w:eastAsia="Times New Roman"/>
                <w:kern w:val="0"/>
                <w:sz w:val="16"/>
                <w:lang w:val="zh-CN"/>
              </w:rPr>
            </w:pPr>
            <w:r>
              <w:rPr>
                <w:rFonts w:hint="eastAsia" w:ascii="宋体" w:hAnsi="宋体" w:cs="宋体"/>
                <w:kern w:val="0"/>
                <w:sz w:val="16"/>
                <w:lang w:val="zh-CN"/>
              </w:rPr>
              <w:t>转让</w:t>
            </w:r>
          </w:p>
        </w:tc>
        <w:tc>
          <w:tcPr>
            <w:tcW w:w="767"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2019-2-21</w:t>
            </w:r>
          </w:p>
        </w:tc>
        <w:tc>
          <w:tcPr>
            <w:tcW w:w="622" w:type="dxa"/>
          </w:tcPr>
          <w:p>
            <w:pPr>
              <w:autoSpaceDE w:val="0"/>
              <w:autoSpaceDN w:val="0"/>
              <w:adjustRightInd w:val="0"/>
              <w:spacing w:before="0" w:after="0"/>
              <w:jc w:val="right"/>
              <w:rPr>
                <w:rFonts w:eastAsia="Times New Roman"/>
                <w:kern w:val="0"/>
                <w:sz w:val="16"/>
                <w:lang w:val="zh-CN"/>
              </w:rPr>
            </w:pPr>
            <w:r>
              <w:rPr>
                <w:rFonts w:hint="eastAsia" w:ascii="宋体" w:hAnsi="宋体" w:cs="宋体"/>
                <w:kern w:val="0"/>
                <w:sz w:val="16"/>
                <w:lang w:val="zh-CN"/>
              </w:rPr>
              <w:t>办妥工商变更</w:t>
            </w:r>
          </w:p>
        </w:tc>
        <w:tc>
          <w:tcPr>
            <w:tcW w:w="94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2,228,540.32</w:t>
            </w:r>
          </w:p>
        </w:tc>
        <w:tc>
          <w:tcPr>
            <w:tcW w:w="500" w:type="dxa"/>
          </w:tcPr>
          <w:p>
            <w:pPr>
              <w:autoSpaceDE w:val="0"/>
              <w:autoSpaceDN w:val="0"/>
              <w:adjustRightInd w:val="0"/>
              <w:spacing w:before="0" w:after="0"/>
              <w:jc w:val="right"/>
              <w:rPr>
                <w:rFonts w:eastAsia="Times New Roman"/>
                <w:kern w:val="0"/>
                <w:sz w:val="16"/>
                <w:lang w:val="zh-CN"/>
              </w:rPr>
            </w:pPr>
          </w:p>
        </w:tc>
        <w:tc>
          <w:tcPr>
            <w:tcW w:w="940" w:type="dxa"/>
          </w:tcPr>
          <w:p>
            <w:pPr>
              <w:autoSpaceDE w:val="0"/>
              <w:autoSpaceDN w:val="0"/>
              <w:adjustRightInd w:val="0"/>
              <w:spacing w:before="0" w:after="0"/>
              <w:jc w:val="right"/>
              <w:rPr>
                <w:rFonts w:eastAsia="Times New Roman"/>
                <w:kern w:val="0"/>
                <w:sz w:val="16"/>
                <w:lang w:val="zh-CN"/>
              </w:rPr>
            </w:pPr>
          </w:p>
        </w:tc>
        <w:tc>
          <w:tcPr>
            <w:tcW w:w="940" w:type="dxa"/>
          </w:tcPr>
          <w:p>
            <w:pPr>
              <w:autoSpaceDE w:val="0"/>
              <w:autoSpaceDN w:val="0"/>
              <w:adjustRightInd w:val="0"/>
              <w:spacing w:before="0" w:after="0"/>
              <w:jc w:val="right"/>
              <w:rPr>
                <w:rFonts w:eastAsia="Times New Roman"/>
                <w:kern w:val="0"/>
                <w:sz w:val="16"/>
                <w:lang w:val="zh-CN"/>
              </w:rPr>
            </w:pPr>
          </w:p>
        </w:tc>
        <w:tc>
          <w:tcPr>
            <w:tcW w:w="860" w:type="dxa"/>
          </w:tcPr>
          <w:p>
            <w:pPr>
              <w:autoSpaceDE w:val="0"/>
              <w:autoSpaceDN w:val="0"/>
              <w:adjustRightInd w:val="0"/>
              <w:spacing w:before="0" w:after="0"/>
              <w:jc w:val="right"/>
              <w:rPr>
                <w:rFonts w:eastAsia="Times New Roman"/>
                <w:kern w:val="0"/>
                <w:sz w:val="16"/>
                <w:lang w:val="zh-CN"/>
              </w:rPr>
            </w:pPr>
          </w:p>
        </w:tc>
        <w:tc>
          <w:tcPr>
            <w:tcW w:w="482" w:type="dxa"/>
          </w:tcPr>
          <w:p>
            <w:pPr>
              <w:autoSpaceDE w:val="0"/>
              <w:autoSpaceDN w:val="0"/>
              <w:adjustRightInd w:val="0"/>
              <w:spacing w:before="0" w:after="0"/>
              <w:jc w:val="right"/>
              <w:rPr>
                <w:rFonts w:eastAsia="Times New Roman"/>
                <w:kern w:val="0"/>
                <w:sz w:val="16"/>
                <w:lang w:val="zh-CN"/>
              </w:rPr>
            </w:pPr>
          </w:p>
        </w:tc>
        <w:tc>
          <w:tcPr>
            <w:tcW w:w="622" w:type="dxa"/>
          </w:tcPr>
          <w:p>
            <w:pPr>
              <w:autoSpaceDE w:val="0"/>
              <w:autoSpaceDN w:val="0"/>
              <w:adjustRightInd w:val="0"/>
              <w:spacing w:before="0" w:after="0"/>
              <w:jc w:val="right"/>
              <w:rPr>
                <w:rFonts w:eastAsia="Times New Roman"/>
                <w:kern w:val="0"/>
                <w:sz w:val="16"/>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820" w:type="dxa"/>
          </w:tcPr>
          <w:p>
            <w:pPr>
              <w:autoSpaceDE w:val="0"/>
              <w:autoSpaceDN w:val="0"/>
              <w:adjustRightInd w:val="0"/>
              <w:spacing w:before="0" w:after="0"/>
              <w:jc w:val="left"/>
              <w:rPr>
                <w:rFonts w:eastAsia="Times New Roman"/>
                <w:kern w:val="0"/>
                <w:sz w:val="16"/>
                <w:lang w:val="zh-CN"/>
              </w:rPr>
            </w:pPr>
            <w:r>
              <w:rPr>
                <w:rFonts w:hint="eastAsia" w:ascii="宋体" w:hAnsi="宋体" w:cs="宋体"/>
                <w:kern w:val="0"/>
                <w:sz w:val="16"/>
                <w:lang w:val="zh-CN"/>
              </w:rPr>
              <w:t>上饶美康盛德医学检验所有限公司</w:t>
            </w:r>
          </w:p>
        </w:tc>
        <w:tc>
          <w:tcPr>
            <w:tcW w:w="102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11,000,000.00</w:t>
            </w:r>
          </w:p>
        </w:tc>
        <w:tc>
          <w:tcPr>
            <w:tcW w:w="622"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52.00</w:t>
            </w:r>
          </w:p>
        </w:tc>
        <w:tc>
          <w:tcPr>
            <w:tcW w:w="523" w:type="dxa"/>
          </w:tcPr>
          <w:p>
            <w:pPr>
              <w:autoSpaceDE w:val="0"/>
              <w:autoSpaceDN w:val="0"/>
              <w:adjustRightInd w:val="0"/>
              <w:spacing w:before="0" w:after="0"/>
              <w:jc w:val="right"/>
              <w:rPr>
                <w:rFonts w:eastAsia="Times New Roman"/>
                <w:kern w:val="0"/>
                <w:sz w:val="16"/>
                <w:lang w:val="zh-CN"/>
              </w:rPr>
            </w:pPr>
            <w:r>
              <w:rPr>
                <w:rFonts w:hint="eastAsia" w:ascii="宋体" w:hAnsi="宋体" w:cs="宋体"/>
                <w:kern w:val="0"/>
                <w:sz w:val="16"/>
                <w:lang w:val="zh-CN"/>
              </w:rPr>
              <w:t>转让</w:t>
            </w:r>
          </w:p>
        </w:tc>
        <w:tc>
          <w:tcPr>
            <w:tcW w:w="767"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2019-2-21</w:t>
            </w:r>
          </w:p>
        </w:tc>
        <w:tc>
          <w:tcPr>
            <w:tcW w:w="622" w:type="dxa"/>
          </w:tcPr>
          <w:p>
            <w:pPr>
              <w:autoSpaceDE w:val="0"/>
              <w:autoSpaceDN w:val="0"/>
              <w:adjustRightInd w:val="0"/>
              <w:spacing w:before="0" w:after="0"/>
              <w:jc w:val="right"/>
              <w:rPr>
                <w:rFonts w:eastAsia="Times New Roman"/>
                <w:kern w:val="0"/>
                <w:sz w:val="16"/>
                <w:lang w:val="zh-CN"/>
              </w:rPr>
            </w:pPr>
            <w:r>
              <w:rPr>
                <w:rFonts w:hint="eastAsia" w:ascii="宋体" w:hAnsi="宋体" w:cs="宋体"/>
                <w:kern w:val="0"/>
                <w:sz w:val="16"/>
                <w:lang w:val="zh-CN"/>
              </w:rPr>
              <w:t>办妥工商变更</w:t>
            </w:r>
          </w:p>
        </w:tc>
        <w:tc>
          <w:tcPr>
            <w:tcW w:w="94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3,088,645.14</w:t>
            </w:r>
          </w:p>
        </w:tc>
        <w:tc>
          <w:tcPr>
            <w:tcW w:w="500" w:type="dxa"/>
          </w:tcPr>
          <w:p>
            <w:pPr>
              <w:autoSpaceDE w:val="0"/>
              <w:autoSpaceDN w:val="0"/>
              <w:adjustRightInd w:val="0"/>
              <w:spacing w:before="0" w:after="0"/>
              <w:jc w:val="right"/>
              <w:rPr>
                <w:rFonts w:eastAsia="Times New Roman"/>
                <w:kern w:val="0"/>
                <w:sz w:val="16"/>
                <w:lang w:val="zh-CN"/>
              </w:rPr>
            </w:pPr>
          </w:p>
        </w:tc>
        <w:tc>
          <w:tcPr>
            <w:tcW w:w="940" w:type="dxa"/>
          </w:tcPr>
          <w:p>
            <w:pPr>
              <w:autoSpaceDE w:val="0"/>
              <w:autoSpaceDN w:val="0"/>
              <w:adjustRightInd w:val="0"/>
              <w:spacing w:before="0" w:after="0"/>
              <w:jc w:val="right"/>
              <w:rPr>
                <w:rFonts w:eastAsia="Times New Roman"/>
                <w:kern w:val="0"/>
                <w:sz w:val="16"/>
                <w:lang w:val="zh-CN"/>
              </w:rPr>
            </w:pPr>
          </w:p>
        </w:tc>
        <w:tc>
          <w:tcPr>
            <w:tcW w:w="940" w:type="dxa"/>
          </w:tcPr>
          <w:p>
            <w:pPr>
              <w:autoSpaceDE w:val="0"/>
              <w:autoSpaceDN w:val="0"/>
              <w:adjustRightInd w:val="0"/>
              <w:spacing w:before="0" w:after="0"/>
              <w:jc w:val="right"/>
              <w:rPr>
                <w:rFonts w:eastAsia="Times New Roman"/>
                <w:kern w:val="0"/>
                <w:sz w:val="16"/>
                <w:lang w:val="zh-CN"/>
              </w:rPr>
            </w:pPr>
          </w:p>
        </w:tc>
        <w:tc>
          <w:tcPr>
            <w:tcW w:w="860" w:type="dxa"/>
          </w:tcPr>
          <w:p>
            <w:pPr>
              <w:autoSpaceDE w:val="0"/>
              <w:autoSpaceDN w:val="0"/>
              <w:adjustRightInd w:val="0"/>
              <w:spacing w:before="0" w:after="0"/>
              <w:jc w:val="right"/>
              <w:rPr>
                <w:rFonts w:eastAsia="Times New Roman"/>
                <w:kern w:val="0"/>
                <w:sz w:val="16"/>
                <w:lang w:val="zh-CN"/>
              </w:rPr>
            </w:pPr>
          </w:p>
        </w:tc>
        <w:tc>
          <w:tcPr>
            <w:tcW w:w="482" w:type="dxa"/>
          </w:tcPr>
          <w:p>
            <w:pPr>
              <w:autoSpaceDE w:val="0"/>
              <w:autoSpaceDN w:val="0"/>
              <w:adjustRightInd w:val="0"/>
              <w:spacing w:before="0" w:after="0"/>
              <w:jc w:val="right"/>
              <w:rPr>
                <w:rFonts w:eastAsia="Times New Roman"/>
                <w:kern w:val="0"/>
                <w:sz w:val="16"/>
                <w:lang w:val="zh-CN"/>
              </w:rPr>
            </w:pPr>
          </w:p>
        </w:tc>
        <w:tc>
          <w:tcPr>
            <w:tcW w:w="622" w:type="dxa"/>
          </w:tcPr>
          <w:p>
            <w:pPr>
              <w:autoSpaceDE w:val="0"/>
              <w:autoSpaceDN w:val="0"/>
              <w:adjustRightInd w:val="0"/>
              <w:spacing w:before="0" w:after="0"/>
              <w:jc w:val="right"/>
              <w:rPr>
                <w:rFonts w:eastAsia="Times New Roman"/>
                <w:kern w:val="0"/>
                <w:sz w:val="16"/>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820" w:type="dxa"/>
          </w:tcPr>
          <w:p>
            <w:pPr>
              <w:autoSpaceDE w:val="0"/>
              <w:autoSpaceDN w:val="0"/>
              <w:adjustRightInd w:val="0"/>
              <w:spacing w:before="0" w:after="0"/>
              <w:jc w:val="left"/>
              <w:rPr>
                <w:rFonts w:eastAsia="Times New Roman"/>
                <w:kern w:val="0"/>
                <w:sz w:val="16"/>
                <w:lang w:val="zh-CN"/>
              </w:rPr>
            </w:pPr>
            <w:r>
              <w:rPr>
                <w:rFonts w:hint="eastAsia" w:ascii="宋体" w:hAnsi="宋体" w:cs="宋体"/>
                <w:kern w:val="0"/>
                <w:sz w:val="16"/>
                <w:lang w:val="zh-CN"/>
              </w:rPr>
              <w:t>美康生物科技</w:t>
            </w:r>
            <w:r>
              <w:rPr>
                <w:rFonts w:eastAsia="Times New Roman"/>
                <w:kern w:val="0"/>
                <w:sz w:val="16"/>
                <w:lang w:val="zh-CN"/>
              </w:rPr>
              <w:t>(</w:t>
            </w:r>
            <w:r>
              <w:rPr>
                <w:rFonts w:hint="eastAsia" w:ascii="宋体" w:hAnsi="宋体" w:cs="宋体"/>
                <w:kern w:val="0"/>
                <w:sz w:val="16"/>
                <w:lang w:val="zh-CN"/>
              </w:rPr>
              <w:t>陕西</w:t>
            </w:r>
            <w:r>
              <w:rPr>
                <w:rFonts w:eastAsia="Times New Roman"/>
                <w:kern w:val="0"/>
                <w:sz w:val="16"/>
                <w:lang w:val="zh-CN"/>
              </w:rPr>
              <w:t>)</w:t>
            </w:r>
            <w:r>
              <w:rPr>
                <w:rFonts w:hint="eastAsia" w:ascii="宋体" w:hAnsi="宋体" w:cs="宋体"/>
                <w:kern w:val="0"/>
                <w:sz w:val="16"/>
                <w:lang w:val="zh-CN"/>
              </w:rPr>
              <w:t>有限公司</w:t>
            </w:r>
          </w:p>
        </w:tc>
        <w:tc>
          <w:tcPr>
            <w:tcW w:w="102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6,720,000.00</w:t>
            </w:r>
          </w:p>
        </w:tc>
        <w:tc>
          <w:tcPr>
            <w:tcW w:w="622"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100.00</w:t>
            </w:r>
          </w:p>
        </w:tc>
        <w:tc>
          <w:tcPr>
            <w:tcW w:w="523" w:type="dxa"/>
          </w:tcPr>
          <w:p>
            <w:pPr>
              <w:autoSpaceDE w:val="0"/>
              <w:autoSpaceDN w:val="0"/>
              <w:adjustRightInd w:val="0"/>
              <w:spacing w:before="0" w:after="0"/>
              <w:jc w:val="right"/>
              <w:rPr>
                <w:rFonts w:eastAsia="Times New Roman"/>
                <w:kern w:val="0"/>
                <w:sz w:val="16"/>
                <w:lang w:val="zh-CN"/>
              </w:rPr>
            </w:pPr>
            <w:r>
              <w:rPr>
                <w:rFonts w:hint="eastAsia" w:ascii="宋体" w:hAnsi="宋体" w:cs="宋体"/>
                <w:kern w:val="0"/>
                <w:sz w:val="16"/>
                <w:lang w:val="zh-CN"/>
              </w:rPr>
              <w:t>转让</w:t>
            </w:r>
          </w:p>
        </w:tc>
        <w:tc>
          <w:tcPr>
            <w:tcW w:w="767"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2019-4-28</w:t>
            </w:r>
          </w:p>
        </w:tc>
        <w:tc>
          <w:tcPr>
            <w:tcW w:w="622" w:type="dxa"/>
          </w:tcPr>
          <w:p>
            <w:pPr>
              <w:autoSpaceDE w:val="0"/>
              <w:autoSpaceDN w:val="0"/>
              <w:adjustRightInd w:val="0"/>
              <w:spacing w:before="0" w:after="0"/>
              <w:jc w:val="right"/>
              <w:rPr>
                <w:rFonts w:eastAsia="Times New Roman"/>
                <w:kern w:val="0"/>
                <w:sz w:val="16"/>
                <w:lang w:val="zh-CN"/>
              </w:rPr>
            </w:pPr>
            <w:r>
              <w:rPr>
                <w:rFonts w:hint="eastAsia" w:ascii="宋体" w:hAnsi="宋体" w:cs="宋体"/>
                <w:kern w:val="0"/>
                <w:sz w:val="16"/>
                <w:lang w:val="zh-CN"/>
              </w:rPr>
              <w:t>办妥工商变更</w:t>
            </w:r>
          </w:p>
        </w:tc>
        <w:tc>
          <w:tcPr>
            <w:tcW w:w="94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-4,013,981.30</w:t>
            </w:r>
          </w:p>
        </w:tc>
        <w:tc>
          <w:tcPr>
            <w:tcW w:w="500" w:type="dxa"/>
          </w:tcPr>
          <w:p>
            <w:pPr>
              <w:autoSpaceDE w:val="0"/>
              <w:autoSpaceDN w:val="0"/>
              <w:adjustRightInd w:val="0"/>
              <w:spacing w:before="0" w:after="0"/>
              <w:jc w:val="right"/>
              <w:rPr>
                <w:rFonts w:eastAsia="Times New Roman"/>
                <w:kern w:val="0"/>
                <w:sz w:val="16"/>
                <w:lang w:val="zh-CN"/>
              </w:rPr>
            </w:pPr>
          </w:p>
        </w:tc>
        <w:tc>
          <w:tcPr>
            <w:tcW w:w="940" w:type="dxa"/>
          </w:tcPr>
          <w:p>
            <w:pPr>
              <w:autoSpaceDE w:val="0"/>
              <w:autoSpaceDN w:val="0"/>
              <w:adjustRightInd w:val="0"/>
              <w:spacing w:before="0" w:after="0"/>
              <w:jc w:val="right"/>
              <w:rPr>
                <w:rFonts w:eastAsia="Times New Roman"/>
                <w:kern w:val="0"/>
                <w:sz w:val="16"/>
                <w:lang w:val="zh-CN"/>
              </w:rPr>
            </w:pPr>
          </w:p>
        </w:tc>
        <w:tc>
          <w:tcPr>
            <w:tcW w:w="940" w:type="dxa"/>
          </w:tcPr>
          <w:p>
            <w:pPr>
              <w:autoSpaceDE w:val="0"/>
              <w:autoSpaceDN w:val="0"/>
              <w:adjustRightInd w:val="0"/>
              <w:spacing w:before="0" w:after="0"/>
              <w:jc w:val="right"/>
              <w:rPr>
                <w:rFonts w:eastAsia="Times New Roman"/>
                <w:kern w:val="0"/>
                <w:sz w:val="16"/>
                <w:lang w:val="zh-CN"/>
              </w:rPr>
            </w:pPr>
          </w:p>
        </w:tc>
        <w:tc>
          <w:tcPr>
            <w:tcW w:w="860" w:type="dxa"/>
          </w:tcPr>
          <w:p>
            <w:pPr>
              <w:autoSpaceDE w:val="0"/>
              <w:autoSpaceDN w:val="0"/>
              <w:adjustRightInd w:val="0"/>
              <w:spacing w:before="0" w:after="0"/>
              <w:jc w:val="right"/>
              <w:rPr>
                <w:rFonts w:eastAsia="Times New Roman"/>
                <w:kern w:val="0"/>
                <w:sz w:val="16"/>
                <w:lang w:val="zh-CN"/>
              </w:rPr>
            </w:pPr>
          </w:p>
        </w:tc>
        <w:tc>
          <w:tcPr>
            <w:tcW w:w="482" w:type="dxa"/>
          </w:tcPr>
          <w:p>
            <w:pPr>
              <w:autoSpaceDE w:val="0"/>
              <w:autoSpaceDN w:val="0"/>
              <w:adjustRightInd w:val="0"/>
              <w:spacing w:before="0" w:after="0"/>
              <w:jc w:val="right"/>
              <w:rPr>
                <w:rFonts w:eastAsia="Times New Roman"/>
                <w:kern w:val="0"/>
                <w:sz w:val="16"/>
                <w:lang w:val="zh-CN"/>
              </w:rPr>
            </w:pPr>
          </w:p>
        </w:tc>
        <w:tc>
          <w:tcPr>
            <w:tcW w:w="622" w:type="dxa"/>
          </w:tcPr>
          <w:p>
            <w:pPr>
              <w:autoSpaceDE w:val="0"/>
              <w:autoSpaceDN w:val="0"/>
              <w:adjustRightInd w:val="0"/>
              <w:spacing w:before="0" w:after="0"/>
              <w:jc w:val="right"/>
              <w:rPr>
                <w:rFonts w:eastAsia="Times New Roman"/>
                <w:kern w:val="0"/>
                <w:sz w:val="16"/>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820" w:type="dxa"/>
          </w:tcPr>
          <w:p>
            <w:pPr>
              <w:autoSpaceDE w:val="0"/>
              <w:autoSpaceDN w:val="0"/>
              <w:adjustRightInd w:val="0"/>
              <w:spacing w:before="0" w:after="0"/>
              <w:jc w:val="left"/>
              <w:rPr>
                <w:rFonts w:eastAsia="Times New Roman"/>
                <w:kern w:val="0"/>
                <w:sz w:val="16"/>
                <w:lang w:val="zh-CN"/>
              </w:rPr>
            </w:pPr>
            <w:r>
              <w:rPr>
                <w:rFonts w:hint="eastAsia" w:ascii="宋体" w:hAnsi="宋体" w:cs="宋体"/>
                <w:kern w:val="0"/>
                <w:sz w:val="16"/>
                <w:lang w:val="zh-CN"/>
              </w:rPr>
              <w:t>宁波美康股权投资基金合伙企业</w:t>
            </w:r>
            <w:r>
              <w:rPr>
                <w:rFonts w:eastAsia="Times New Roman"/>
                <w:kern w:val="0"/>
                <w:sz w:val="16"/>
                <w:lang w:val="zh-CN"/>
              </w:rPr>
              <w:t>(</w:t>
            </w:r>
            <w:r>
              <w:rPr>
                <w:rFonts w:hint="eastAsia" w:ascii="宋体" w:hAnsi="宋体" w:cs="宋体"/>
                <w:kern w:val="0"/>
                <w:sz w:val="16"/>
                <w:lang w:val="zh-CN"/>
              </w:rPr>
              <w:t>有限合伙</w:t>
            </w:r>
            <w:r>
              <w:rPr>
                <w:rFonts w:eastAsia="Times New Roman"/>
                <w:kern w:val="0"/>
                <w:sz w:val="16"/>
                <w:lang w:val="zh-CN"/>
              </w:rPr>
              <w:t>)</w:t>
            </w:r>
          </w:p>
        </w:tc>
        <w:tc>
          <w:tcPr>
            <w:tcW w:w="102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472,374,889.27</w:t>
            </w:r>
          </w:p>
        </w:tc>
        <w:tc>
          <w:tcPr>
            <w:tcW w:w="622"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67.56</w:t>
            </w:r>
          </w:p>
        </w:tc>
        <w:tc>
          <w:tcPr>
            <w:tcW w:w="523" w:type="dxa"/>
          </w:tcPr>
          <w:p>
            <w:pPr>
              <w:autoSpaceDE w:val="0"/>
              <w:autoSpaceDN w:val="0"/>
              <w:adjustRightInd w:val="0"/>
              <w:spacing w:before="0" w:after="0"/>
              <w:jc w:val="right"/>
              <w:rPr>
                <w:rFonts w:eastAsia="Times New Roman"/>
                <w:kern w:val="0"/>
                <w:sz w:val="16"/>
                <w:lang w:val="zh-CN"/>
              </w:rPr>
            </w:pPr>
            <w:r>
              <w:rPr>
                <w:rFonts w:hint="eastAsia" w:ascii="宋体" w:hAnsi="宋体" w:cs="宋体"/>
                <w:kern w:val="0"/>
                <w:sz w:val="16"/>
                <w:lang w:val="zh-CN"/>
              </w:rPr>
              <w:t>退伙</w:t>
            </w:r>
          </w:p>
        </w:tc>
        <w:tc>
          <w:tcPr>
            <w:tcW w:w="767"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2019-3-22</w:t>
            </w:r>
          </w:p>
        </w:tc>
        <w:tc>
          <w:tcPr>
            <w:tcW w:w="622" w:type="dxa"/>
          </w:tcPr>
          <w:p>
            <w:pPr>
              <w:autoSpaceDE w:val="0"/>
              <w:autoSpaceDN w:val="0"/>
              <w:adjustRightInd w:val="0"/>
              <w:spacing w:before="0" w:after="0"/>
              <w:jc w:val="right"/>
              <w:rPr>
                <w:rFonts w:eastAsia="Times New Roman"/>
                <w:kern w:val="0"/>
                <w:sz w:val="16"/>
                <w:lang w:val="zh-CN"/>
              </w:rPr>
            </w:pPr>
            <w:r>
              <w:rPr>
                <w:rFonts w:hint="eastAsia" w:ascii="宋体" w:hAnsi="宋体" w:cs="宋体"/>
                <w:kern w:val="0"/>
                <w:sz w:val="16"/>
                <w:lang w:val="zh-CN"/>
              </w:rPr>
              <w:t>办妥工商变更</w:t>
            </w:r>
          </w:p>
        </w:tc>
        <w:tc>
          <w:tcPr>
            <w:tcW w:w="940" w:type="dxa"/>
          </w:tcPr>
          <w:p>
            <w:pPr>
              <w:autoSpaceDE w:val="0"/>
              <w:autoSpaceDN w:val="0"/>
              <w:adjustRightInd w:val="0"/>
              <w:spacing w:before="0" w:after="0"/>
              <w:jc w:val="right"/>
              <w:rPr>
                <w:rFonts w:eastAsia="Times New Roman"/>
                <w:kern w:val="0"/>
                <w:sz w:val="16"/>
                <w:lang w:val="zh-CN"/>
              </w:rPr>
            </w:pPr>
          </w:p>
        </w:tc>
        <w:tc>
          <w:tcPr>
            <w:tcW w:w="500" w:type="dxa"/>
          </w:tcPr>
          <w:p>
            <w:pPr>
              <w:autoSpaceDE w:val="0"/>
              <w:autoSpaceDN w:val="0"/>
              <w:adjustRightInd w:val="0"/>
              <w:spacing w:before="0" w:after="0"/>
              <w:jc w:val="right"/>
              <w:rPr>
                <w:rFonts w:eastAsia="Times New Roman"/>
                <w:kern w:val="0"/>
                <w:sz w:val="16"/>
                <w:lang w:val="zh-CN"/>
              </w:rPr>
            </w:pPr>
          </w:p>
        </w:tc>
        <w:tc>
          <w:tcPr>
            <w:tcW w:w="940" w:type="dxa"/>
          </w:tcPr>
          <w:p>
            <w:pPr>
              <w:autoSpaceDE w:val="0"/>
              <w:autoSpaceDN w:val="0"/>
              <w:adjustRightInd w:val="0"/>
              <w:spacing w:before="0" w:after="0"/>
              <w:jc w:val="right"/>
              <w:rPr>
                <w:rFonts w:eastAsia="Times New Roman"/>
                <w:kern w:val="0"/>
                <w:sz w:val="16"/>
                <w:lang w:val="zh-CN"/>
              </w:rPr>
            </w:pPr>
          </w:p>
        </w:tc>
        <w:tc>
          <w:tcPr>
            <w:tcW w:w="940" w:type="dxa"/>
          </w:tcPr>
          <w:p>
            <w:pPr>
              <w:autoSpaceDE w:val="0"/>
              <w:autoSpaceDN w:val="0"/>
              <w:adjustRightInd w:val="0"/>
              <w:spacing w:before="0" w:after="0"/>
              <w:jc w:val="right"/>
              <w:rPr>
                <w:rFonts w:eastAsia="Times New Roman"/>
                <w:kern w:val="0"/>
                <w:sz w:val="16"/>
                <w:lang w:val="zh-CN"/>
              </w:rPr>
            </w:pPr>
          </w:p>
        </w:tc>
        <w:tc>
          <w:tcPr>
            <w:tcW w:w="860" w:type="dxa"/>
          </w:tcPr>
          <w:p>
            <w:pPr>
              <w:autoSpaceDE w:val="0"/>
              <w:autoSpaceDN w:val="0"/>
              <w:adjustRightInd w:val="0"/>
              <w:spacing w:before="0" w:after="0"/>
              <w:jc w:val="right"/>
              <w:rPr>
                <w:rFonts w:eastAsia="Times New Roman"/>
                <w:kern w:val="0"/>
                <w:sz w:val="16"/>
                <w:lang w:val="zh-CN"/>
              </w:rPr>
            </w:pPr>
          </w:p>
        </w:tc>
        <w:tc>
          <w:tcPr>
            <w:tcW w:w="482" w:type="dxa"/>
          </w:tcPr>
          <w:p>
            <w:pPr>
              <w:autoSpaceDE w:val="0"/>
              <w:autoSpaceDN w:val="0"/>
              <w:adjustRightInd w:val="0"/>
              <w:spacing w:before="0" w:after="0"/>
              <w:jc w:val="right"/>
              <w:rPr>
                <w:rFonts w:eastAsia="Times New Roman"/>
                <w:kern w:val="0"/>
                <w:sz w:val="16"/>
                <w:lang w:val="zh-CN"/>
              </w:rPr>
            </w:pPr>
          </w:p>
        </w:tc>
        <w:tc>
          <w:tcPr>
            <w:tcW w:w="622" w:type="dxa"/>
          </w:tcPr>
          <w:p>
            <w:pPr>
              <w:autoSpaceDE w:val="0"/>
              <w:autoSpaceDN w:val="0"/>
              <w:adjustRightInd w:val="0"/>
              <w:spacing w:before="0" w:after="0"/>
              <w:jc w:val="right"/>
              <w:rPr>
                <w:rFonts w:eastAsia="Times New Roman"/>
                <w:kern w:val="0"/>
                <w:sz w:val="16"/>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820" w:type="dxa"/>
          </w:tcPr>
          <w:p>
            <w:pPr>
              <w:autoSpaceDE w:val="0"/>
              <w:autoSpaceDN w:val="0"/>
              <w:adjustRightInd w:val="0"/>
              <w:spacing w:before="0" w:after="0"/>
              <w:jc w:val="left"/>
              <w:rPr>
                <w:rFonts w:eastAsia="Times New Roman"/>
                <w:kern w:val="0"/>
                <w:sz w:val="16"/>
                <w:lang w:val="zh-CN"/>
              </w:rPr>
            </w:pPr>
            <w:r>
              <w:rPr>
                <w:rFonts w:hint="eastAsia" w:ascii="宋体" w:hAnsi="宋体" w:cs="宋体"/>
                <w:kern w:val="0"/>
                <w:sz w:val="16"/>
                <w:lang w:val="zh-CN"/>
              </w:rPr>
              <w:t>金华市美康盛德医学检验所有限公司</w:t>
            </w:r>
          </w:p>
        </w:tc>
        <w:tc>
          <w:tcPr>
            <w:tcW w:w="102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300,000.00</w:t>
            </w:r>
          </w:p>
        </w:tc>
        <w:tc>
          <w:tcPr>
            <w:tcW w:w="622"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50.00</w:t>
            </w:r>
          </w:p>
        </w:tc>
        <w:tc>
          <w:tcPr>
            <w:tcW w:w="523"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 </w:t>
            </w:r>
            <w:r>
              <w:rPr>
                <w:rFonts w:hint="eastAsia" w:ascii="宋体" w:hAnsi="宋体" w:cs="宋体"/>
                <w:kern w:val="0"/>
                <w:sz w:val="16"/>
                <w:lang w:val="zh-CN"/>
              </w:rPr>
              <w:t>转让</w:t>
            </w:r>
            <w:r>
              <w:rPr>
                <w:rFonts w:eastAsia="Times New Roman"/>
                <w:kern w:val="0"/>
                <w:sz w:val="16"/>
                <w:lang w:val="zh-CN"/>
              </w:rPr>
              <w:t xml:space="preserve"> </w:t>
            </w:r>
          </w:p>
        </w:tc>
        <w:tc>
          <w:tcPr>
            <w:tcW w:w="767"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2019-7-25</w:t>
            </w:r>
          </w:p>
        </w:tc>
        <w:tc>
          <w:tcPr>
            <w:tcW w:w="622"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 </w:t>
            </w:r>
            <w:r>
              <w:rPr>
                <w:rFonts w:hint="eastAsia" w:ascii="宋体" w:hAnsi="宋体" w:cs="宋体"/>
                <w:kern w:val="0"/>
                <w:sz w:val="16"/>
                <w:lang w:val="zh-CN"/>
              </w:rPr>
              <w:t>办妥工商变更</w:t>
            </w:r>
            <w:r>
              <w:rPr>
                <w:rFonts w:eastAsia="Times New Roman"/>
                <w:kern w:val="0"/>
                <w:sz w:val="16"/>
                <w:lang w:val="zh-CN"/>
              </w:rPr>
              <w:t xml:space="preserve"> </w:t>
            </w:r>
          </w:p>
        </w:tc>
        <w:tc>
          <w:tcPr>
            <w:tcW w:w="94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10,664,661.72 </w:t>
            </w:r>
          </w:p>
        </w:tc>
        <w:tc>
          <w:tcPr>
            <w:tcW w:w="50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1.00 </w:t>
            </w:r>
          </w:p>
        </w:tc>
        <w:tc>
          <w:tcPr>
            <w:tcW w:w="94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-207,293.23 </w:t>
            </w:r>
          </w:p>
        </w:tc>
        <w:tc>
          <w:tcPr>
            <w:tcW w:w="94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6,000.00 </w:t>
            </w:r>
          </w:p>
        </w:tc>
        <w:tc>
          <w:tcPr>
            <w:tcW w:w="86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213,293.23 </w:t>
            </w:r>
          </w:p>
        </w:tc>
        <w:tc>
          <w:tcPr>
            <w:tcW w:w="482" w:type="dxa"/>
          </w:tcPr>
          <w:p>
            <w:pPr>
              <w:autoSpaceDE w:val="0"/>
              <w:autoSpaceDN w:val="0"/>
              <w:adjustRightInd w:val="0"/>
              <w:spacing w:before="0" w:after="0"/>
              <w:jc w:val="right"/>
              <w:rPr>
                <w:rFonts w:eastAsia="Times New Roman"/>
                <w:kern w:val="0"/>
                <w:sz w:val="16"/>
                <w:lang w:val="zh-CN"/>
              </w:rPr>
            </w:pPr>
          </w:p>
        </w:tc>
        <w:tc>
          <w:tcPr>
            <w:tcW w:w="622" w:type="dxa"/>
          </w:tcPr>
          <w:p>
            <w:pPr>
              <w:autoSpaceDE w:val="0"/>
              <w:autoSpaceDN w:val="0"/>
              <w:adjustRightInd w:val="0"/>
              <w:spacing w:before="0" w:after="0"/>
              <w:jc w:val="right"/>
              <w:rPr>
                <w:rFonts w:eastAsia="Times New Roman"/>
                <w:kern w:val="0"/>
                <w:sz w:val="16"/>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820" w:type="dxa"/>
          </w:tcPr>
          <w:p>
            <w:pPr>
              <w:autoSpaceDE w:val="0"/>
              <w:autoSpaceDN w:val="0"/>
              <w:adjustRightInd w:val="0"/>
              <w:spacing w:before="0" w:after="0"/>
              <w:jc w:val="left"/>
              <w:rPr>
                <w:rFonts w:eastAsia="Times New Roman"/>
                <w:kern w:val="0"/>
                <w:sz w:val="16"/>
                <w:lang w:val="zh-CN"/>
              </w:rPr>
            </w:pPr>
            <w:r>
              <w:rPr>
                <w:rFonts w:hint="eastAsia" w:ascii="宋体" w:hAnsi="宋体" w:cs="宋体"/>
                <w:kern w:val="0"/>
                <w:sz w:val="16"/>
                <w:lang w:val="zh-CN"/>
              </w:rPr>
              <w:t>重庆和盛医疗器械有限公司</w:t>
            </w:r>
          </w:p>
        </w:tc>
        <w:tc>
          <w:tcPr>
            <w:tcW w:w="102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 37,800,000.00 </w:t>
            </w:r>
          </w:p>
        </w:tc>
        <w:tc>
          <w:tcPr>
            <w:tcW w:w="622"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 21.00 </w:t>
            </w:r>
          </w:p>
        </w:tc>
        <w:tc>
          <w:tcPr>
            <w:tcW w:w="523"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 </w:t>
            </w:r>
            <w:r>
              <w:rPr>
                <w:rFonts w:hint="eastAsia" w:ascii="宋体" w:hAnsi="宋体" w:cs="宋体"/>
                <w:kern w:val="0"/>
                <w:sz w:val="16"/>
                <w:lang w:val="zh-CN"/>
              </w:rPr>
              <w:t>转让</w:t>
            </w:r>
            <w:r>
              <w:rPr>
                <w:rFonts w:eastAsia="Times New Roman"/>
                <w:kern w:val="0"/>
                <w:sz w:val="16"/>
                <w:lang w:val="zh-CN"/>
              </w:rPr>
              <w:t xml:space="preserve"> </w:t>
            </w:r>
          </w:p>
        </w:tc>
        <w:tc>
          <w:tcPr>
            <w:tcW w:w="767"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2019-9-11</w:t>
            </w:r>
          </w:p>
        </w:tc>
        <w:tc>
          <w:tcPr>
            <w:tcW w:w="622"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 </w:t>
            </w:r>
            <w:r>
              <w:rPr>
                <w:rFonts w:hint="eastAsia" w:ascii="宋体" w:hAnsi="宋体" w:cs="宋体"/>
                <w:kern w:val="0"/>
                <w:sz w:val="16"/>
                <w:lang w:val="zh-CN"/>
              </w:rPr>
              <w:t>办妥工商变更</w:t>
            </w:r>
            <w:r>
              <w:rPr>
                <w:rFonts w:eastAsia="Times New Roman"/>
                <w:kern w:val="0"/>
                <w:sz w:val="16"/>
                <w:lang w:val="zh-CN"/>
              </w:rPr>
              <w:t xml:space="preserve"> </w:t>
            </w:r>
          </w:p>
        </w:tc>
        <w:tc>
          <w:tcPr>
            <w:tcW w:w="94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-680,756.28   </w:t>
            </w:r>
          </w:p>
        </w:tc>
        <w:tc>
          <w:tcPr>
            <w:tcW w:w="50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30.00 </w:t>
            </w:r>
          </w:p>
        </w:tc>
        <w:tc>
          <w:tcPr>
            <w:tcW w:w="94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54,972,508.98  </w:t>
            </w:r>
          </w:p>
        </w:tc>
        <w:tc>
          <w:tcPr>
            <w:tcW w:w="94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54,000,000.00 </w:t>
            </w:r>
          </w:p>
        </w:tc>
        <w:tc>
          <w:tcPr>
            <w:tcW w:w="86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-972,508.98</w:t>
            </w:r>
          </w:p>
        </w:tc>
        <w:tc>
          <w:tcPr>
            <w:tcW w:w="482" w:type="dxa"/>
          </w:tcPr>
          <w:p>
            <w:pPr>
              <w:autoSpaceDE w:val="0"/>
              <w:autoSpaceDN w:val="0"/>
              <w:adjustRightInd w:val="0"/>
              <w:spacing w:before="0" w:after="0"/>
              <w:jc w:val="right"/>
              <w:rPr>
                <w:rFonts w:eastAsia="Times New Roman"/>
                <w:kern w:val="0"/>
                <w:sz w:val="16"/>
                <w:lang w:val="zh-CN"/>
              </w:rPr>
            </w:pPr>
          </w:p>
        </w:tc>
        <w:tc>
          <w:tcPr>
            <w:tcW w:w="622" w:type="dxa"/>
          </w:tcPr>
          <w:p>
            <w:pPr>
              <w:autoSpaceDE w:val="0"/>
              <w:autoSpaceDN w:val="0"/>
              <w:adjustRightInd w:val="0"/>
              <w:spacing w:before="0" w:after="0"/>
              <w:jc w:val="right"/>
              <w:rPr>
                <w:rFonts w:eastAsia="Times New Roman"/>
                <w:kern w:val="0"/>
                <w:sz w:val="16"/>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820" w:type="dxa"/>
          </w:tcPr>
          <w:p>
            <w:pPr>
              <w:autoSpaceDE w:val="0"/>
              <w:autoSpaceDN w:val="0"/>
              <w:adjustRightInd w:val="0"/>
              <w:spacing w:before="0" w:after="0"/>
              <w:jc w:val="left"/>
              <w:rPr>
                <w:rFonts w:eastAsia="Times New Roman"/>
                <w:kern w:val="0"/>
                <w:sz w:val="16"/>
              </w:rPr>
            </w:pPr>
            <w:r>
              <w:rPr>
                <w:rFonts w:hint="eastAsia" w:ascii="宋体" w:hAnsi="宋体" w:cs="宋体"/>
                <w:kern w:val="0"/>
                <w:sz w:val="16"/>
                <w:lang w:val="zh-CN"/>
              </w:rPr>
              <w:t>美康生物科技</w:t>
            </w:r>
            <w:r>
              <w:rPr>
                <w:rFonts w:hint="eastAsia" w:ascii="宋体" w:hAnsi="宋体" w:cs="宋体"/>
                <w:kern w:val="0"/>
                <w:sz w:val="16"/>
              </w:rPr>
              <w:t>（</w:t>
            </w:r>
            <w:r>
              <w:rPr>
                <w:rFonts w:hint="eastAsia" w:ascii="宋体" w:hAnsi="宋体" w:cs="宋体"/>
                <w:kern w:val="0"/>
                <w:sz w:val="16"/>
                <w:lang w:val="zh-CN"/>
              </w:rPr>
              <w:t>舟山</w:t>
            </w:r>
            <w:r>
              <w:rPr>
                <w:rFonts w:hint="eastAsia" w:ascii="宋体" w:hAnsi="宋体" w:cs="宋体"/>
                <w:kern w:val="0"/>
                <w:sz w:val="16"/>
              </w:rPr>
              <w:t>）</w:t>
            </w:r>
            <w:r>
              <w:rPr>
                <w:rFonts w:hint="eastAsia" w:ascii="宋体" w:hAnsi="宋体" w:cs="宋体"/>
                <w:kern w:val="0"/>
                <w:sz w:val="16"/>
                <w:lang w:val="zh-CN"/>
              </w:rPr>
              <w:t>有限公司</w:t>
            </w:r>
          </w:p>
        </w:tc>
        <w:tc>
          <w:tcPr>
            <w:tcW w:w="1020" w:type="dxa"/>
          </w:tcPr>
          <w:p>
            <w:pPr>
              <w:autoSpaceDE w:val="0"/>
              <w:autoSpaceDN w:val="0"/>
              <w:adjustRightInd w:val="0"/>
              <w:spacing w:before="0" w:after="0"/>
              <w:jc w:val="right"/>
              <w:rPr>
                <w:rFonts w:eastAsia="Times New Roman"/>
                <w:kern w:val="0"/>
                <w:sz w:val="16"/>
                <w:lang w:val="zh-CN"/>
              </w:rPr>
            </w:pPr>
            <w:r>
              <w:rPr>
                <w:rFonts w:eastAsia="Times New Roman"/>
                <w:kern w:val="0"/>
                <w:sz w:val="16"/>
              </w:rPr>
              <w:t xml:space="preserve"> </w:t>
            </w:r>
            <w:r>
              <w:rPr>
                <w:rFonts w:eastAsia="Times New Roman"/>
                <w:kern w:val="0"/>
                <w:sz w:val="16"/>
                <w:lang w:val="zh-CN"/>
              </w:rPr>
              <w:t xml:space="preserve">35,500,000.00 </w:t>
            </w:r>
          </w:p>
        </w:tc>
        <w:tc>
          <w:tcPr>
            <w:tcW w:w="622"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 71.00 </w:t>
            </w:r>
          </w:p>
        </w:tc>
        <w:tc>
          <w:tcPr>
            <w:tcW w:w="523"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 </w:t>
            </w:r>
            <w:r>
              <w:rPr>
                <w:rFonts w:hint="eastAsia" w:ascii="宋体" w:hAnsi="宋体" w:cs="宋体"/>
                <w:kern w:val="0"/>
                <w:sz w:val="16"/>
                <w:lang w:val="zh-CN"/>
              </w:rPr>
              <w:t>转让</w:t>
            </w:r>
            <w:r>
              <w:rPr>
                <w:rFonts w:eastAsia="Times New Roman"/>
                <w:kern w:val="0"/>
                <w:sz w:val="16"/>
                <w:lang w:val="zh-CN"/>
              </w:rPr>
              <w:t xml:space="preserve"> </w:t>
            </w:r>
          </w:p>
        </w:tc>
        <w:tc>
          <w:tcPr>
            <w:tcW w:w="767"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2019-10-18</w:t>
            </w:r>
          </w:p>
        </w:tc>
        <w:tc>
          <w:tcPr>
            <w:tcW w:w="622"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 </w:t>
            </w:r>
            <w:r>
              <w:rPr>
                <w:rFonts w:hint="eastAsia" w:ascii="宋体" w:hAnsi="宋体" w:cs="宋体"/>
                <w:kern w:val="0"/>
                <w:sz w:val="16"/>
                <w:lang w:val="zh-CN"/>
              </w:rPr>
              <w:t>办妥工商变更</w:t>
            </w:r>
            <w:r>
              <w:rPr>
                <w:rFonts w:eastAsia="Times New Roman"/>
                <w:kern w:val="0"/>
                <w:sz w:val="16"/>
                <w:lang w:val="zh-CN"/>
              </w:rPr>
              <w:t xml:space="preserve"> </w:t>
            </w:r>
          </w:p>
        </w:tc>
        <w:tc>
          <w:tcPr>
            <w:tcW w:w="94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2,613,288.79 </w:t>
            </w:r>
          </w:p>
        </w:tc>
        <w:tc>
          <w:tcPr>
            <w:tcW w:w="50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29.00 </w:t>
            </w:r>
          </w:p>
        </w:tc>
        <w:tc>
          <w:tcPr>
            <w:tcW w:w="94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13,432,600.36 </w:t>
            </w:r>
          </w:p>
        </w:tc>
        <w:tc>
          <w:tcPr>
            <w:tcW w:w="94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14,500,000.00 </w:t>
            </w:r>
          </w:p>
        </w:tc>
        <w:tc>
          <w:tcPr>
            <w:tcW w:w="860" w:type="dxa"/>
          </w:tcPr>
          <w:p>
            <w:pPr>
              <w:autoSpaceDE w:val="0"/>
              <w:autoSpaceDN w:val="0"/>
              <w:adjustRightInd w:val="0"/>
              <w:spacing w:before="0" w:after="0"/>
              <w:jc w:val="right"/>
              <w:rPr>
                <w:rFonts w:eastAsia="Times New Roman"/>
                <w:kern w:val="0"/>
                <w:sz w:val="16"/>
                <w:lang w:val="zh-CN"/>
              </w:rPr>
            </w:pPr>
            <w:r>
              <w:rPr>
                <w:rFonts w:eastAsia="Times New Roman"/>
                <w:kern w:val="0"/>
                <w:sz w:val="16"/>
                <w:lang w:val="zh-CN"/>
              </w:rPr>
              <w:t xml:space="preserve">1,067,399.64 </w:t>
            </w:r>
          </w:p>
        </w:tc>
        <w:tc>
          <w:tcPr>
            <w:tcW w:w="482" w:type="dxa"/>
          </w:tcPr>
          <w:p>
            <w:pPr>
              <w:autoSpaceDE w:val="0"/>
              <w:autoSpaceDN w:val="0"/>
              <w:adjustRightInd w:val="0"/>
              <w:spacing w:before="0" w:after="0"/>
              <w:jc w:val="right"/>
              <w:rPr>
                <w:rFonts w:eastAsia="Times New Roman"/>
                <w:kern w:val="0"/>
                <w:sz w:val="16"/>
                <w:lang w:val="zh-CN"/>
              </w:rPr>
            </w:pPr>
          </w:p>
        </w:tc>
        <w:tc>
          <w:tcPr>
            <w:tcW w:w="622" w:type="dxa"/>
          </w:tcPr>
          <w:p>
            <w:pPr>
              <w:autoSpaceDE w:val="0"/>
              <w:autoSpaceDN w:val="0"/>
              <w:adjustRightInd w:val="0"/>
              <w:spacing w:before="0" w:after="0"/>
              <w:jc w:val="right"/>
              <w:rPr>
                <w:rFonts w:eastAsia="Times New Roman"/>
                <w:kern w:val="0"/>
                <w:sz w:val="16"/>
                <w:lang w:val="zh-CN"/>
              </w:rPr>
            </w:pPr>
          </w:p>
        </w:tc>
      </w:tr>
    </w:tbl>
    <w:p>
      <w:pPr>
        <w:autoSpaceDE w:val="0"/>
        <w:autoSpaceDN w:val="0"/>
        <w:adjustRightInd w:val="0"/>
        <w:spacing w:before="0" w:after="0"/>
        <w:rPr>
          <w:rFonts w:eastAsia="Times New Roman"/>
          <w:kern w:val="0"/>
          <w:lang w:val="zh-CN"/>
        </w:rPr>
      </w:pPr>
      <w:r>
        <w:rPr>
          <w:rFonts w:hint="eastAsia" w:ascii="宋体" w:hAnsi="宋体" w:cs="宋体"/>
          <w:kern w:val="0"/>
          <w:lang w:val="zh-CN"/>
        </w:rPr>
        <w:t>其他说明：</w:t>
      </w:r>
    </w:p>
    <w:p>
      <w:pPr>
        <w:autoSpaceDE w:val="0"/>
        <w:autoSpaceDN w:val="0"/>
        <w:adjustRightInd w:val="0"/>
        <w:spacing w:before="0" w:after="0"/>
        <w:jc w:val="left"/>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）赣州美康盛德医学检验所有限公司股权转让事项：</w:t>
      </w:r>
    </w:p>
    <w:p>
      <w:pPr>
        <w:autoSpaceDE w:val="0"/>
        <w:autoSpaceDN w:val="0"/>
        <w:adjustRightInd w:val="0"/>
        <w:spacing w:before="0" w:after="0"/>
        <w:ind w:firstLine="420"/>
        <w:jc w:val="left"/>
        <w:rPr>
          <w:rFonts w:eastAsia="Times New Roman"/>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月，公司与北京天羔医疗科技有限公司签订《股权转让协议》，公司将持有的赣州医检所</w:t>
      </w:r>
      <w:r>
        <w:rPr>
          <w:rFonts w:eastAsia="Times New Roman"/>
          <w:kern w:val="0"/>
          <w:lang w:val="zh-CN"/>
        </w:rPr>
        <w:t>35%</w:t>
      </w:r>
      <w:r>
        <w:rPr>
          <w:rFonts w:hint="eastAsia" w:ascii="宋体" w:hAnsi="宋体" w:cs="宋体"/>
          <w:kern w:val="0"/>
          <w:lang w:val="zh-CN"/>
        </w:rPr>
        <w:t>的股权转让给北京天羔医疗科技有限公司，由于实缴出资额为</w:t>
      </w:r>
      <w:r>
        <w:rPr>
          <w:rFonts w:eastAsia="Times New Roman"/>
          <w:kern w:val="0"/>
          <w:lang w:val="zh-CN"/>
        </w:rPr>
        <w:t>0</w:t>
      </w:r>
      <w:r>
        <w:rPr>
          <w:rFonts w:hint="eastAsia" w:ascii="宋体" w:hAnsi="宋体" w:cs="宋体"/>
          <w:kern w:val="0"/>
          <w:lang w:val="zh-CN"/>
        </w:rPr>
        <w:t>，双方同意转让价格为</w:t>
      </w:r>
      <w:r>
        <w:rPr>
          <w:rFonts w:eastAsia="Times New Roman"/>
          <w:kern w:val="0"/>
          <w:lang w:val="zh-CN"/>
        </w:rPr>
        <w:t>0</w:t>
      </w:r>
      <w:r>
        <w:rPr>
          <w:rFonts w:hint="eastAsia" w:ascii="宋体" w:hAnsi="宋体" w:cs="宋体"/>
          <w:kern w:val="0"/>
          <w:lang w:val="zh-CN"/>
        </w:rPr>
        <w:t>元，转让完成后，公司仍然持有赣州医检所</w:t>
      </w:r>
      <w:r>
        <w:rPr>
          <w:rFonts w:eastAsia="Times New Roman"/>
          <w:kern w:val="0"/>
          <w:lang w:val="zh-CN"/>
        </w:rPr>
        <w:t>20%</w:t>
      </w:r>
      <w:r>
        <w:rPr>
          <w:rFonts w:hint="eastAsia" w:ascii="宋体" w:hAnsi="宋体" w:cs="宋体"/>
          <w:kern w:val="0"/>
          <w:lang w:val="zh-CN"/>
        </w:rPr>
        <w:t>的股权。同月，公司与子公司盛德医检所签订《股权转让协议》，公司将持有的赣州医检所剩余</w:t>
      </w:r>
      <w:r>
        <w:rPr>
          <w:rFonts w:eastAsia="Times New Roman"/>
          <w:kern w:val="0"/>
          <w:lang w:val="zh-CN"/>
        </w:rPr>
        <w:t>20%</w:t>
      </w:r>
      <w:r>
        <w:rPr>
          <w:rFonts w:hint="eastAsia" w:ascii="宋体" w:hAnsi="宋体" w:cs="宋体"/>
          <w:kern w:val="0"/>
          <w:lang w:val="zh-CN"/>
        </w:rPr>
        <w:t>的股权转让给盛德医检所，由于实缴出资额为</w:t>
      </w:r>
      <w:r>
        <w:rPr>
          <w:rFonts w:eastAsia="Times New Roman"/>
          <w:kern w:val="0"/>
          <w:lang w:val="zh-CN"/>
        </w:rPr>
        <w:t>0</w:t>
      </w:r>
      <w:r>
        <w:rPr>
          <w:rFonts w:hint="eastAsia" w:ascii="宋体" w:hAnsi="宋体" w:cs="宋体"/>
          <w:kern w:val="0"/>
          <w:lang w:val="zh-CN"/>
        </w:rPr>
        <w:t>，双方同意转让价格为</w:t>
      </w:r>
      <w:r>
        <w:rPr>
          <w:rFonts w:eastAsia="Times New Roman"/>
          <w:kern w:val="0"/>
          <w:lang w:val="zh-CN"/>
        </w:rPr>
        <w:t>0</w:t>
      </w:r>
      <w:r>
        <w:rPr>
          <w:rFonts w:hint="eastAsia" w:ascii="宋体" w:hAnsi="宋体" w:cs="宋体"/>
          <w:kern w:val="0"/>
          <w:lang w:val="zh-CN"/>
        </w:rPr>
        <w:t>元，转让完成后，公司不再持有赣州医检所的股权，由子公司盛德医检所持有赣州医检所</w:t>
      </w:r>
      <w:r>
        <w:rPr>
          <w:rFonts w:eastAsia="Times New Roman"/>
          <w:kern w:val="0"/>
          <w:lang w:val="zh-CN"/>
        </w:rPr>
        <w:t>20%</w:t>
      </w:r>
      <w:r>
        <w:rPr>
          <w:rFonts w:hint="eastAsia" w:ascii="宋体" w:hAnsi="宋体" w:cs="宋体"/>
          <w:kern w:val="0"/>
          <w:lang w:val="zh-CN"/>
        </w:rPr>
        <w:t>的股权。上述事项已于</w:t>
      </w:r>
      <w:r>
        <w:rPr>
          <w:rFonts w:eastAsia="Times New Roman"/>
          <w:kern w:val="0"/>
          <w:lang w:val="zh-CN"/>
        </w:rPr>
        <w:t>2019</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16</w:t>
      </w:r>
      <w:r>
        <w:rPr>
          <w:rFonts w:hint="eastAsia" w:ascii="宋体" w:hAnsi="宋体" w:cs="宋体"/>
          <w:kern w:val="0"/>
          <w:lang w:val="zh-CN"/>
        </w:rPr>
        <w:t>日办妥工商变更手续。</w:t>
      </w:r>
    </w:p>
    <w:p>
      <w:pPr>
        <w:autoSpaceDE w:val="0"/>
        <w:autoSpaceDN w:val="0"/>
        <w:adjustRightInd w:val="0"/>
        <w:spacing w:before="0" w:after="0"/>
        <w:jc w:val="left"/>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）江西省美康医疗器械有限公司和上饶美康盛德医学检验所有限公司股权转让事项：</w:t>
      </w:r>
    </w:p>
    <w:p>
      <w:pPr>
        <w:autoSpaceDE w:val="0"/>
        <w:autoSpaceDN w:val="0"/>
        <w:adjustRightInd w:val="0"/>
        <w:spacing w:before="0" w:after="0"/>
        <w:ind w:firstLine="420"/>
        <w:jc w:val="left"/>
        <w:rPr>
          <w:rFonts w:eastAsia="Times New Roman"/>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1</w:t>
      </w:r>
      <w:r>
        <w:rPr>
          <w:rFonts w:hint="eastAsia" w:ascii="宋体" w:hAnsi="宋体" w:cs="宋体"/>
          <w:kern w:val="0"/>
          <w:lang w:val="zh-CN"/>
        </w:rPr>
        <w:t>月</w:t>
      </w:r>
      <w:r>
        <w:rPr>
          <w:rFonts w:eastAsia="Times New Roman"/>
          <w:kern w:val="0"/>
          <w:lang w:val="zh-CN"/>
        </w:rPr>
        <w:t>25</w:t>
      </w:r>
      <w:r>
        <w:rPr>
          <w:rFonts w:hint="eastAsia" w:ascii="宋体" w:hAnsi="宋体" w:cs="宋体"/>
          <w:kern w:val="0"/>
          <w:lang w:val="zh-CN"/>
        </w:rPr>
        <w:t>日，公司与江西省美康医疗器械有限公司、上饶美康盛德医学检验所有限公司、郑绍军、胡容花共同签署了《关于终止履行</w:t>
      </w:r>
      <w:r>
        <w:rPr>
          <w:rFonts w:eastAsia="Times New Roman"/>
          <w:kern w:val="0"/>
          <w:lang w:val="zh-CN"/>
        </w:rPr>
        <w:t>&lt;</w:t>
      </w:r>
      <w:r>
        <w:rPr>
          <w:rFonts w:hint="eastAsia" w:ascii="宋体" w:hAnsi="宋体" w:cs="宋体"/>
          <w:kern w:val="0"/>
          <w:lang w:val="zh-CN"/>
        </w:rPr>
        <w:t>投资合作协议</w:t>
      </w:r>
      <w:r>
        <w:rPr>
          <w:rFonts w:eastAsia="Times New Roman"/>
          <w:kern w:val="0"/>
          <w:lang w:val="zh-CN"/>
        </w:rPr>
        <w:t>&gt;</w:t>
      </w:r>
      <w:r>
        <w:rPr>
          <w:rFonts w:hint="eastAsia" w:ascii="宋体" w:hAnsi="宋体" w:cs="宋体"/>
          <w:kern w:val="0"/>
          <w:lang w:val="zh-CN"/>
        </w:rPr>
        <w:t>之协议》，各方一致同意公司将所持有的江西美康</w:t>
      </w:r>
      <w:r>
        <w:rPr>
          <w:rFonts w:eastAsia="Times New Roman"/>
          <w:kern w:val="0"/>
          <w:lang w:val="zh-CN"/>
        </w:rPr>
        <w:t>31%</w:t>
      </w:r>
      <w:r>
        <w:rPr>
          <w:rFonts w:hint="eastAsia" w:ascii="宋体" w:hAnsi="宋体" w:cs="宋体"/>
          <w:kern w:val="0"/>
          <w:lang w:val="zh-CN"/>
        </w:rPr>
        <w:t>的股权作价人民币</w:t>
      </w:r>
      <w:r>
        <w:rPr>
          <w:rFonts w:eastAsia="Times New Roman"/>
          <w:kern w:val="0"/>
          <w:lang w:val="zh-CN"/>
        </w:rPr>
        <w:t>358.00</w:t>
      </w:r>
      <w:r>
        <w:rPr>
          <w:rFonts w:hint="eastAsia" w:ascii="宋体" w:hAnsi="宋体" w:cs="宋体"/>
          <w:kern w:val="0"/>
          <w:lang w:val="zh-CN"/>
        </w:rPr>
        <w:t>万元转让给郑绍军；将所持有的江西美康</w:t>
      </w:r>
      <w:r>
        <w:rPr>
          <w:rFonts w:eastAsia="Times New Roman"/>
          <w:kern w:val="0"/>
          <w:lang w:val="zh-CN"/>
        </w:rPr>
        <w:t>21%</w:t>
      </w:r>
      <w:r>
        <w:rPr>
          <w:rFonts w:hint="eastAsia" w:ascii="宋体" w:hAnsi="宋体" w:cs="宋体"/>
          <w:kern w:val="0"/>
          <w:lang w:val="zh-CN"/>
        </w:rPr>
        <w:t>的股权作价人民币</w:t>
      </w:r>
      <w:r>
        <w:rPr>
          <w:rFonts w:eastAsia="Times New Roman"/>
          <w:kern w:val="0"/>
          <w:lang w:val="zh-CN"/>
        </w:rPr>
        <w:t>242.00</w:t>
      </w:r>
      <w:r>
        <w:rPr>
          <w:rFonts w:hint="eastAsia" w:ascii="宋体" w:hAnsi="宋体" w:cs="宋体"/>
          <w:kern w:val="0"/>
          <w:lang w:val="zh-CN"/>
        </w:rPr>
        <w:t>万元转让给胡容花；公司将所持有的上饶医检所</w:t>
      </w:r>
      <w:r>
        <w:rPr>
          <w:rFonts w:eastAsia="Times New Roman"/>
          <w:kern w:val="0"/>
          <w:lang w:val="zh-CN"/>
        </w:rPr>
        <w:t>31%</w:t>
      </w:r>
      <w:r>
        <w:rPr>
          <w:rFonts w:hint="eastAsia" w:ascii="宋体" w:hAnsi="宋体" w:cs="宋体"/>
          <w:kern w:val="0"/>
          <w:lang w:val="zh-CN"/>
        </w:rPr>
        <w:t>的股权作价人民币</w:t>
      </w:r>
      <w:r>
        <w:rPr>
          <w:rFonts w:eastAsia="Times New Roman"/>
          <w:kern w:val="0"/>
          <w:lang w:val="zh-CN"/>
        </w:rPr>
        <w:t>656.00</w:t>
      </w:r>
      <w:r>
        <w:rPr>
          <w:rFonts w:hint="eastAsia" w:ascii="宋体" w:hAnsi="宋体" w:cs="宋体"/>
          <w:kern w:val="0"/>
          <w:lang w:val="zh-CN"/>
        </w:rPr>
        <w:t>万元转让给郑绍军；将所持有的上饶医检所</w:t>
      </w:r>
      <w:r>
        <w:rPr>
          <w:rFonts w:eastAsia="Times New Roman"/>
          <w:kern w:val="0"/>
          <w:lang w:val="zh-CN"/>
        </w:rPr>
        <w:t>21%</w:t>
      </w:r>
      <w:r>
        <w:rPr>
          <w:rFonts w:hint="eastAsia" w:ascii="宋体" w:hAnsi="宋体" w:cs="宋体"/>
          <w:kern w:val="0"/>
          <w:lang w:val="zh-CN"/>
        </w:rPr>
        <w:t>的股权作价人民币</w:t>
      </w:r>
      <w:r>
        <w:rPr>
          <w:rFonts w:eastAsia="Times New Roman"/>
          <w:kern w:val="0"/>
          <w:lang w:val="zh-CN"/>
        </w:rPr>
        <w:t>444.00</w:t>
      </w:r>
      <w:r>
        <w:rPr>
          <w:rFonts w:hint="eastAsia" w:ascii="宋体" w:hAnsi="宋体" w:cs="宋体"/>
          <w:kern w:val="0"/>
          <w:lang w:val="zh-CN"/>
        </w:rPr>
        <w:t>万元转让给胡容花。上述股权转让款价格合计</w:t>
      </w:r>
      <w:r>
        <w:rPr>
          <w:rFonts w:eastAsia="Times New Roman"/>
          <w:kern w:val="0"/>
          <w:lang w:val="zh-CN"/>
        </w:rPr>
        <w:t>1,700.00</w:t>
      </w:r>
      <w:r>
        <w:rPr>
          <w:rFonts w:hint="eastAsia" w:ascii="宋体" w:hAnsi="宋体" w:cs="宋体"/>
          <w:kern w:val="0"/>
          <w:lang w:val="zh-CN"/>
        </w:rPr>
        <w:t>万元，股权转让完成后，公司将不再持有江西美康和上饶医检所的股权。截止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日，公司已收到郑绍军、胡容花支付的股权转让款共计</w:t>
      </w:r>
      <w:r>
        <w:rPr>
          <w:rFonts w:eastAsia="Times New Roman"/>
          <w:kern w:val="0"/>
          <w:lang w:val="zh-CN"/>
        </w:rPr>
        <w:t>1,700</w:t>
      </w:r>
      <w:r>
        <w:rPr>
          <w:rFonts w:hint="eastAsia" w:ascii="宋体" w:hAnsi="宋体" w:cs="宋体"/>
          <w:kern w:val="0"/>
          <w:lang w:val="zh-CN"/>
        </w:rPr>
        <w:t>万元，上述股权转让事项已于</w:t>
      </w:r>
      <w:r>
        <w:rPr>
          <w:rFonts w:eastAsia="Times New Roman"/>
          <w:kern w:val="0"/>
          <w:lang w:val="zh-CN"/>
        </w:rPr>
        <w:t>2019</w:t>
      </w:r>
      <w:r>
        <w:rPr>
          <w:rFonts w:hint="eastAsia" w:ascii="宋体" w:hAnsi="宋体" w:cs="宋体"/>
          <w:kern w:val="0"/>
          <w:lang w:val="zh-CN"/>
        </w:rPr>
        <w:t>年</w:t>
      </w:r>
      <w:r>
        <w:rPr>
          <w:rFonts w:eastAsia="Times New Roman"/>
          <w:kern w:val="0"/>
          <w:lang w:val="zh-CN"/>
        </w:rPr>
        <w:t>2</w:t>
      </w:r>
      <w:r>
        <w:rPr>
          <w:rFonts w:hint="eastAsia" w:ascii="宋体" w:hAnsi="宋体" w:cs="宋体"/>
          <w:kern w:val="0"/>
          <w:lang w:val="zh-CN"/>
        </w:rPr>
        <w:t>月</w:t>
      </w:r>
      <w:r>
        <w:rPr>
          <w:rFonts w:eastAsia="Times New Roman"/>
          <w:kern w:val="0"/>
          <w:lang w:val="zh-CN"/>
        </w:rPr>
        <w:t>21</w:t>
      </w:r>
      <w:r>
        <w:rPr>
          <w:rFonts w:hint="eastAsia" w:ascii="宋体" w:hAnsi="宋体" w:cs="宋体"/>
          <w:kern w:val="0"/>
          <w:lang w:val="zh-CN"/>
        </w:rPr>
        <w:t>日办妥工商变更手续。</w:t>
      </w:r>
    </w:p>
    <w:p>
      <w:pPr>
        <w:autoSpaceDE w:val="0"/>
        <w:autoSpaceDN w:val="0"/>
        <w:adjustRightInd w:val="0"/>
        <w:spacing w:before="0" w:after="0"/>
        <w:jc w:val="left"/>
        <w:rPr>
          <w:rFonts w:eastAsia="Times New Roman"/>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）美康生物科技</w:t>
      </w:r>
      <w:r>
        <w:rPr>
          <w:rFonts w:eastAsia="Times New Roman"/>
          <w:kern w:val="0"/>
          <w:lang w:val="zh-CN"/>
        </w:rPr>
        <w:t>(</w:t>
      </w:r>
      <w:r>
        <w:rPr>
          <w:rFonts w:hint="eastAsia" w:ascii="宋体" w:hAnsi="宋体" w:cs="宋体"/>
          <w:kern w:val="0"/>
          <w:lang w:val="zh-CN"/>
        </w:rPr>
        <w:t>陕西</w:t>
      </w:r>
      <w:r>
        <w:rPr>
          <w:rFonts w:eastAsia="Times New Roman"/>
          <w:kern w:val="0"/>
          <w:lang w:val="zh-CN"/>
        </w:rPr>
        <w:t>)</w:t>
      </w:r>
      <w:r>
        <w:rPr>
          <w:rFonts w:hint="eastAsia" w:ascii="宋体" w:hAnsi="宋体" w:cs="宋体"/>
          <w:kern w:val="0"/>
          <w:lang w:val="zh-CN"/>
        </w:rPr>
        <w:t>有限公司股权转让事项：</w:t>
      </w:r>
    </w:p>
    <w:p>
      <w:pPr>
        <w:autoSpaceDE w:val="0"/>
        <w:autoSpaceDN w:val="0"/>
        <w:adjustRightInd w:val="0"/>
        <w:spacing w:before="0" w:after="0"/>
        <w:ind w:firstLine="420"/>
        <w:jc w:val="left"/>
        <w:rPr>
          <w:rFonts w:eastAsia="Times New Roman"/>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22</w:t>
      </w:r>
      <w:r>
        <w:rPr>
          <w:rFonts w:hint="eastAsia" w:ascii="宋体" w:hAnsi="宋体" w:cs="宋体"/>
          <w:kern w:val="0"/>
          <w:lang w:val="zh-CN"/>
        </w:rPr>
        <w:t>日，公司与罗念庆签署了《股权转让协议》，公司将所持有的美康生物科技</w:t>
      </w:r>
      <w:r>
        <w:rPr>
          <w:rFonts w:eastAsia="Times New Roman"/>
          <w:kern w:val="0"/>
          <w:lang w:val="zh-CN"/>
        </w:rPr>
        <w:t>(</w:t>
      </w:r>
      <w:r>
        <w:rPr>
          <w:rFonts w:hint="eastAsia" w:ascii="宋体" w:hAnsi="宋体" w:cs="宋体"/>
          <w:kern w:val="0"/>
          <w:lang w:val="zh-CN"/>
        </w:rPr>
        <w:t>陕西</w:t>
      </w:r>
      <w:r>
        <w:rPr>
          <w:rFonts w:eastAsia="Times New Roman"/>
          <w:kern w:val="0"/>
          <w:lang w:val="zh-CN"/>
        </w:rPr>
        <w:t>)</w:t>
      </w:r>
      <w:r>
        <w:rPr>
          <w:rFonts w:hint="eastAsia" w:ascii="宋体" w:hAnsi="宋体" w:cs="宋体"/>
          <w:kern w:val="0"/>
          <w:lang w:val="zh-CN"/>
        </w:rPr>
        <w:t>有限公司</w:t>
      </w:r>
      <w:r>
        <w:rPr>
          <w:rFonts w:eastAsia="Times New Roman"/>
          <w:kern w:val="0"/>
          <w:lang w:val="zh-CN"/>
        </w:rPr>
        <w:t>100%</w:t>
      </w:r>
      <w:r>
        <w:rPr>
          <w:rFonts w:hint="eastAsia" w:ascii="宋体" w:hAnsi="宋体" w:cs="宋体"/>
          <w:kern w:val="0"/>
          <w:lang w:val="zh-CN"/>
        </w:rPr>
        <w:t>的股权作价人民币</w:t>
      </w:r>
      <w:r>
        <w:rPr>
          <w:rFonts w:eastAsia="Times New Roman"/>
          <w:kern w:val="0"/>
          <w:lang w:val="zh-CN"/>
        </w:rPr>
        <w:t>672.00</w:t>
      </w:r>
      <w:r>
        <w:rPr>
          <w:rFonts w:hint="eastAsia" w:ascii="宋体" w:hAnsi="宋体" w:cs="宋体"/>
          <w:kern w:val="0"/>
          <w:lang w:val="zh-CN"/>
        </w:rPr>
        <w:t>万元转让给罗念庆。股权转让完成后，公司将不再持有美康生物科技</w:t>
      </w:r>
      <w:r>
        <w:rPr>
          <w:rFonts w:eastAsia="Times New Roman"/>
          <w:kern w:val="0"/>
          <w:lang w:val="zh-CN"/>
        </w:rPr>
        <w:t>(</w:t>
      </w:r>
      <w:r>
        <w:rPr>
          <w:rFonts w:hint="eastAsia" w:ascii="宋体" w:hAnsi="宋体" w:cs="宋体"/>
          <w:kern w:val="0"/>
          <w:lang w:val="zh-CN"/>
        </w:rPr>
        <w:t>陕西</w:t>
      </w:r>
      <w:r>
        <w:rPr>
          <w:rFonts w:eastAsia="Times New Roman"/>
          <w:kern w:val="0"/>
          <w:lang w:val="zh-CN"/>
        </w:rPr>
        <w:t>)</w:t>
      </w:r>
      <w:r>
        <w:rPr>
          <w:rFonts w:hint="eastAsia" w:ascii="宋体" w:hAnsi="宋体" w:cs="宋体"/>
          <w:kern w:val="0"/>
          <w:lang w:val="zh-CN"/>
        </w:rPr>
        <w:t>有限公司的股权。截止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日，公司已收到罗念庆支付的股权转让款共计</w:t>
      </w:r>
      <w:r>
        <w:rPr>
          <w:rFonts w:eastAsia="Times New Roman"/>
          <w:kern w:val="0"/>
          <w:lang w:val="zh-CN"/>
        </w:rPr>
        <w:t>400</w:t>
      </w:r>
      <w:r>
        <w:rPr>
          <w:rFonts w:hint="eastAsia" w:ascii="宋体" w:hAnsi="宋体" w:cs="宋体"/>
          <w:kern w:val="0"/>
          <w:lang w:val="zh-CN"/>
        </w:rPr>
        <w:t>万元，剩余</w:t>
      </w:r>
      <w:r>
        <w:rPr>
          <w:rFonts w:eastAsia="Times New Roman"/>
          <w:kern w:val="0"/>
          <w:lang w:val="zh-CN"/>
        </w:rPr>
        <w:t>272</w:t>
      </w:r>
      <w:r>
        <w:rPr>
          <w:rFonts w:hint="eastAsia" w:ascii="宋体" w:hAnsi="宋体" w:cs="宋体"/>
          <w:kern w:val="0"/>
          <w:lang w:val="zh-CN"/>
        </w:rPr>
        <w:t>万元股权转让款尚未收到，截止</w:t>
      </w:r>
      <w:r>
        <w:rPr>
          <w:rFonts w:eastAsia="Times New Roman"/>
          <w:kern w:val="0"/>
          <w:lang w:val="zh-CN"/>
        </w:rPr>
        <w:t>2020</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27</w:t>
      </w:r>
      <w:r>
        <w:rPr>
          <w:rFonts w:hint="eastAsia" w:ascii="宋体" w:hAnsi="宋体" w:cs="宋体"/>
          <w:kern w:val="0"/>
          <w:lang w:val="zh-CN"/>
        </w:rPr>
        <w:t>日，公司已收到罗念庆支付的股权转让款共计</w:t>
      </w:r>
      <w:r>
        <w:rPr>
          <w:rFonts w:eastAsiaTheme="minorEastAsia"/>
          <w:kern w:val="0"/>
          <w:lang w:val="zh-CN"/>
        </w:rPr>
        <w:t>672</w:t>
      </w:r>
      <w:r>
        <w:rPr>
          <w:rFonts w:hint="eastAsia" w:ascii="宋体" w:hAnsi="宋体" w:cs="宋体"/>
          <w:kern w:val="0"/>
          <w:lang w:val="zh-CN"/>
        </w:rPr>
        <w:t>万元，</w:t>
      </w:r>
      <w:r>
        <w:rPr>
          <w:rFonts w:hint="eastAsia" w:ascii="宋体" w:hAnsi="宋体" w:cs="宋体"/>
          <w:kern w:val="0"/>
          <w:highlight w:val="white"/>
          <w:lang w:val="zh-CN"/>
        </w:rPr>
        <w:t>已全部收回</w:t>
      </w:r>
      <w:r>
        <w:rPr>
          <w:rFonts w:hint="eastAsia" w:ascii="宋体" w:hAnsi="宋体" w:cs="宋体"/>
          <w:kern w:val="0"/>
          <w:lang w:val="zh-CN"/>
        </w:rPr>
        <w:t>。上述股权转让事项已于</w:t>
      </w:r>
      <w:r>
        <w:rPr>
          <w:rFonts w:eastAsia="Times New Roman"/>
          <w:kern w:val="0"/>
          <w:lang w:val="zh-CN"/>
        </w:rPr>
        <w:t>2019</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28</w:t>
      </w:r>
      <w:r>
        <w:rPr>
          <w:rFonts w:hint="eastAsia" w:ascii="宋体" w:hAnsi="宋体" w:cs="宋体"/>
          <w:kern w:val="0"/>
          <w:lang w:val="zh-CN"/>
        </w:rPr>
        <w:t>日办妥工商变更手续。</w:t>
      </w:r>
    </w:p>
    <w:p>
      <w:pPr>
        <w:autoSpaceDE w:val="0"/>
        <w:autoSpaceDN w:val="0"/>
        <w:adjustRightInd w:val="0"/>
        <w:spacing w:before="0" w:after="0"/>
        <w:jc w:val="left"/>
        <w:rPr>
          <w:rFonts w:eastAsia="Times New Roman"/>
          <w:kern w:val="0"/>
          <w:lang w:val="zh-CN"/>
        </w:rPr>
      </w:pPr>
      <w:r>
        <w:rPr>
          <w:rFonts w:hint="eastAsia" w:ascii="宋体" w:hAnsi="宋体" w:cs="宋体"/>
          <w:kern w:val="0"/>
          <w:lang w:val="zh-CN"/>
        </w:rPr>
        <w:t>（</w:t>
      </w:r>
      <w:r>
        <w:rPr>
          <w:rFonts w:eastAsia="Times New Roman"/>
          <w:kern w:val="0"/>
          <w:lang w:val="zh-CN"/>
        </w:rPr>
        <w:t>4</w:t>
      </w:r>
      <w:r>
        <w:rPr>
          <w:rFonts w:hint="eastAsia" w:ascii="宋体" w:hAnsi="宋体" w:cs="宋体"/>
          <w:kern w:val="0"/>
          <w:lang w:val="zh-CN"/>
        </w:rPr>
        <w:t>）宁波美康股权投资基金合伙企业</w:t>
      </w:r>
      <w:r>
        <w:rPr>
          <w:rFonts w:eastAsia="Times New Roman"/>
          <w:kern w:val="0"/>
          <w:lang w:val="zh-CN"/>
        </w:rPr>
        <w:t>(</w:t>
      </w:r>
      <w:r>
        <w:rPr>
          <w:rFonts w:hint="eastAsia" w:ascii="宋体" w:hAnsi="宋体" w:cs="宋体"/>
          <w:kern w:val="0"/>
          <w:lang w:val="zh-CN"/>
        </w:rPr>
        <w:t>有限合伙</w:t>
      </w:r>
      <w:r>
        <w:rPr>
          <w:rFonts w:eastAsia="Times New Roman"/>
          <w:kern w:val="0"/>
          <w:lang w:val="zh-CN"/>
        </w:rPr>
        <w:t>)</w:t>
      </w:r>
      <w:r>
        <w:rPr>
          <w:rFonts w:hint="eastAsia" w:ascii="宋体" w:hAnsi="宋体" w:cs="宋体"/>
          <w:kern w:val="0"/>
          <w:lang w:val="zh-CN"/>
        </w:rPr>
        <w:t>退伙及收购杭州倚天剩余股权事项：</w:t>
      </w:r>
    </w:p>
    <w:p>
      <w:pPr>
        <w:autoSpaceDE w:val="0"/>
        <w:autoSpaceDN w:val="0"/>
        <w:adjustRightInd w:val="0"/>
        <w:spacing w:before="0" w:after="0"/>
        <w:ind w:firstLine="420"/>
        <w:jc w:val="left"/>
        <w:rPr>
          <w:rFonts w:eastAsia="Times New Roman"/>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3</w:t>
      </w:r>
      <w:r>
        <w:rPr>
          <w:rFonts w:hint="eastAsia" w:ascii="宋体" w:hAnsi="宋体" w:cs="宋体"/>
          <w:kern w:val="0"/>
          <w:lang w:val="zh-CN"/>
        </w:rPr>
        <w:t>月</w:t>
      </w:r>
      <w:r>
        <w:rPr>
          <w:rFonts w:eastAsia="Times New Roman"/>
          <w:kern w:val="0"/>
          <w:lang w:val="zh-CN"/>
        </w:rPr>
        <w:t>4</w:t>
      </w:r>
      <w:r>
        <w:rPr>
          <w:rFonts w:hint="eastAsia" w:ascii="宋体" w:hAnsi="宋体" w:cs="宋体"/>
          <w:kern w:val="0"/>
          <w:lang w:val="zh-CN"/>
        </w:rPr>
        <w:t>日，公司与美康基金及美康基金其他合伙人共同签署了《宁波美康股权投资基金合伙企业（有限合伙）之退伙协议》，各方一致同意公司退出美康基金，并由美康基金按全体合伙人的实缴出资比例向公司分配美康基金的资产与负债，公司退伙取得资产净值为</w:t>
      </w:r>
      <w:r>
        <w:rPr>
          <w:rFonts w:eastAsia="Times New Roman"/>
          <w:kern w:val="0"/>
          <w:lang w:val="zh-CN"/>
        </w:rPr>
        <w:t>472,374,889.27</w:t>
      </w:r>
      <w:r>
        <w:rPr>
          <w:rFonts w:hint="eastAsia" w:ascii="宋体" w:hAnsi="宋体" w:cs="宋体"/>
          <w:kern w:val="0"/>
          <w:lang w:val="zh-CN"/>
        </w:rPr>
        <w:t>元，其中包括倚天杭州</w:t>
      </w:r>
      <w:r>
        <w:rPr>
          <w:rFonts w:eastAsia="Times New Roman"/>
          <w:kern w:val="0"/>
          <w:lang w:val="zh-CN"/>
        </w:rPr>
        <w:t>66.89%</w:t>
      </w:r>
      <w:r>
        <w:rPr>
          <w:rFonts w:hint="eastAsia" w:ascii="宋体" w:hAnsi="宋体" w:cs="宋体"/>
          <w:kern w:val="0"/>
          <w:lang w:val="zh-CN"/>
        </w:rPr>
        <w:t>的股权金额</w:t>
      </w:r>
      <w:r>
        <w:rPr>
          <w:rFonts w:eastAsia="Times New Roman"/>
          <w:kern w:val="0"/>
          <w:lang w:val="zh-CN"/>
        </w:rPr>
        <w:t>583,734,565.71</w:t>
      </w:r>
      <w:r>
        <w:rPr>
          <w:rFonts w:hint="eastAsia" w:ascii="宋体" w:hAnsi="宋体" w:cs="宋体"/>
          <w:kern w:val="0"/>
          <w:lang w:val="zh-CN"/>
        </w:rPr>
        <w:t>元，并承担美康基金应向杭州昆贺投资合伙企业（有限合伙）（杭州倚天原股东）支付的股权转让款</w:t>
      </w:r>
      <w:r>
        <w:rPr>
          <w:rFonts w:eastAsia="Times New Roman"/>
          <w:kern w:val="0"/>
          <w:lang w:val="zh-CN"/>
        </w:rPr>
        <w:t>119,076,449.96</w:t>
      </w:r>
      <w:r>
        <w:rPr>
          <w:rFonts w:hint="eastAsia" w:ascii="宋体" w:hAnsi="宋体" w:cs="宋体"/>
          <w:kern w:val="0"/>
          <w:lang w:val="zh-CN"/>
        </w:rPr>
        <w:t>元，根据退伙可分配取得的资产、负债及其抵消情况，美康基金需要向公司支付</w:t>
      </w:r>
      <w:r>
        <w:rPr>
          <w:rFonts w:eastAsia="Times New Roman"/>
          <w:kern w:val="0"/>
          <w:lang w:val="zh-CN"/>
        </w:rPr>
        <w:t>7,716,773.52</w:t>
      </w:r>
      <w:r>
        <w:rPr>
          <w:rFonts w:hint="eastAsia" w:ascii="宋体" w:hAnsi="宋体" w:cs="宋体"/>
          <w:kern w:val="0"/>
          <w:lang w:val="zh-CN"/>
        </w:rPr>
        <w:t>元（计算公式为：应收退伙款</w:t>
      </w:r>
      <w:r>
        <w:rPr>
          <w:rFonts w:eastAsia="Times New Roman"/>
          <w:kern w:val="0"/>
          <w:lang w:val="zh-CN"/>
        </w:rPr>
        <w:t>=</w:t>
      </w:r>
      <w:r>
        <w:rPr>
          <w:rFonts w:hint="eastAsia" w:ascii="宋体" w:hAnsi="宋体" w:cs="宋体"/>
          <w:kern w:val="0"/>
          <w:lang w:val="zh-CN"/>
        </w:rPr>
        <w:t>分配退伙净值</w:t>
      </w:r>
      <w:r>
        <w:rPr>
          <w:rFonts w:eastAsia="Times New Roman"/>
          <w:kern w:val="0"/>
          <w:lang w:val="zh-CN"/>
        </w:rPr>
        <w:t>472,374,889.27</w:t>
      </w:r>
      <w:r>
        <w:rPr>
          <w:rFonts w:hint="eastAsia" w:ascii="宋体" w:hAnsi="宋体" w:cs="宋体"/>
          <w:kern w:val="0"/>
          <w:lang w:val="zh-CN"/>
        </w:rPr>
        <w:t>元</w:t>
      </w:r>
      <w:r>
        <w:rPr>
          <w:rFonts w:eastAsia="Times New Roman"/>
          <w:kern w:val="0"/>
          <w:lang w:val="zh-CN"/>
        </w:rPr>
        <w:t>-</w:t>
      </w:r>
      <w:r>
        <w:rPr>
          <w:rFonts w:hint="eastAsia" w:ascii="宋体" w:hAnsi="宋体" w:cs="宋体"/>
          <w:kern w:val="0"/>
          <w:lang w:val="zh-CN"/>
        </w:rPr>
        <w:t>收到的股权金额</w:t>
      </w:r>
      <w:r>
        <w:rPr>
          <w:rFonts w:eastAsia="Times New Roman"/>
          <w:kern w:val="0"/>
          <w:lang w:val="zh-CN"/>
        </w:rPr>
        <w:t>583,734,565.71</w:t>
      </w:r>
      <w:r>
        <w:rPr>
          <w:rFonts w:hint="eastAsia" w:ascii="宋体" w:hAnsi="宋体" w:cs="宋体"/>
          <w:kern w:val="0"/>
          <w:lang w:val="zh-CN"/>
        </w:rPr>
        <w:t>元</w:t>
      </w:r>
      <w:r>
        <w:rPr>
          <w:rFonts w:eastAsia="Times New Roman"/>
          <w:kern w:val="0"/>
          <w:lang w:val="zh-CN"/>
        </w:rPr>
        <w:t>+</w:t>
      </w:r>
      <w:r>
        <w:rPr>
          <w:rFonts w:hint="eastAsia" w:ascii="宋体" w:hAnsi="宋体" w:cs="宋体"/>
          <w:kern w:val="0"/>
          <w:lang w:val="zh-CN"/>
        </w:rPr>
        <w:t>承接的付款义务</w:t>
      </w:r>
      <w:r>
        <w:rPr>
          <w:rFonts w:eastAsia="Times New Roman"/>
          <w:kern w:val="0"/>
          <w:lang w:val="zh-CN"/>
        </w:rPr>
        <w:t>119,076,449.96</w:t>
      </w:r>
      <w:r>
        <w:rPr>
          <w:rFonts w:hint="eastAsia" w:ascii="宋体" w:hAnsi="宋体" w:cs="宋体"/>
          <w:kern w:val="0"/>
          <w:lang w:val="zh-CN"/>
        </w:rPr>
        <w:t>元</w:t>
      </w:r>
      <w:r>
        <w:rPr>
          <w:rFonts w:eastAsia="Times New Roman"/>
          <w:kern w:val="0"/>
          <w:lang w:val="zh-CN"/>
        </w:rPr>
        <w:t>=7,716,773.52</w:t>
      </w:r>
      <w:r>
        <w:rPr>
          <w:rFonts w:hint="eastAsia" w:ascii="宋体" w:hAnsi="宋体" w:cs="宋体"/>
          <w:kern w:val="0"/>
          <w:lang w:val="zh-CN"/>
        </w:rPr>
        <w:t>元）。</w:t>
      </w:r>
    </w:p>
    <w:p>
      <w:pPr>
        <w:autoSpaceDE w:val="0"/>
        <w:autoSpaceDN w:val="0"/>
        <w:adjustRightInd w:val="0"/>
        <w:spacing w:before="0" w:after="0"/>
        <w:ind w:firstLine="420"/>
        <w:jc w:val="left"/>
        <w:rPr>
          <w:rFonts w:eastAsia="Times New Roman"/>
          <w:kern w:val="0"/>
          <w:lang w:val="zh-CN"/>
        </w:rPr>
      </w:pPr>
      <w:r>
        <w:rPr>
          <w:rFonts w:hint="eastAsia" w:ascii="宋体" w:hAnsi="宋体" w:cs="宋体"/>
          <w:kern w:val="0"/>
          <w:lang w:val="zh-CN"/>
        </w:rPr>
        <w:t>同日，公司与杭州倚天、美康基金共同签署了《关于杭州倚天生物技术有限公司之股权转让协议》，各方一致同意公司以人民币</w:t>
      </w:r>
      <w:r>
        <w:rPr>
          <w:rFonts w:eastAsia="Times New Roman"/>
          <w:kern w:val="0"/>
          <w:lang w:val="zh-CN"/>
        </w:rPr>
        <w:t xml:space="preserve"> 289,712,109.26</w:t>
      </w:r>
      <w:r>
        <w:rPr>
          <w:rFonts w:hint="eastAsia" w:ascii="宋体" w:hAnsi="宋体" w:cs="宋体"/>
          <w:kern w:val="0"/>
          <w:lang w:val="zh-CN"/>
        </w:rPr>
        <w:t>元收购美康基金持有标的公司杭州倚天剩余</w:t>
      </w:r>
      <w:r>
        <w:rPr>
          <w:rFonts w:eastAsia="Times New Roman"/>
          <w:kern w:val="0"/>
          <w:lang w:val="zh-CN"/>
        </w:rPr>
        <w:t>32.11%</w:t>
      </w:r>
      <w:r>
        <w:rPr>
          <w:rFonts w:hint="eastAsia" w:ascii="宋体" w:hAnsi="宋体" w:cs="宋体"/>
          <w:kern w:val="0"/>
          <w:lang w:val="zh-CN"/>
        </w:rPr>
        <w:t>股权。支付方式为承担美康基金应向杭州昆贺投资合伙企业（有限合伙）支付的剩余股权转让款</w:t>
      </w:r>
      <w:r>
        <w:rPr>
          <w:rFonts w:eastAsia="Times New Roman"/>
          <w:kern w:val="0"/>
          <w:lang w:val="zh-CN"/>
        </w:rPr>
        <w:t>59,559,150.04</w:t>
      </w:r>
      <w:r>
        <w:rPr>
          <w:rFonts w:hint="eastAsia" w:ascii="宋体" w:hAnsi="宋体" w:cs="宋体"/>
          <w:kern w:val="0"/>
          <w:lang w:val="zh-CN"/>
        </w:rPr>
        <w:t>元，抵减前述退伙需要收取的</w:t>
      </w:r>
      <w:r>
        <w:rPr>
          <w:rFonts w:eastAsia="Times New Roman"/>
          <w:kern w:val="0"/>
          <w:lang w:val="zh-CN"/>
        </w:rPr>
        <w:t>7,716,773.52</w:t>
      </w:r>
      <w:r>
        <w:rPr>
          <w:rFonts w:hint="eastAsia" w:ascii="宋体" w:hAnsi="宋体" w:cs="宋体"/>
          <w:kern w:val="0"/>
          <w:lang w:val="zh-CN"/>
        </w:rPr>
        <w:t>元，公司需要支付现金</w:t>
      </w:r>
      <w:r>
        <w:rPr>
          <w:rFonts w:eastAsia="Times New Roman"/>
          <w:kern w:val="0"/>
          <w:lang w:val="zh-CN"/>
        </w:rPr>
        <w:t>222,436,185.70</w:t>
      </w:r>
      <w:r>
        <w:rPr>
          <w:rFonts w:hint="eastAsia" w:ascii="宋体" w:hAnsi="宋体" w:cs="宋体"/>
          <w:kern w:val="0"/>
          <w:lang w:val="zh-CN"/>
        </w:rPr>
        <w:t>元（计算公式为：应支付款项</w:t>
      </w:r>
      <w:r>
        <w:rPr>
          <w:rFonts w:eastAsia="Times New Roman"/>
          <w:kern w:val="0"/>
          <w:lang w:val="zh-CN"/>
        </w:rPr>
        <w:t>=</w:t>
      </w:r>
      <w:r>
        <w:rPr>
          <w:rFonts w:hint="eastAsia" w:ascii="宋体" w:hAnsi="宋体" w:cs="宋体"/>
          <w:kern w:val="0"/>
          <w:lang w:val="zh-CN"/>
        </w:rPr>
        <w:t>转让价款</w:t>
      </w:r>
      <w:r>
        <w:rPr>
          <w:rFonts w:eastAsia="Times New Roman"/>
          <w:kern w:val="0"/>
          <w:lang w:val="zh-CN"/>
        </w:rPr>
        <w:t>289,712,109.26</w:t>
      </w:r>
      <w:r>
        <w:rPr>
          <w:rFonts w:hint="eastAsia" w:ascii="宋体" w:hAnsi="宋体" w:cs="宋体"/>
          <w:kern w:val="0"/>
          <w:lang w:val="zh-CN"/>
        </w:rPr>
        <w:t>元</w:t>
      </w:r>
      <w:r>
        <w:rPr>
          <w:rFonts w:eastAsia="Times New Roman"/>
          <w:kern w:val="0"/>
          <w:lang w:val="zh-CN"/>
        </w:rPr>
        <w:t>-</w:t>
      </w:r>
      <w:r>
        <w:rPr>
          <w:rFonts w:hint="eastAsia" w:ascii="宋体" w:hAnsi="宋体" w:cs="宋体"/>
          <w:kern w:val="0"/>
          <w:lang w:val="zh-CN"/>
        </w:rPr>
        <w:t>承接的付款义务</w:t>
      </w:r>
      <w:r>
        <w:rPr>
          <w:rFonts w:eastAsia="Times New Roman"/>
          <w:kern w:val="0"/>
          <w:lang w:val="zh-CN"/>
        </w:rPr>
        <w:t>59,559,150.04</w:t>
      </w:r>
      <w:r>
        <w:rPr>
          <w:rFonts w:hint="eastAsia" w:ascii="宋体" w:hAnsi="宋体" w:cs="宋体"/>
          <w:kern w:val="0"/>
          <w:lang w:val="zh-CN"/>
        </w:rPr>
        <w:t>元</w:t>
      </w:r>
      <w:r>
        <w:rPr>
          <w:rFonts w:eastAsia="Times New Roman"/>
          <w:kern w:val="0"/>
          <w:lang w:val="zh-CN"/>
        </w:rPr>
        <w:t>-</w:t>
      </w:r>
      <w:r>
        <w:rPr>
          <w:rFonts w:hint="eastAsia" w:ascii="宋体" w:hAnsi="宋体" w:cs="宋体"/>
          <w:kern w:val="0"/>
          <w:lang w:val="zh-CN"/>
        </w:rPr>
        <w:t>退伙结算后应收款项</w:t>
      </w:r>
      <w:r>
        <w:rPr>
          <w:rFonts w:eastAsia="Times New Roman"/>
          <w:kern w:val="0"/>
          <w:lang w:val="zh-CN"/>
        </w:rPr>
        <w:t>7,716,773.52</w:t>
      </w:r>
      <w:r>
        <w:rPr>
          <w:rFonts w:hint="eastAsia" w:ascii="宋体" w:hAnsi="宋体" w:cs="宋体"/>
          <w:kern w:val="0"/>
          <w:lang w:val="zh-CN"/>
        </w:rPr>
        <w:t>元</w:t>
      </w:r>
      <w:r>
        <w:rPr>
          <w:rFonts w:eastAsia="Times New Roman"/>
          <w:kern w:val="0"/>
          <w:lang w:val="zh-CN"/>
        </w:rPr>
        <w:t>=222,436,185.70</w:t>
      </w:r>
      <w:r>
        <w:rPr>
          <w:rFonts w:hint="eastAsia" w:ascii="宋体" w:hAnsi="宋体" w:cs="宋体"/>
          <w:kern w:val="0"/>
          <w:lang w:val="zh-CN"/>
        </w:rPr>
        <w:t>元）。</w:t>
      </w:r>
    </w:p>
    <w:p>
      <w:pPr>
        <w:autoSpaceDE w:val="0"/>
        <w:autoSpaceDN w:val="0"/>
        <w:adjustRightInd w:val="0"/>
        <w:spacing w:before="0" w:after="0"/>
        <w:ind w:firstLine="420"/>
        <w:jc w:val="left"/>
        <w:rPr>
          <w:rFonts w:eastAsia="Times New Roman"/>
          <w:kern w:val="0"/>
          <w:lang w:val="zh-CN"/>
        </w:rPr>
      </w:pPr>
      <w:r>
        <w:rPr>
          <w:rFonts w:hint="eastAsia" w:ascii="宋体" w:hAnsi="宋体" w:cs="宋体"/>
          <w:kern w:val="0"/>
          <w:lang w:val="zh-CN"/>
        </w:rPr>
        <w:t>以上事项业经公司第三届董事会第十四次会议和</w:t>
      </w:r>
      <w:r>
        <w:rPr>
          <w:rFonts w:eastAsia="Times New Roman"/>
          <w:kern w:val="0"/>
          <w:lang w:val="zh-CN"/>
        </w:rPr>
        <w:t>2019</w:t>
      </w:r>
      <w:r>
        <w:rPr>
          <w:rFonts w:hint="eastAsia" w:ascii="宋体" w:hAnsi="宋体" w:cs="宋体"/>
          <w:kern w:val="0"/>
          <w:lang w:val="zh-CN"/>
        </w:rPr>
        <w:t>年第一次临时股东大会审议通过，并于</w:t>
      </w:r>
      <w:r>
        <w:rPr>
          <w:rFonts w:eastAsia="Times New Roman"/>
          <w:kern w:val="0"/>
          <w:lang w:val="zh-CN"/>
        </w:rPr>
        <w:t>2019</w:t>
      </w:r>
      <w:r>
        <w:rPr>
          <w:rFonts w:hint="eastAsia" w:ascii="宋体" w:hAnsi="宋体" w:cs="宋体"/>
          <w:kern w:val="0"/>
          <w:lang w:val="zh-CN"/>
        </w:rPr>
        <w:t>年</w:t>
      </w:r>
      <w:r>
        <w:rPr>
          <w:rFonts w:eastAsia="Times New Roman"/>
          <w:kern w:val="0"/>
          <w:lang w:val="zh-CN"/>
        </w:rPr>
        <w:t>3</w:t>
      </w:r>
      <w:r>
        <w:rPr>
          <w:rFonts w:hint="eastAsia" w:ascii="宋体" w:hAnsi="宋体" w:cs="宋体"/>
          <w:kern w:val="0"/>
          <w:lang w:val="zh-CN"/>
        </w:rPr>
        <w:t>月</w:t>
      </w:r>
      <w:r>
        <w:rPr>
          <w:rFonts w:eastAsia="Times New Roman"/>
          <w:kern w:val="0"/>
          <w:lang w:val="zh-CN"/>
        </w:rPr>
        <w:t>22</w:t>
      </w:r>
      <w:r>
        <w:rPr>
          <w:rFonts w:hint="eastAsia" w:ascii="宋体" w:hAnsi="宋体" w:cs="宋体"/>
          <w:kern w:val="0"/>
          <w:lang w:val="zh-CN"/>
        </w:rPr>
        <w:t>日办妥从宁波美康股权投资基金合伙企业</w:t>
      </w:r>
      <w:r>
        <w:rPr>
          <w:rFonts w:eastAsia="Times New Roman"/>
          <w:kern w:val="0"/>
          <w:lang w:val="zh-CN"/>
        </w:rPr>
        <w:t>(</w:t>
      </w:r>
      <w:r>
        <w:rPr>
          <w:rFonts w:hint="eastAsia" w:ascii="宋体" w:hAnsi="宋体" w:cs="宋体"/>
          <w:kern w:val="0"/>
          <w:lang w:val="zh-CN"/>
        </w:rPr>
        <w:t>有限合伙</w:t>
      </w:r>
      <w:r>
        <w:rPr>
          <w:rFonts w:eastAsia="Times New Roman"/>
          <w:kern w:val="0"/>
          <w:lang w:val="zh-CN"/>
        </w:rPr>
        <w:t>)</w:t>
      </w:r>
      <w:r>
        <w:rPr>
          <w:rFonts w:hint="eastAsia" w:ascii="宋体" w:hAnsi="宋体" w:cs="宋体"/>
          <w:kern w:val="0"/>
          <w:lang w:val="zh-CN"/>
        </w:rPr>
        <w:t>退伙的工商变更事项；于</w:t>
      </w:r>
      <w:r>
        <w:rPr>
          <w:rFonts w:eastAsia="Times New Roman"/>
          <w:kern w:val="0"/>
          <w:lang w:val="zh-CN"/>
        </w:rPr>
        <w:t>2019</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11</w:t>
      </w:r>
      <w:r>
        <w:rPr>
          <w:rFonts w:hint="eastAsia" w:ascii="宋体" w:hAnsi="宋体" w:cs="宋体"/>
          <w:kern w:val="0"/>
          <w:lang w:val="zh-CN"/>
        </w:rPr>
        <w:t>日办妥杭州倚天股权变更的工商事项。</w:t>
      </w:r>
    </w:p>
    <w:p>
      <w:pPr>
        <w:autoSpaceDE w:val="0"/>
        <w:autoSpaceDN w:val="0"/>
        <w:adjustRightInd w:val="0"/>
        <w:spacing w:before="0" w:after="0"/>
        <w:ind w:firstLine="420"/>
        <w:jc w:val="left"/>
        <w:rPr>
          <w:rFonts w:eastAsia="Times New Roman"/>
          <w:kern w:val="0"/>
          <w:lang w:val="zh-CN"/>
        </w:rPr>
      </w:pPr>
      <w:r>
        <w:rPr>
          <w:rFonts w:hint="eastAsia" w:ascii="宋体" w:hAnsi="宋体" w:cs="宋体"/>
          <w:kern w:val="0"/>
          <w:lang w:val="zh-CN"/>
        </w:rPr>
        <w:t>以上退伙及购买杭州倚天剩余股权事项，公司需要支付美康基金股权转让款</w:t>
      </w:r>
      <w:r>
        <w:rPr>
          <w:rFonts w:eastAsia="Times New Roman"/>
          <w:kern w:val="0"/>
          <w:lang w:val="zh-CN"/>
        </w:rPr>
        <w:t>222,436,185.70</w:t>
      </w:r>
      <w:r>
        <w:rPr>
          <w:rFonts w:hint="eastAsia" w:ascii="宋体" w:hAnsi="宋体" w:cs="宋体"/>
          <w:kern w:val="0"/>
          <w:lang w:val="zh-CN"/>
        </w:rPr>
        <w:t>元，截止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6</w:t>
      </w:r>
      <w:r>
        <w:rPr>
          <w:rFonts w:hint="eastAsia" w:ascii="宋体" w:hAnsi="宋体" w:cs="宋体"/>
          <w:kern w:val="0"/>
          <w:lang w:val="zh-CN"/>
        </w:rPr>
        <w:t>月</w:t>
      </w:r>
      <w:r>
        <w:rPr>
          <w:rFonts w:eastAsia="Times New Roman"/>
          <w:kern w:val="0"/>
          <w:lang w:val="zh-CN"/>
        </w:rPr>
        <w:t>30</w:t>
      </w:r>
      <w:r>
        <w:rPr>
          <w:rFonts w:hint="eastAsia" w:ascii="宋体" w:hAnsi="宋体" w:cs="宋体"/>
          <w:kern w:val="0"/>
          <w:lang w:val="zh-CN"/>
        </w:rPr>
        <w:t>日，公司已全部支付。</w:t>
      </w:r>
    </w:p>
    <w:p>
      <w:pPr>
        <w:autoSpaceDE w:val="0"/>
        <w:autoSpaceDN w:val="0"/>
        <w:adjustRightInd w:val="0"/>
        <w:spacing w:before="0" w:after="0"/>
        <w:ind w:firstLine="420"/>
        <w:jc w:val="left"/>
        <w:rPr>
          <w:rFonts w:eastAsia="Times New Roman"/>
          <w:kern w:val="0"/>
          <w:lang w:val="zh-CN"/>
        </w:rPr>
      </w:pPr>
      <w:r>
        <w:rPr>
          <w:rFonts w:hint="eastAsia" w:ascii="宋体" w:hAnsi="宋体" w:cs="宋体"/>
          <w:kern w:val="0"/>
          <w:lang w:val="zh-CN"/>
        </w:rPr>
        <w:t>以上退伙及购买杭州倚天剩余股权事项，公司需要支付杭州昆贺投资合伙企业（有限合伙）股权转让款</w:t>
      </w:r>
      <w:r>
        <w:rPr>
          <w:rFonts w:eastAsia="Times New Roman"/>
          <w:kern w:val="0"/>
          <w:lang w:val="zh-CN"/>
        </w:rPr>
        <w:t>178,635,600.00</w:t>
      </w:r>
      <w:r>
        <w:rPr>
          <w:rFonts w:hint="eastAsia" w:ascii="宋体" w:hAnsi="宋体" w:cs="宋体"/>
          <w:kern w:val="0"/>
          <w:lang w:val="zh-CN"/>
        </w:rPr>
        <w:t>元。</w:t>
      </w:r>
    </w:p>
    <w:p>
      <w:pPr>
        <w:autoSpaceDE w:val="0"/>
        <w:autoSpaceDN w:val="0"/>
        <w:adjustRightInd w:val="0"/>
        <w:spacing w:before="0" w:after="0"/>
        <w:ind w:firstLine="420"/>
        <w:jc w:val="left"/>
        <w:rPr>
          <w:rFonts w:eastAsia="Times New Roman"/>
          <w:kern w:val="0"/>
          <w:lang w:val="zh-CN"/>
        </w:rPr>
      </w:pPr>
      <w:r>
        <w:rPr>
          <w:rFonts w:hint="eastAsia" w:ascii="宋体" w:hAnsi="宋体" w:cs="宋体"/>
          <w:kern w:val="0"/>
          <w:lang w:val="zh-CN"/>
        </w:rPr>
        <w:t>本次退伙及股权转让完成后，公司不再持有美康基金的股份；并且由原来直接持有标的公司杭州倚天</w:t>
      </w:r>
      <w:r>
        <w:rPr>
          <w:rFonts w:eastAsia="Times New Roman"/>
          <w:kern w:val="0"/>
          <w:lang w:val="zh-CN"/>
        </w:rPr>
        <w:t>1%</w:t>
      </w:r>
      <w:r>
        <w:rPr>
          <w:rFonts w:hint="eastAsia" w:ascii="宋体" w:hAnsi="宋体" w:cs="宋体"/>
          <w:kern w:val="0"/>
          <w:lang w:val="zh-CN"/>
        </w:rPr>
        <w:t>的股权和间接持有杭州倚天</w:t>
      </w:r>
      <w:r>
        <w:rPr>
          <w:rFonts w:eastAsia="Times New Roman"/>
          <w:kern w:val="0"/>
          <w:lang w:val="zh-CN"/>
        </w:rPr>
        <w:t>66.88%</w:t>
      </w:r>
      <w:r>
        <w:rPr>
          <w:rFonts w:hint="eastAsia" w:ascii="宋体" w:hAnsi="宋体" w:cs="宋体"/>
          <w:kern w:val="0"/>
          <w:lang w:val="zh-CN"/>
        </w:rPr>
        <w:t>的股权变更为直接持有标的公司杭州倚天</w:t>
      </w:r>
      <w:r>
        <w:rPr>
          <w:rFonts w:eastAsia="Times New Roman"/>
          <w:kern w:val="0"/>
          <w:lang w:val="zh-CN"/>
        </w:rPr>
        <w:t>100%</w:t>
      </w:r>
      <w:r>
        <w:rPr>
          <w:rFonts w:hint="eastAsia" w:ascii="宋体" w:hAnsi="宋体" w:cs="宋体"/>
          <w:kern w:val="0"/>
          <w:lang w:val="zh-CN"/>
        </w:rPr>
        <w:t>的股权。</w:t>
      </w:r>
    </w:p>
    <w:p>
      <w:pPr>
        <w:autoSpaceDE w:val="0"/>
        <w:autoSpaceDN w:val="0"/>
        <w:adjustRightInd w:val="0"/>
        <w:spacing w:before="0" w:after="0"/>
        <w:ind w:firstLine="420"/>
        <w:jc w:val="left"/>
        <w:rPr>
          <w:rFonts w:eastAsia="Times New Roman"/>
          <w:kern w:val="0"/>
          <w:lang w:val="zh-CN"/>
        </w:rPr>
      </w:pPr>
      <w:r>
        <w:rPr>
          <w:rFonts w:hint="eastAsia" w:ascii="宋体" w:hAnsi="宋体" w:cs="宋体"/>
          <w:kern w:val="0"/>
          <w:lang w:val="zh-CN"/>
        </w:rPr>
        <w:t>本事项导致资本公积</w:t>
      </w:r>
      <w:r>
        <w:rPr>
          <w:rFonts w:eastAsia="Times New Roman"/>
          <w:kern w:val="0"/>
          <w:lang w:val="zh-CN"/>
        </w:rPr>
        <w:t>-</w:t>
      </w:r>
      <w:r>
        <w:rPr>
          <w:rFonts w:hint="eastAsia" w:ascii="宋体" w:hAnsi="宋体" w:cs="宋体"/>
          <w:kern w:val="0"/>
          <w:lang w:val="zh-CN"/>
        </w:rPr>
        <w:t>股本溢价增加</w:t>
      </w:r>
      <w:r>
        <w:rPr>
          <w:rFonts w:eastAsia="Times New Roman"/>
          <w:kern w:val="0"/>
          <w:lang w:val="zh-CN"/>
        </w:rPr>
        <w:t>43,704,640.22</w:t>
      </w:r>
      <w:r>
        <w:rPr>
          <w:rFonts w:hint="eastAsia" w:ascii="宋体" w:hAnsi="宋体" w:cs="宋体"/>
          <w:kern w:val="0"/>
          <w:lang w:val="zh-CN"/>
        </w:rPr>
        <w:t>元。</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由于美康基金系公司实际控制人邹炳德控股的公司，故以上交易构成关联交易。</w:t>
      </w:r>
    </w:p>
    <w:p>
      <w:pPr>
        <w:autoSpaceDE w:val="0"/>
        <w:autoSpaceDN w:val="0"/>
        <w:adjustRightInd w:val="0"/>
        <w:spacing w:before="0" w:after="0"/>
        <w:rPr>
          <w:rFonts w:eastAsia="Times New Roman"/>
          <w:kern w:val="0"/>
          <w:lang w:val="zh-CN"/>
        </w:rPr>
      </w:pPr>
      <w:r>
        <w:rPr>
          <w:rFonts w:hint="eastAsia" w:ascii="宋体" w:hAnsi="宋体" w:cs="宋体"/>
          <w:kern w:val="0"/>
          <w:lang w:val="zh-CN"/>
        </w:rPr>
        <w:t>（</w:t>
      </w:r>
      <w:r>
        <w:rPr>
          <w:rFonts w:eastAsia="Times New Roman"/>
          <w:kern w:val="0"/>
          <w:lang w:val="zh-CN"/>
        </w:rPr>
        <w:t>5</w:t>
      </w:r>
      <w:r>
        <w:rPr>
          <w:rFonts w:hint="eastAsia" w:ascii="宋体" w:hAnsi="宋体" w:cs="宋体"/>
          <w:kern w:val="0"/>
          <w:lang w:val="zh-CN"/>
        </w:rPr>
        <w:t>）金华市美康盛德医学检验所有限公司股权转让事项：</w:t>
      </w:r>
    </w:p>
    <w:p>
      <w:pPr>
        <w:autoSpaceDE w:val="0"/>
        <w:autoSpaceDN w:val="0"/>
        <w:adjustRightInd w:val="0"/>
        <w:spacing w:before="0" w:after="0"/>
        <w:ind w:firstLine="420"/>
        <w:rPr>
          <w:rFonts w:eastAsia="Times New Roman"/>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6</w:t>
      </w:r>
      <w:r>
        <w:rPr>
          <w:rFonts w:hint="eastAsia" w:ascii="宋体" w:hAnsi="宋体" w:cs="宋体"/>
          <w:kern w:val="0"/>
          <w:lang w:val="zh-CN"/>
        </w:rPr>
        <w:t>月</w:t>
      </w:r>
      <w:r>
        <w:rPr>
          <w:rFonts w:eastAsia="Times New Roman"/>
          <w:kern w:val="0"/>
          <w:lang w:val="zh-CN"/>
        </w:rPr>
        <w:t>21</w:t>
      </w:r>
      <w:r>
        <w:rPr>
          <w:rFonts w:hint="eastAsia" w:ascii="宋体" w:hAnsi="宋体" w:cs="宋体"/>
          <w:kern w:val="0"/>
          <w:lang w:val="zh-CN"/>
        </w:rPr>
        <w:t>日，公司与乙方（李丰、江怀昆、杭州普安基因工程有限公司）、丙方（宁波华艺投资股份有限公司）共同签署了股权转让协议及《关于终止履行</w:t>
      </w:r>
      <w:r>
        <w:rPr>
          <w:rFonts w:eastAsia="Times New Roman"/>
          <w:kern w:val="0"/>
          <w:lang w:val="zh-CN"/>
        </w:rPr>
        <w:t>&lt;</w:t>
      </w:r>
      <w:r>
        <w:rPr>
          <w:rFonts w:hint="eastAsia" w:ascii="宋体" w:hAnsi="宋体" w:cs="宋体"/>
          <w:kern w:val="0"/>
          <w:lang w:val="zh-CN"/>
        </w:rPr>
        <w:t>投资框架意向书</w:t>
      </w:r>
      <w:r>
        <w:rPr>
          <w:rFonts w:eastAsia="Times New Roman"/>
          <w:kern w:val="0"/>
          <w:lang w:val="zh-CN"/>
        </w:rPr>
        <w:t>&gt;</w:t>
      </w:r>
      <w:r>
        <w:rPr>
          <w:rFonts w:hint="eastAsia" w:ascii="宋体" w:hAnsi="宋体" w:cs="宋体"/>
          <w:kern w:val="0"/>
          <w:lang w:val="zh-CN"/>
        </w:rPr>
        <w:t>之协议》，各方一致同意公司将所持有的金华医检所</w:t>
      </w:r>
      <w:r>
        <w:rPr>
          <w:rFonts w:eastAsia="Times New Roman"/>
          <w:kern w:val="0"/>
          <w:lang w:val="zh-CN"/>
        </w:rPr>
        <w:t>41.10%</w:t>
      </w:r>
      <w:r>
        <w:rPr>
          <w:rFonts w:hint="eastAsia" w:ascii="宋体" w:hAnsi="宋体" w:cs="宋体"/>
          <w:kern w:val="0"/>
          <w:lang w:val="zh-CN"/>
        </w:rPr>
        <w:t>的股权作价人民币</w:t>
      </w:r>
      <w:r>
        <w:rPr>
          <w:rFonts w:eastAsia="Times New Roman"/>
          <w:kern w:val="0"/>
          <w:lang w:val="zh-CN"/>
        </w:rPr>
        <w:t>24.66</w:t>
      </w:r>
      <w:r>
        <w:rPr>
          <w:rFonts w:hint="eastAsia" w:ascii="宋体" w:hAnsi="宋体" w:cs="宋体"/>
          <w:kern w:val="0"/>
          <w:lang w:val="zh-CN"/>
        </w:rPr>
        <w:t>万元转让给李丰；将所持有的金华医检所</w:t>
      </w:r>
      <w:r>
        <w:rPr>
          <w:rFonts w:eastAsia="Times New Roman"/>
          <w:kern w:val="0"/>
          <w:lang w:val="zh-CN"/>
        </w:rPr>
        <w:t>6%</w:t>
      </w:r>
      <w:r>
        <w:rPr>
          <w:rFonts w:hint="eastAsia" w:ascii="宋体" w:hAnsi="宋体" w:cs="宋体"/>
          <w:kern w:val="0"/>
          <w:lang w:val="zh-CN"/>
        </w:rPr>
        <w:t>的股权作价人民币</w:t>
      </w:r>
      <w:r>
        <w:rPr>
          <w:rFonts w:eastAsia="Times New Roman"/>
          <w:kern w:val="0"/>
          <w:lang w:val="zh-CN"/>
        </w:rPr>
        <w:t>3.60</w:t>
      </w:r>
      <w:r>
        <w:rPr>
          <w:rFonts w:hint="eastAsia" w:ascii="宋体" w:hAnsi="宋体" w:cs="宋体"/>
          <w:kern w:val="0"/>
          <w:lang w:val="zh-CN"/>
        </w:rPr>
        <w:t>万元转让给江怀昆；将所持有的金华医检所</w:t>
      </w:r>
      <w:r>
        <w:rPr>
          <w:rFonts w:eastAsia="Times New Roman"/>
          <w:kern w:val="0"/>
          <w:lang w:val="zh-CN"/>
        </w:rPr>
        <w:t>2.90%</w:t>
      </w:r>
      <w:r>
        <w:rPr>
          <w:rFonts w:hint="eastAsia" w:ascii="宋体" w:hAnsi="宋体" w:cs="宋体"/>
          <w:kern w:val="0"/>
          <w:lang w:val="zh-CN"/>
        </w:rPr>
        <w:t>的股权作价人民币</w:t>
      </w:r>
      <w:r>
        <w:rPr>
          <w:rFonts w:eastAsia="Times New Roman"/>
          <w:kern w:val="0"/>
          <w:lang w:val="zh-CN"/>
        </w:rPr>
        <w:t>1.74</w:t>
      </w:r>
      <w:r>
        <w:rPr>
          <w:rFonts w:hint="eastAsia" w:ascii="宋体" w:hAnsi="宋体" w:cs="宋体"/>
          <w:kern w:val="0"/>
          <w:lang w:val="zh-CN"/>
        </w:rPr>
        <w:t>万元转让给杭州普安基因工程有限公司。上述股权转让款价格合计</w:t>
      </w:r>
      <w:r>
        <w:rPr>
          <w:rFonts w:eastAsia="Times New Roman"/>
          <w:kern w:val="0"/>
          <w:lang w:val="zh-CN"/>
        </w:rPr>
        <w:t>30.00</w:t>
      </w:r>
      <w:r>
        <w:rPr>
          <w:rFonts w:hint="eastAsia" w:ascii="宋体" w:hAnsi="宋体" w:cs="宋体"/>
          <w:kern w:val="0"/>
          <w:lang w:val="zh-CN"/>
        </w:rPr>
        <w:t>万元，股权转让完成后，公司仅将持有金华医检所</w:t>
      </w:r>
      <w:r>
        <w:rPr>
          <w:rFonts w:eastAsia="Times New Roman"/>
          <w:kern w:val="0"/>
          <w:lang w:val="zh-CN"/>
        </w:rPr>
        <w:t>1.00%</w:t>
      </w:r>
      <w:r>
        <w:rPr>
          <w:rFonts w:hint="eastAsia" w:ascii="宋体" w:hAnsi="宋体" w:cs="宋体"/>
          <w:kern w:val="0"/>
          <w:lang w:val="zh-CN"/>
        </w:rPr>
        <w:t>的股权。截止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日，公司已收到李丰、江怀昆和杭州普安基因工程有限公司支付的股权转让款共计</w:t>
      </w:r>
      <w:r>
        <w:rPr>
          <w:rFonts w:eastAsia="Times New Roman"/>
          <w:kern w:val="0"/>
          <w:lang w:val="zh-CN"/>
        </w:rPr>
        <w:t>30.00</w:t>
      </w:r>
      <w:r>
        <w:rPr>
          <w:rFonts w:hint="eastAsia" w:ascii="宋体" w:hAnsi="宋体" w:cs="宋体"/>
          <w:kern w:val="0"/>
          <w:lang w:val="zh-CN"/>
        </w:rPr>
        <w:t>万元，上述股权转让事项已于</w:t>
      </w:r>
      <w:r>
        <w:rPr>
          <w:rFonts w:eastAsia="Times New Roman"/>
          <w:kern w:val="0"/>
          <w:lang w:val="zh-CN"/>
        </w:rPr>
        <w:t>2019</w:t>
      </w:r>
      <w:r>
        <w:rPr>
          <w:rFonts w:hint="eastAsia" w:ascii="宋体" w:hAnsi="宋体" w:cs="宋体"/>
          <w:kern w:val="0"/>
          <w:lang w:val="zh-CN"/>
        </w:rPr>
        <w:t>年</w:t>
      </w:r>
      <w:r>
        <w:rPr>
          <w:rFonts w:eastAsia="Times New Roman"/>
          <w:kern w:val="0"/>
          <w:lang w:val="zh-CN"/>
        </w:rPr>
        <w:t>7</w:t>
      </w:r>
      <w:r>
        <w:rPr>
          <w:rFonts w:hint="eastAsia" w:ascii="宋体" w:hAnsi="宋体" w:cs="宋体"/>
          <w:kern w:val="0"/>
          <w:lang w:val="zh-CN"/>
        </w:rPr>
        <w:t>月</w:t>
      </w:r>
      <w:r>
        <w:rPr>
          <w:rFonts w:eastAsia="Times New Roman"/>
          <w:kern w:val="0"/>
          <w:lang w:val="zh-CN"/>
        </w:rPr>
        <w:t>25</w:t>
      </w:r>
      <w:r>
        <w:rPr>
          <w:rFonts w:hint="eastAsia" w:ascii="宋体" w:hAnsi="宋体" w:cs="宋体"/>
          <w:kern w:val="0"/>
          <w:lang w:val="zh-CN"/>
        </w:rPr>
        <w:t>日办妥工商变更手续。</w:t>
      </w:r>
    </w:p>
    <w:p>
      <w:pPr>
        <w:autoSpaceDE w:val="0"/>
        <w:autoSpaceDN w:val="0"/>
        <w:adjustRightInd w:val="0"/>
        <w:spacing w:before="0" w:after="0"/>
        <w:rPr>
          <w:rFonts w:eastAsia="Times New Roman"/>
          <w:kern w:val="0"/>
          <w:lang w:val="zh-CN"/>
        </w:rPr>
      </w:pPr>
      <w:r>
        <w:rPr>
          <w:rFonts w:hint="eastAsia" w:ascii="宋体" w:hAnsi="宋体" w:cs="宋体"/>
          <w:kern w:val="0"/>
          <w:lang w:val="zh-CN"/>
        </w:rPr>
        <w:t>（</w:t>
      </w:r>
      <w:r>
        <w:rPr>
          <w:rFonts w:eastAsia="Times New Roman"/>
          <w:kern w:val="0"/>
          <w:lang w:val="zh-CN"/>
        </w:rPr>
        <w:t>6</w:t>
      </w:r>
      <w:r>
        <w:rPr>
          <w:rFonts w:hint="eastAsia" w:ascii="宋体" w:hAnsi="宋体" w:cs="宋体"/>
          <w:kern w:val="0"/>
          <w:lang w:val="zh-CN"/>
        </w:rPr>
        <w:t>）重庆和盛医疗器械有限公司股权转让事项：</w:t>
      </w:r>
    </w:p>
    <w:p>
      <w:pPr>
        <w:autoSpaceDE w:val="0"/>
        <w:autoSpaceDN w:val="0"/>
        <w:adjustRightInd w:val="0"/>
        <w:spacing w:before="0" w:after="0"/>
        <w:ind w:firstLine="420"/>
        <w:rPr>
          <w:rFonts w:eastAsia="Times New Roman"/>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9</w:t>
      </w:r>
      <w:r>
        <w:rPr>
          <w:rFonts w:hint="eastAsia" w:ascii="宋体" w:hAnsi="宋体" w:cs="宋体"/>
          <w:kern w:val="0"/>
          <w:lang w:val="zh-CN"/>
        </w:rPr>
        <w:t>月</w:t>
      </w:r>
      <w:r>
        <w:rPr>
          <w:rFonts w:eastAsia="Times New Roman"/>
          <w:kern w:val="0"/>
          <w:lang w:val="zh-CN"/>
        </w:rPr>
        <w:t>10</w:t>
      </w:r>
      <w:r>
        <w:rPr>
          <w:rFonts w:hint="eastAsia" w:ascii="宋体" w:hAnsi="宋体" w:cs="宋体"/>
          <w:kern w:val="0"/>
          <w:lang w:val="zh-CN"/>
        </w:rPr>
        <w:t>日，公司与刘二岗、刘培岗签署了《股权转让协议》及补充协议，公司将所持有的重庆和盛医疗器械有限公司</w:t>
      </w:r>
      <w:r>
        <w:rPr>
          <w:rFonts w:eastAsia="Times New Roman"/>
          <w:kern w:val="0"/>
          <w:lang w:val="zh-CN"/>
        </w:rPr>
        <w:t>21%</w:t>
      </w:r>
      <w:r>
        <w:rPr>
          <w:rFonts w:hint="eastAsia" w:ascii="宋体" w:hAnsi="宋体" w:cs="宋体"/>
          <w:kern w:val="0"/>
          <w:lang w:val="zh-CN"/>
        </w:rPr>
        <w:t>的股权作价人民币</w:t>
      </w:r>
      <w:r>
        <w:rPr>
          <w:rFonts w:eastAsia="Times New Roman"/>
          <w:kern w:val="0"/>
          <w:lang w:val="zh-CN"/>
        </w:rPr>
        <w:t>3,780.00</w:t>
      </w:r>
      <w:r>
        <w:rPr>
          <w:rFonts w:hint="eastAsia" w:ascii="宋体" w:hAnsi="宋体" w:cs="宋体"/>
          <w:kern w:val="0"/>
          <w:lang w:val="zh-CN"/>
        </w:rPr>
        <w:t>万元转让给刘培岗。股权转让完成后，公司将持有重庆和盛医疗器械有限公司</w:t>
      </w:r>
      <w:r>
        <w:rPr>
          <w:rFonts w:eastAsia="Times New Roman"/>
          <w:kern w:val="0"/>
          <w:lang w:val="zh-CN"/>
        </w:rPr>
        <w:t>30%</w:t>
      </w:r>
      <w:r>
        <w:rPr>
          <w:rFonts w:hint="eastAsia" w:ascii="宋体" w:hAnsi="宋体" w:cs="宋体"/>
          <w:kern w:val="0"/>
          <w:lang w:val="zh-CN"/>
        </w:rPr>
        <w:t>的股权，不再将其纳入合并范围，而是作为联营企业转为权益法核算。上述股权转让事项已于</w:t>
      </w:r>
      <w:r>
        <w:rPr>
          <w:rFonts w:eastAsia="Times New Roman"/>
          <w:kern w:val="0"/>
          <w:lang w:val="zh-CN"/>
        </w:rPr>
        <w:t>2019</w:t>
      </w:r>
      <w:r>
        <w:rPr>
          <w:rFonts w:hint="eastAsia" w:ascii="宋体" w:hAnsi="宋体" w:cs="宋体"/>
          <w:kern w:val="0"/>
          <w:lang w:val="zh-CN"/>
        </w:rPr>
        <w:t>年</w:t>
      </w:r>
      <w:r>
        <w:rPr>
          <w:rFonts w:eastAsia="Times New Roman"/>
          <w:kern w:val="0"/>
          <w:lang w:val="zh-CN"/>
        </w:rPr>
        <w:t>9</w:t>
      </w:r>
      <w:r>
        <w:rPr>
          <w:rFonts w:hint="eastAsia" w:ascii="宋体" w:hAnsi="宋体" w:cs="宋体"/>
          <w:kern w:val="0"/>
          <w:lang w:val="zh-CN"/>
        </w:rPr>
        <w:t>月</w:t>
      </w:r>
      <w:r>
        <w:rPr>
          <w:rFonts w:eastAsia="Times New Roman"/>
          <w:kern w:val="0"/>
          <w:lang w:val="zh-CN"/>
        </w:rPr>
        <w:t>11</w:t>
      </w:r>
      <w:r>
        <w:rPr>
          <w:rFonts w:hint="eastAsia" w:ascii="宋体" w:hAnsi="宋体" w:cs="宋体"/>
          <w:kern w:val="0"/>
          <w:lang w:val="zh-CN"/>
        </w:rPr>
        <w:t>日办妥工商变更手续。</w:t>
      </w:r>
    </w:p>
    <w:p>
      <w:pPr>
        <w:autoSpaceDE w:val="0"/>
        <w:autoSpaceDN w:val="0"/>
        <w:adjustRightInd w:val="0"/>
        <w:spacing w:before="0" w:after="0"/>
        <w:rPr>
          <w:rFonts w:eastAsia="Times New Roman"/>
          <w:kern w:val="0"/>
          <w:lang w:val="zh-CN"/>
        </w:rPr>
      </w:pPr>
      <w:r>
        <w:rPr>
          <w:rFonts w:hint="eastAsia" w:ascii="宋体" w:hAnsi="宋体" w:cs="宋体"/>
          <w:kern w:val="0"/>
          <w:lang w:val="zh-CN"/>
        </w:rPr>
        <w:t>根据合同约定，公司应于</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日前收到股权转让款</w:t>
      </w:r>
      <w:r>
        <w:rPr>
          <w:rFonts w:eastAsia="Times New Roman"/>
          <w:kern w:val="0"/>
          <w:lang w:val="zh-CN"/>
        </w:rPr>
        <w:t>2,268.00</w:t>
      </w:r>
      <w:r>
        <w:rPr>
          <w:rFonts w:hint="eastAsia" w:ascii="宋体" w:hAnsi="宋体" w:cs="宋体"/>
          <w:kern w:val="0"/>
          <w:lang w:val="zh-CN"/>
        </w:rPr>
        <w:t>万元，剩余股权转让款</w:t>
      </w:r>
      <w:r>
        <w:rPr>
          <w:rFonts w:eastAsia="Times New Roman"/>
          <w:kern w:val="0"/>
          <w:lang w:val="zh-CN"/>
        </w:rPr>
        <w:t>1,512.00</w:t>
      </w:r>
      <w:r>
        <w:rPr>
          <w:rFonts w:hint="eastAsia" w:ascii="宋体" w:hAnsi="宋体" w:cs="宋体"/>
          <w:kern w:val="0"/>
          <w:lang w:val="zh-CN"/>
        </w:rPr>
        <w:t>应于工商变更完成之日起</w:t>
      </w:r>
      <w:r>
        <w:rPr>
          <w:rFonts w:eastAsia="Times New Roman"/>
          <w:kern w:val="0"/>
          <w:lang w:val="zh-CN"/>
        </w:rPr>
        <w:t>360</w:t>
      </w:r>
      <w:r>
        <w:rPr>
          <w:rFonts w:hint="eastAsia" w:ascii="宋体" w:hAnsi="宋体" w:cs="宋体"/>
          <w:kern w:val="0"/>
          <w:lang w:val="zh-CN"/>
        </w:rPr>
        <w:t>日内（即</w:t>
      </w:r>
      <w:r>
        <w:rPr>
          <w:rFonts w:eastAsia="Times New Roman"/>
          <w:kern w:val="0"/>
          <w:lang w:val="zh-CN"/>
        </w:rPr>
        <w:t>2020</w:t>
      </w:r>
      <w:r>
        <w:rPr>
          <w:rFonts w:hint="eastAsia" w:ascii="宋体" w:hAnsi="宋体" w:cs="宋体"/>
          <w:kern w:val="0"/>
          <w:lang w:val="zh-CN"/>
        </w:rPr>
        <w:t>年</w:t>
      </w:r>
      <w:r>
        <w:rPr>
          <w:rFonts w:eastAsia="Times New Roman"/>
          <w:kern w:val="0"/>
          <w:lang w:val="zh-CN"/>
        </w:rPr>
        <w:t>9</w:t>
      </w:r>
      <w:r>
        <w:rPr>
          <w:rFonts w:hint="eastAsia" w:ascii="宋体" w:hAnsi="宋体" w:cs="宋体"/>
          <w:kern w:val="0"/>
          <w:lang w:val="zh-CN"/>
        </w:rPr>
        <w:t>月）收到。截止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日，公司已收到刘培岗支付的股权转让款共计</w:t>
      </w:r>
      <w:r>
        <w:rPr>
          <w:rFonts w:eastAsia="Times New Roman"/>
          <w:kern w:val="0"/>
          <w:lang w:val="zh-CN"/>
        </w:rPr>
        <w:t>1,134</w:t>
      </w:r>
      <w:r>
        <w:rPr>
          <w:rFonts w:hint="eastAsia" w:ascii="宋体" w:hAnsi="宋体" w:cs="宋体"/>
          <w:kern w:val="0"/>
          <w:lang w:val="zh-CN"/>
        </w:rPr>
        <w:t>万元，剩余</w:t>
      </w:r>
      <w:r>
        <w:rPr>
          <w:rFonts w:eastAsia="Times New Roman"/>
          <w:kern w:val="0"/>
          <w:lang w:val="zh-CN"/>
        </w:rPr>
        <w:t>2,646.00</w:t>
      </w:r>
      <w:r>
        <w:rPr>
          <w:rFonts w:hint="eastAsia" w:ascii="宋体" w:hAnsi="宋体" w:cs="宋体"/>
          <w:kern w:val="0"/>
          <w:lang w:val="zh-CN"/>
        </w:rPr>
        <w:t>万元尚未收到，截止</w:t>
      </w:r>
      <w:r>
        <w:rPr>
          <w:rFonts w:eastAsia="Times New Roman"/>
          <w:kern w:val="0"/>
          <w:lang w:val="zh-CN"/>
        </w:rPr>
        <w:t>2020</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2</w:t>
      </w:r>
      <w:r>
        <w:rPr>
          <w:rFonts w:eastAsiaTheme="minorEastAsia"/>
          <w:kern w:val="0"/>
          <w:lang w:val="zh-CN"/>
        </w:rPr>
        <w:t>7</w:t>
      </w:r>
      <w:r>
        <w:rPr>
          <w:rFonts w:hint="eastAsia" w:ascii="宋体" w:hAnsi="宋体" w:cs="宋体"/>
          <w:kern w:val="0"/>
          <w:lang w:val="zh-CN"/>
        </w:rPr>
        <w:t>日，公司已收到刘培岗支付的股权转让款共计</w:t>
      </w:r>
      <w:r>
        <w:rPr>
          <w:rFonts w:eastAsia="Times New Roman"/>
          <w:kern w:val="0"/>
          <w:lang w:val="zh-CN"/>
        </w:rPr>
        <w:t>2,268</w:t>
      </w:r>
      <w:r>
        <w:rPr>
          <w:rFonts w:hint="eastAsia" w:ascii="宋体" w:hAnsi="宋体" w:cs="宋体"/>
          <w:kern w:val="0"/>
          <w:lang w:val="zh-CN"/>
        </w:rPr>
        <w:t>万元，剩余</w:t>
      </w:r>
      <w:r>
        <w:rPr>
          <w:rFonts w:eastAsia="Times New Roman"/>
          <w:kern w:val="0"/>
          <w:lang w:val="zh-CN"/>
        </w:rPr>
        <w:t>1,512.00</w:t>
      </w:r>
      <w:r>
        <w:rPr>
          <w:rFonts w:hint="eastAsia" w:ascii="宋体" w:hAnsi="宋体" w:cs="宋体"/>
          <w:kern w:val="0"/>
          <w:lang w:val="zh-CN"/>
        </w:rPr>
        <w:t>万元股权转让款尚未收到。</w:t>
      </w:r>
    </w:p>
    <w:p>
      <w:pPr>
        <w:autoSpaceDE w:val="0"/>
        <w:autoSpaceDN w:val="0"/>
        <w:adjustRightInd w:val="0"/>
        <w:spacing w:before="0" w:after="0"/>
        <w:ind w:firstLine="420"/>
        <w:rPr>
          <w:rFonts w:eastAsia="Times New Roman"/>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9</w:t>
      </w:r>
      <w:r>
        <w:rPr>
          <w:rFonts w:hint="eastAsia" w:ascii="宋体" w:hAnsi="宋体" w:cs="宋体"/>
          <w:kern w:val="0"/>
          <w:lang w:val="zh-CN"/>
        </w:rPr>
        <w:t>月</w:t>
      </w:r>
      <w:r>
        <w:rPr>
          <w:rFonts w:eastAsia="Times New Roman"/>
          <w:kern w:val="0"/>
          <w:lang w:val="zh-CN"/>
        </w:rPr>
        <w:t>10</w:t>
      </w:r>
      <w:r>
        <w:rPr>
          <w:rFonts w:hint="eastAsia" w:ascii="宋体" w:hAnsi="宋体" w:cs="宋体"/>
          <w:kern w:val="0"/>
          <w:lang w:val="zh-CN"/>
        </w:rPr>
        <w:t>日，重庆和盛医疗器械有限公司股东会审议通过利润分配的决议，分配利润</w:t>
      </w:r>
      <w:r>
        <w:rPr>
          <w:rFonts w:eastAsia="Times New Roman"/>
          <w:kern w:val="0"/>
          <w:lang w:val="zh-CN"/>
        </w:rPr>
        <w:t>8,700</w:t>
      </w:r>
      <w:r>
        <w:rPr>
          <w:rFonts w:hint="eastAsia" w:ascii="宋体" w:hAnsi="宋体" w:cs="宋体"/>
          <w:kern w:val="0"/>
          <w:lang w:val="zh-CN"/>
        </w:rPr>
        <w:t>万元，公司按持股比例</w:t>
      </w:r>
      <w:r>
        <w:rPr>
          <w:rFonts w:eastAsia="Times New Roman"/>
          <w:kern w:val="0"/>
          <w:lang w:val="zh-CN"/>
        </w:rPr>
        <w:t>51%</w:t>
      </w:r>
      <w:r>
        <w:rPr>
          <w:rFonts w:hint="eastAsia" w:ascii="宋体" w:hAnsi="宋体" w:cs="宋体"/>
          <w:kern w:val="0"/>
          <w:lang w:val="zh-CN"/>
        </w:rPr>
        <w:t>分得</w:t>
      </w:r>
      <w:r>
        <w:rPr>
          <w:rFonts w:eastAsia="Times New Roman"/>
          <w:kern w:val="0"/>
          <w:lang w:val="zh-CN"/>
        </w:rPr>
        <w:t>4,437</w:t>
      </w:r>
      <w:r>
        <w:rPr>
          <w:rFonts w:hint="eastAsia" w:ascii="宋体" w:hAnsi="宋体" w:cs="宋体"/>
          <w:kern w:val="0"/>
          <w:lang w:val="zh-CN"/>
        </w:rPr>
        <w:t>万元。《股权转让协议》及补充协议同时约定，该股利应于</w:t>
      </w:r>
      <w:r>
        <w:rPr>
          <w:rFonts w:eastAsia="Times New Roman"/>
          <w:kern w:val="0"/>
          <w:lang w:val="zh-CN"/>
        </w:rPr>
        <w:t>2019</w:t>
      </w:r>
      <w:r>
        <w:rPr>
          <w:rFonts w:hint="eastAsia" w:ascii="宋体" w:hAnsi="宋体" w:cs="宋体"/>
          <w:kern w:val="0"/>
          <w:lang w:val="zh-CN"/>
        </w:rPr>
        <w:t>年</w:t>
      </w:r>
      <w:r>
        <w:rPr>
          <w:rFonts w:eastAsia="Times New Roman"/>
          <w:kern w:val="0"/>
          <w:lang w:val="zh-CN"/>
        </w:rPr>
        <w:t>9</w:t>
      </w:r>
      <w:r>
        <w:rPr>
          <w:rFonts w:hint="eastAsia" w:ascii="宋体" w:hAnsi="宋体" w:cs="宋体"/>
          <w:kern w:val="0"/>
          <w:lang w:val="zh-CN"/>
        </w:rPr>
        <w:t>月起</w:t>
      </w:r>
      <w:r>
        <w:rPr>
          <w:rFonts w:eastAsia="Times New Roman"/>
          <w:kern w:val="0"/>
          <w:lang w:val="zh-CN"/>
        </w:rPr>
        <w:t>4</w:t>
      </w:r>
      <w:r>
        <w:rPr>
          <w:rFonts w:hint="eastAsia" w:ascii="宋体" w:hAnsi="宋体" w:cs="宋体"/>
          <w:kern w:val="0"/>
          <w:lang w:val="zh-CN"/>
        </w:rPr>
        <w:t>年内完成现金分红的发放，且每年发放金额不低于</w:t>
      </w:r>
      <w:r>
        <w:rPr>
          <w:rFonts w:eastAsia="Times New Roman"/>
          <w:kern w:val="0"/>
          <w:lang w:val="zh-CN"/>
        </w:rPr>
        <w:t>2,000</w:t>
      </w:r>
      <w:r>
        <w:rPr>
          <w:rFonts w:hint="eastAsia" w:ascii="宋体" w:hAnsi="宋体" w:cs="宋体"/>
          <w:kern w:val="0"/>
          <w:lang w:val="zh-CN"/>
        </w:rPr>
        <w:t>万元（即本公司每年收到的股利不低于</w:t>
      </w:r>
      <w:r>
        <w:rPr>
          <w:rFonts w:eastAsia="Times New Roman"/>
          <w:kern w:val="0"/>
          <w:lang w:val="zh-CN"/>
        </w:rPr>
        <w:t>1,020</w:t>
      </w:r>
      <w:r>
        <w:rPr>
          <w:rFonts w:hint="eastAsia" w:ascii="宋体" w:hAnsi="宋体" w:cs="宋体"/>
          <w:kern w:val="0"/>
          <w:lang w:val="zh-CN"/>
        </w:rPr>
        <w:t>万元）。截止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日，公司尚未收到股利，截止</w:t>
      </w:r>
      <w:r>
        <w:rPr>
          <w:rFonts w:eastAsia="Times New Roman"/>
          <w:kern w:val="0"/>
          <w:lang w:val="zh-CN"/>
        </w:rPr>
        <w:t>2020</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2</w:t>
      </w:r>
      <w:r>
        <w:rPr>
          <w:rFonts w:eastAsiaTheme="minorEastAsia"/>
          <w:kern w:val="0"/>
          <w:lang w:val="zh-CN"/>
        </w:rPr>
        <w:t>7</w:t>
      </w:r>
      <w:r>
        <w:rPr>
          <w:rFonts w:hint="eastAsia" w:ascii="宋体" w:hAnsi="宋体" w:cs="宋体"/>
          <w:kern w:val="0"/>
          <w:lang w:val="zh-CN"/>
        </w:rPr>
        <w:t>日，公司尚未收到股利。</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该</w:t>
      </w:r>
      <w:r>
        <w:rPr>
          <w:rFonts w:eastAsia="Times New Roman"/>
          <w:kern w:val="0"/>
          <w:lang w:val="zh-CN"/>
        </w:rPr>
        <w:t>4,437</w:t>
      </w:r>
      <w:r>
        <w:rPr>
          <w:rFonts w:hint="eastAsia" w:ascii="宋体" w:hAnsi="宋体" w:cs="宋体"/>
          <w:kern w:val="0"/>
          <w:lang w:val="zh-CN"/>
        </w:rPr>
        <w:t>万元应收股利于</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日的现值金额为</w:t>
      </w:r>
      <w:r>
        <w:rPr>
          <w:rFonts w:eastAsia="Times New Roman"/>
          <w:kern w:val="0"/>
          <w:lang w:val="zh-CN"/>
        </w:rPr>
        <w:t>40,027,133.42</w:t>
      </w:r>
      <w:r>
        <w:rPr>
          <w:rFonts w:hint="eastAsia" w:ascii="宋体" w:hAnsi="宋体" w:cs="宋体"/>
          <w:kern w:val="0"/>
          <w:lang w:val="zh-CN"/>
        </w:rPr>
        <w:t>元，其中计入其他应收款</w:t>
      </w:r>
      <w:r>
        <w:rPr>
          <w:rFonts w:eastAsia="Times New Roman"/>
          <w:kern w:val="0"/>
          <w:lang w:val="zh-CN"/>
        </w:rPr>
        <w:t>-</w:t>
      </w:r>
      <w:r>
        <w:rPr>
          <w:rFonts w:hint="eastAsia" w:ascii="宋体" w:hAnsi="宋体" w:cs="宋体"/>
          <w:kern w:val="0"/>
          <w:lang w:val="zh-CN"/>
        </w:rPr>
        <w:t>应收股利金额为</w:t>
      </w:r>
      <w:r>
        <w:rPr>
          <w:rFonts w:eastAsia="Times New Roman"/>
          <w:kern w:val="0"/>
          <w:lang w:val="zh-CN"/>
        </w:rPr>
        <w:t>9,802,979.34</w:t>
      </w:r>
      <w:r>
        <w:rPr>
          <w:rFonts w:hint="eastAsia" w:ascii="宋体" w:hAnsi="宋体" w:cs="宋体"/>
          <w:kern w:val="0"/>
          <w:lang w:val="zh-CN"/>
        </w:rPr>
        <w:t>元，计入其他非流动资产金额为</w:t>
      </w:r>
      <w:r>
        <w:rPr>
          <w:rFonts w:eastAsia="Times New Roman"/>
          <w:kern w:val="0"/>
          <w:lang w:val="zh-CN"/>
        </w:rPr>
        <w:t>30,224,154.08</w:t>
      </w:r>
      <w:r>
        <w:rPr>
          <w:rFonts w:hint="eastAsia" w:ascii="宋体" w:hAnsi="宋体" w:cs="宋体"/>
          <w:kern w:val="0"/>
          <w:lang w:val="zh-CN"/>
        </w:rPr>
        <w:t>元。</w:t>
      </w:r>
    </w:p>
    <w:p>
      <w:pPr>
        <w:autoSpaceDE w:val="0"/>
        <w:autoSpaceDN w:val="0"/>
        <w:adjustRightInd w:val="0"/>
        <w:spacing w:before="0" w:after="0"/>
        <w:rPr>
          <w:rFonts w:eastAsia="Times New Roman"/>
          <w:kern w:val="0"/>
          <w:lang w:val="zh-CN"/>
        </w:rPr>
      </w:pPr>
      <w:r>
        <w:rPr>
          <w:rFonts w:hint="eastAsia" w:ascii="宋体" w:hAnsi="宋体" w:cs="宋体"/>
          <w:kern w:val="0"/>
          <w:lang w:val="zh-CN"/>
        </w:rPr>
        <w:t>（</w:t>
      </w:r>
      <w:r>
        <w:rPr>
          <w:rFonts w:eastAsia="Times New Roman"/>
          <w:kern w:val="0"/>
          <w:lang w:val="zh-CN"/>
        </w:rPr>
        <w:t>7</w:t>
      </w:r>
      <w:r>
        <w:rPr>
          <w:rFonts w:hint="eastAsia" w:ascii="宋体" w:hAnsi="宋体" w:cs="宋体"/>
          <w:kern w:val="0"/>
          <w:lang w:val="zh-CN"/>
        </w:rPr>
        <w:t>）美康生物科技（舟山）有限公司股权转让事项：</w:t>
      </w:r>
    </w:p>
    <w:p>
      <w:pPr>
        <w:autoSpaceDE w:val="0"/>
        <w:autoSpaceDN w:val="0"/>
        <w:adjustRightInd w:val="0"/>
        <w:ind w:firstLine="420"/>
        <w:rPr>
          <w:rFonts w:eastAsia="Times New Roman"/>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9</w:t>
      </w:r>
      <w:r>
        <w:rPr>
          <w:rFonts w:hint="eastAsia" w:ascii="宋体" w:hAnsi="宋体" w:cs="宋体"/>
          <w:kern w:val="0"/>
          <w:lang w:val="zh-CN"/>
        </w:rPr>
        <w:t>月</w:t>
      </w:r>
      <w:r>
        <w:rPr>
          <w:rFonts w:eastAsia="Times New Roman"/>
          <w:kern w:val="0"/>
          <w:lang w:val="zh-CN"/>
        </w:rPr>
        <w:t>10</w:t>
      </w:r>
      <w:r>
        <w:rPr>
          <w:rFonts w:hint="eastAsia" w:ascii="宋体" w:hAnsi="宋体" w:cs="宋体"/>
          <w:kern w:val="0"/>
          <w:lang w:val="zh-CN"/>
        </w:rPr>
        <w:t>日，公司与余颖娜签署了《股权转让协议》及补充协议，公司将所持有的美康生物科技（舟山）有限公司</w:t>
      </w:r>
      <w:r>
        <w:rPr>
          <w:rFonts w:eastAsia="Times New Roman"/>
          <w:kern w:val="0"/>
          <w:lang w:val="zh-CN"/>
        </w:rPr>
        <w:t>71%</w:t>
      </w:r>
      <w:r>
        <w:rPr>
          <w:rFonts w:hint="eastAsia" w:ascii="宋体" w:hAnsi="宋体" w:cs="宋体"/>
          <w:kern w:val="0"/>
          <w:lang w:val="zh-CN"/>
        </w:rPr>
        <w:t>的股权作价人民币</w:t>
      </w:r>
      <w:r>
        <w:rPr>
          <w:rFonts w:eastAsia="Times New Roman"/>
          <w:kern w:val="0"/>
          <w:lang w:val="zh-CN"/>
        </w:rPr>
        <w:t>3,550.00</w:t>
      </w:r>
      <w:r>
        <w:rPr>
          <w:rFonts w:hint="eastAsia" w:ascii="宋体" w:hAnsi="宋体" w:cs="宋体"/>
          <w:kern w:val="0"/>
          <w:lang w:val="zh-CN"/>
        </w:rPr>
        <w:t>万元转让给余颖娜。股权转让完成后，公司将持有美康生物科技（舟山）有限公司</w:t>
      </w:r>
      <w:r>
        <w:rPr>
          <w:rFonts w:eastAsia="Times New Roman"/>
          <w:kern w:val="0"/>
          <w:lang w:val="zh-CN"/>
        </w:rPr>
        <w:t>29%</w:t>
      </w:r>
      <w:r>
        <w:rPr>
          <w:rFonts w:hint="eastAsia" w:ascii="宋体" w:hAnsi="宋体" w:cs="宋体"/>
          <w:kern w:val="0"/>
          <w:lang w:val="zh-CN"/>
        </w:rPr>
        <w:t>的股权，不再将其纳入合并范围，而是作为联营企业转为权益法核算。截止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日，公司已收到股权转让款</w:t>
      </w:r>
      <w:r>
        <w:rPr>
          <w:rFonts w:eastAsia="Times New Roman"/>
          <w:kern w:val="0"/>
          <w:lang w:val="zh-CN"/>
        </w:rPr>
        <w:t>3,550.00</w:t>
      </w:r>
      <w:r>
        <w:rPr>
          <w:rFonts w:hint="eastAsia" w:ascii="宋体" w:hAnsi="宋体" w:cs="宋体"/>
          <w:kern w:val="0"/>
          <w:lang w:val="zh-CN"/>
        </w:rPr>
        <w:t>万元。上述股权转让事项已于</w:t>
      </w:r>
      <w:r>
        <w:rPr>
          <w:rFonts w:eastAsia="Times New Roman"/>
          <w:kern w:val="0"/>
          <w:lang w:val="zh-CN"/>
        </w:rPr>
        <w:t>2019</w:t>
      </w:r>
      <w:r>
        <w:rPr>
          <w:rFonts w:hint="eastAsia" w:ascii="宋体" w:hAnsi="宋体" w:cs="宋体"/>
          <w:kern w:val="0"/>
          <w:lang w:val="zh-CN"/>
        </w:rPr>
        <w:t>年</w:t>
      </w:r>
      <w:r>
        <w:rPr>
          <w:rFonts w:eastAsia="Times New Roman"/>
          <w:kern w:val="0"/>
          <w:lang w:val="zh-CN"/>
        </w:rPr>
        <w:t>10</w:t>
      </w:r>
      <w:r>
        <w:rPr>
          <w:rFonts w:hint="eastAsia" w:ascii="宋体" w:hAnsi="宋体" w:cs="宋体"/>
          <w:kern w:val="0"/>
          <w:lang w:val="zh-CN"/>
        </w:rPr>
        <w:t>月</w:t>
      </w:r>
      <w:r>
        <w:rPr>
          <w:rFonts w:eastAsia="Times New Roman"/>
          <w:kern w:val="0"/>
          <w:lang w:val="zh-CN"/>
        </w:rPr>
        <w:t>18</w:t>
      </w:r>
      <w:r>
        <w:rPr>
          <w:rFonts w:hint="eastAsia" w:ascii="宋体" w:hAnsi="宋体" w:cs="宋体"/>
          <w:kern w:val="0"/>
          <w:lang w:val="zh-CN"/>
        </w:rPr>
        <w:t>日办妥工商变更手续。</w:t>
      </w:r>
    </w:p>
    <w:p>
      <w:pPr>
        <w:autoSpaceDE w:val="0"/>
        <w:autoSpaceDN w:val="0"/>
        <w:adjustRightInd w:val="0"/>
        <w:spacing w:before="0" w:after="0"/>
        <w:rPr>
          <w:rFonts w:eastAsia="Times New Roman"/>
          <w:b/>
          <w:kern w:val="0"/>
          <w:sz w:val="21"/>
          <w:lang w:val="zh-CN"/>
        </w:rPr>
      </w:pPr>
      <w:r>
        <w:rPr>
          <w:rFonts w:eastAsia="Times New Roman"/>
          <w:b/>
          <w:kern w:val="0"/>
          <w:sz w:val="21"/>
          <w:lang w:val="zh-CN"/>
        </w:rPr>
        <w:t>2</w:t>
      </w:r>
      <w:r>
        <w:rPr>
          <w:rFonts w:hint="eastAsia" w:ascii="宋体" w:hAnsi="宋体" w:cs="宋体"/>
          <w:b/>
          <w:kern w:val="0"/>
          <w:sz w:val="21"/>
          <w:lang w:val="zh-CN"/>
        </w:rPr>
        <w:t>、其他原因的合并范围变动</w:t>
      </w:r>
    </w:p>
    <w:p>
      <w:pPr>
        <w:autoSpaceDE w:val="0"/>
        <w:autoSpaceDN w:val="0"/>
        <w:adjustRightInd w:val="0"/>
        <w:spacing w:before="0" w:after="0"/>
        <w:rPr>
          <w:rFonts w:eastAsia="Times New Roman"/>
          <w:kern w:val="0"/>
          <w:lang w:val="zh-CN"/>
        </w:rPr>
      </w:pPr>
      <w:r>
        <w:rPr>
          <w:rFonts w:eastAsia="Times New Roman"/>
          <w:kern w:val="0"/>
          <w:lang w:val="zh-CN"/>
        </w:rPr>
        <w:t>1.</w:t>
      </w:r>
      <w:r>
        <w:rPr>
          <w:rFonts w:hint="eastAsia" w:ascii="宋体" w:hAnsi="宋体" w:cs="宋体"/>
          <w:kern w:val="0"/>
          <w:lang w:val="zh-CN"/>
        </w:rPr>
        <w:t>民权县美康盛德医学检验实验室有限公司</w:t>
      </w:r>
    </w:p>
    <w:p>
      <w:pPr>
        <w:autoSpaceDE w:val="0"/>
        <w:autoSpaceDN w:val="0"/>
        <w:adjustRightInd w:val="0"/>
        <w:spacing w:before="0" w:after="0"/>
        <w:ind w:firstLine="420"/>
        <w:rPr>
          <w:rFonts w:eastAsia="Times New Roman"/>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15</w:t>
      </w:r>
      <w:r>
        <w:rPr>
          <w:rFonts w:hint="eastAsia" w:ascii="宋体" w:hAnsi="宋体" w:cs="宋体"/>
          <w:kern w:val="0"/>
          <w:lang w:val="zh-CN"/>
        </w:rPr>
        <w:t>日，控股子公司永城医检所出资设立民权县美康盛德医学检验实验室有限公司，持有其股权</w:t>
      </w:r>
      <w:r>
        <w:rPr>
          <w:rFonts w:eastAsia="Times New Roman"/>
          <w:kern w:val="0"/>
          <w:lang w:val="zh-CN"/>
        </w:rPr>
        <w:t>100.00%</w:t>
      </w:r>
      <w:r>
        <w:rPr>
          <w:rFonts w:hint="eastAsia" w:ascii="宋体" w:hAnsi="宋体" w:cs="宋体"/>
          <w:kern w:val="0"/>
          <w:lang w:val="zh-CN"/>
        </w:rPr>
        <w:t>，故将其自成立之日起纳入合并范围。</w:t>
      </w:r>
    </w:p>
    <w:p>
      <w:pPr>
        <w:autoSpaceDE w:val="0"/>
        <w:autoSpaceDN w:val="0"/>
        <w:adjustRightInd w:val="0"/>
        <w:spacing w:before="0" w:after="0"/>
        <w:rPr>
          <w:rFonts w:eastAsia="Times New Roman"/>
          <w:kern w:val="0"/>
          <w:lang w:val="zh-CN"/>
        </w:rPr>
      </w:pPr>
      <w:r>
        <w:rPr>
          <w:rFonts w:eastAsia="Times New Roman"/>
          <w:kern w:val="0"/>
          <w:lang w:val="zh-CN"/>
        </w:rPr>
        <w:t>2.</w:t>
      </w:r>
      <w:r>
        <w:rPr>
          <w:rFonts w:hint="eastAsia" w:ascii="宋体" w:hAnsi="宋体" w:cs="宋体"/>
          <w:kern w:val="0"/>
          <w:lang w:val="zh-CN"/>
        </w:rPr>
        <w:t>宁波盛德倚天生物技术有限公司</w:t>
      </w:r>
    </w:p>
    <w:p>
      <w:pPr>
        <w:autoSpaceDE w:val="0"/>
        <w:autoSpaceDN w:val="0"/>
        <w:adjustRightInd w:val="0"/>
        <w:spacing w:before="0" w:after="0"/>
        <w:ind w:firstLine="420"/>
        <w:rPr>
          <w:rFonts w:eastAsia="Times New Roman"/>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28</w:t>
      </w:r>
      <w:r>
        <w:rPr>
          <w:rFonts w:hint="eastAsia" w:ascii="宋体" w:hAnsi="宋体" w:cs="宋体"/>
          <w:kern w:val="0"/>
          <w:lang w:val="zh-CN"/>
        </w:rPr>
        <w:t>日，全资子公司杭州倚天出资设立宁波盛德倚天生物技术有限公司，持有其股权</w:t>
      </w:r>
      <w:r>
        <w:rPr>
          <w:rFonts w:eastAsia="Times New Roman"/>
          <w:kern w:val="0"/>
          <w:lang w:val="zh-CN"/>
        </w:rPr>
        <w:t>100.00%</w:t>
      </w:r>
      <w:r>
        <w:rPr>
          <w:rFonts w:hint="eastAsia" w:ascii="宋体" w:hAnsi="宋体" w:cs="宋体"/>
          <w:kern w:val="0"/>
          <w:lang w:val="zh-CN"/>
        </w:rPr>
        <w:t>，故将其自成立之日起纳入合并范围。</w:t>
      </w:r>
    </w:p>
    <w:p>
      <w:pPr>
        <w:autoSpaceDE w:val="0"/>
        <w:autoSpaceDN w:val="0"/>
        <w:adjustRightInd w:val="0"/>
        <w:spacing w:before="0" w:after="0"/>
        <w:rPr>
          <w:rFonts w:eastAsia="Times New Roman"/>
          <w:kern w:val="0"/>
          <w:lang w:val="zh-CN"/>
        </w:rPr>
      </w:pPr>
      <w:r>
        <w:rPr>
          <w:rFonts w:eastAsia="Times New Roman"/>
          <w:kern w:val="0"/>
          <w:lang w:val="zh-CN"/>
        </w:rPr>
        <w:t>3.</w:t>
      </w:r>
      <w:r>
        <w:rPr>
          <w:rFonts w:hint="eastAsia" w:ascii="宋体" w:hAnsi="宋体" w:cs="宋体"/>
          <w:kern w:val="0"/>
          <w:lang w:val="zh-CN"/>
        </w:rPr>
        <w:t>美康盛达生物科技泰州有限公司</w:t>
      </w:r>
    </w:p>
    <w:p>
      <w:pPr>
        <w:autoSpaceDE w:val="0"/>
        <w:autoSpaceDN w:val="0"/>
        <w:adjustRightInd w:val="0"/>
        <w:spacing w:before="0" w:after="0"/>
        <w:ind w:firstLine="420"/>
        <w:rPr>
          <w:rFonts w:eastAsia="Times New Roman"/>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7</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日，公司办妥美康盛达生物科技泰州有限公司的工商注销手续，故自其注销之日起不再纳入合并范围。</w:t>
      </w:r>
    </w:p>
    <w:p>
      <w:pPr>
        <w:autoSpaceDE w:val="0"/>
        <w:autoSpaceDN w:val="0"/>
        <w:adjustRightInd w:val="0"/>
        <w:spacing w:before="0" w:after="0"/>
        <w:rPr>
          <w:rFonts w:eastAsia="Times New Roman"/>
          <w:kern w:val="0"/>
          <w:lang w:val="zh-CN"/>
        </w:rPr>
      </w:pPr>
      <w:r>
        <w:rPr>
          <w:rFonts w:eastAsia="Times New Roman"/>
          <w:kern w:val="0"/>
          <w:lang w:val="zh-CN"/>
        </w:rPr>
        <w:t>4.</w:t>
      </w:r>
      <w:r>
        <w:rPr>
          <w:rFonts w:hint="eastAsia" w:ascii="宋体" w:hAnsi="宋体" w:cs="宋体"/>
          <w:kern w:val="0"/>
          <w:lang w:val="zh-CN"/>
        </w:rPr>
        <w:t>江西广盛源医疗科技有限公司</w:t>
      </w:r>
    </w:p>
    <w:p>
      <w:pPr>
        <w:autoSpaceDE w:val="0"/>
        <w:autoSpaceDN w:val="0"/>
        <w:adjustRightInd w:val="0"/>
        <w:spacing w:before="0" w:after="0"/>
        <w:ind w:firstLine="420"/>
        <w:rPr>
          <w:rFonts w:eastAsia="Times New Roman"/>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11</w:t>
      </w:r>
      <w:r>
        <w:rPr>
          <w:rFonts w:hint="eastAsia" w:ascii="宋体" w:hAnsi="宋体" w:cs="宋体"/>
          <w:kern w:val="0"/>
          <w:lang w:val="zh-CN"/>
        </w:rPr>
        <w:t>月</w:t>
      </w:r>
      <w:r>
        <w:rPr>
          <w:rFonts w:eastAsia="Times New Roman"/>
          <w:kern w:val="0"/>
          <w:lang w:val="zh-CN"/>
        </w:rPr>
        <w:t>18</w:t>
      </w:r>
      <w:r>
        <w:rPr>
          <w:rFonts w:hint="eastAsia" w:ascii="宋体" w:hAnsi="宋体" w:cs="宋体"/>
          <w:kern w:val="0"/>
          <w:lang w:val="zh-CN"/>
        </w:rPr>
        <w:t>日，公司办妥江西广盛源医疗科技有限公司的工商注销手续，故自其注销之日起不再纳入合并范围。</w:t>
      </w:r>
    </w:p>
    <w:p>
      <w:pPr>
        <w:autoSpaceDE w:val="0"/>
        <w:autoSpaceDN w:val="0"/>
        <w:adjustRightInd w:val="0"/>
        <w:spacing w:before="0" w:after="0"/>
        <w:rPr>
          <w:rFonts w:eastAsia="Times New Roman"/>
          <w:kern w:val="0"/>
          <w:lang w:val="zh-CN"/>
        </w:rPr>
      </w:pPr>
      <w:r>
        <w:rPr>
          <w:rFonts w:eastAsia="Times New Roman"/>
          <w:kern w:val="0"/>
          <w:lang w:val="zh-CN"/>
        </w:rPr>
        <w:t>5.</w:t>
      </w:r>
      <w:r>
        <w:rPr>
          <w:rFonts w:hint="eastAsia" w:ascii="宋体" w:hAnsi="宋体" w:cs="宋体"/>
          <w:kern w:val="0"/>
          <w:lang w:val="zh-CN"/>
        </w:rPr>
        <w:t>美康盛医生物科技泰州有限公司</w:t>
      </w:r>
    </w:p>
    <w:p>
      <w:pPr>
        <w:autoSpaceDE w:val="0"/>
        <w:autoSpaceDN w:val="0"/>
        <w:adjustRightInd w:val="0"/>
        <w:spacing w:before="0" w:after="0"/>
        <w:ind w:firstLine="420"/>
        <w:rPr>
          <w:rFonts w:eastAsia="Times New Roman"/>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7</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日，公司办妥美康盛医生物科技泰州有限公司的工商注销手续，故自其注销之日起不再纳入合并范围。</w:t>
      </w:r>
    </w:p>
    <w:p>
      <w:pPr>
        <w:pStyle w:val="13"/>
        <w:outlineLvl w:val="1"/>
        <w:rPr>
          <w:bCs w:val="0"/>
        </w:rPr>
      </w:pPr>
      <w:r>
        <w:rPr>
          <w:rFonts w:hint="eastAsia"/>
          <w:bCs w:val="0"/>
        </w:rPr>
        <w:t>八、聘任、解聘会计师事务所情况</w:t>
      </w:r>
    </w:p>
    <w:p>
      <w:pPr>
        <w:jc w:val="left"/>
        <w:rPr>
          <w:szCs w:val="24"/>
        </w:rPr>
      </w:pPr>
      <w:r>
        <w:rPr>
          <w:rFonts w:hint="eastAsia"/>
          <w:szCs w:val="24"/>
        </w:rPr>
        <w:t>现聘任的会计事务所</w:t>
      </w:r>
    </w:p>
    <w:tbl>
      <w:tblPr>
        <w:tblStyle w:val="9"/>
        <w:tblW w:w="0" w:type="auto"/>
        <w:tblInd w:w="28" w:type="dxa"/>
        <w:tblLayout w:type="fixed"/>
        <w:tblCellMar>
          <w:top w:w="0" w:type="dxa"/>
          <w:left w:w="28" w:type="dxa"/>
          <w:bottom w:w="0" w:type="dxa"/>
          <w:right w:w="28" w:type="dxa"/>
        </w:tblCellMar>
      </w:tblPr>
      <w:tblGrid>
        <w:gridCol w:w="4791"/>
        <w:gridCol w:w="4777"/>
      </w:tblGrid>
      <w:tr>
        <w:tc>
          <w:tcPr>
            <w:tcW w:w="479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境内会计师事务所名称</w:t>
            </w:r>
          </w:p>
        </w:tc>
        <w:tc>
          <w:tcPr>
            <w:tcW w:w="4777"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立信会计师事务所（特殊普通合伙）</w:t>
            </w:r>
          </w:p>
        </w:tc>
      </w:tr>
      <w:tr>
        <w:tc>
          <w:tcPr>
            <w:tcW w:w="479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境内会计师事务所报酬（万元）</w:t>
            </w:r>
          </w:p>
        </w:tc>
        <w:tc>
          <w:tcPr>
            <w:tcW w:w="47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200</w:t>
            </w:r>
          </w:p>
        </w:tc>
      </w:tr>
      <w:tr>
        <w:tc>
          <w:tcPr>
            <w:tcW w:w="479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境内会计师事务所审计服务的连续年限</w:t>
            </w:r>
          </w:p>
        </w:tc>
        <w:tc>
          <w:tcPr>
            <w:tcW w:w="47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8</w:t>
            </w:r>
          </w:p>
        </w:tc>
      </w:tr>
      <w:tr>
        <w:tc>
          <w:tcPr>
            <w:tcW w:w="479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境内会计师事务所注册会计师姓名</w:t>
            </w:r>
          </w:p>
        </w:tc>
        <w:tc>
          <w:tcPr>
            <w:tcW w:w="47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李勇平、陈云艳、李静程</w:t>
            </w:r>
          </w:p>
        </w:tc>
      </w:tr>
      <w:tr>
        <w:tc>
          <w:tcPr>
            <w:tcW w:w="479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境内会计师事务所注册会计师审计服务的连续年限</w:t>
            </w:r>
          </w:p>
        </w:tc>
        <w:tc>
          <w:tcPr>
            <w:tcW w:w="47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w:t>
            </w:r>
          </w:p>
        </w:tc>
      </w:tr>
    </w:tbl>
    <w:p>
      <w:pPr>
        <w:jc w:val="left"/>
        <w:rPr>
          <w:szCs w:val="24"/>
        </w:rPr>
      </w:pPr>
      <w:r>
        <w:rPr>
          <w:rFonts w:hint="eastAsia"/>
          <w:szCs w:val="24"/>
        </w:rPr>
        <w:t>是否改聘会计师事务所</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jc w:val="left"/>
        <w:rPr>
          <w:szCs w:val="24"/>
        </w:rPr>
      </w:pPr>
      <w:r>
        <w:rPr>
          <w:rFonts w:hint="eastAsia"/>
          <w:szCs w:val="24"/>
        </w:rPr>
        <w:t>聘请内部控制审计会计师事务所、财务顾问或保荐人情况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3"/>
        <w:outlineLvl w:val="1"/>
        <w:rPr>
          <w:bCs w:val="0"/>
        </w:rPr>
      </w:pPr>
      <w:r>
        <w:rPr>
          <w:rFonts w:hint="eastAsia"/>
          <w:bCs w:val="0"/>
        </w:rPr>
        <w:t>九、年度报告披露后面临暂停上市和终止上市情况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3"/>
        <w:outlineLvl w:val="1"/>
        <w:rPr>
          <w:bCs w:val="0"/>
        </w:rPr>
      </w:pPr>
      <w:r>
        <w:rPr>
          <w:rFonts w:hint="eastAsia"/>
          <w:bCs w:val="0"/>
        </w:rPr>
        <w:t>十、破产重整相关事项</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公司报告期未发生破产重整相关事项。</w:t>
      </w:r>
    </w:p>
    <w:p>
      <w:pPr>
        <w:pStyle w:val="13"/>
        <w:outlineLvl w:val="1"/>
        <w:rPr>
          <w:bCs w:val="0"/>
        </w:rPr>
      </w:pPr>
      <w:r>
        <w:rPr>
          <w:rFonts w:hint="eastAsia"/>
          <w:bCs w:val="0"/>
        </w:rPr>
        <w:t>十一、重大诉讼、仲裁事项</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tbl>
      <w:tblPr>
        <w:tblStyle w:val="9"/>
        <w:tblW w:w="0" w:type="auto"/>
        <w:tblInd w:w="28" w:type="dxa"/>
        <w:tblLayout w:type="fixed"/>
        <w:tblCellMar>
          <w:top w:w="0" w:type="dxa"/>
          <w:left w:w="28" w:type="dxa"/>
          <w:bottom w:w="0" w:type="dxa"/>
          <w:right w:w="28" w:type="dxa"/>
        </w:tblCellMar>
      </w:tblPr>
      <w:tblGrid>
        <w:gridCol w:w="1451"/>
        <w:gridCol w:w="1086"/>
        <w:gridCol w:w="1265"/>
        <w:gridCol w:w="953"/>
        <w:gridCol w:w="1393"/>
        <w:gridCol w:w="1265"/>
        <w:gridCol w:w="1080"/>
        <w:gridCol w:w="1077"/>
      </w:tblGrid>
      <w:tr>
        <w:tc>
          <w:tcPr>
            <w:tcW w:w="145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诉讼</w:t>
            </w:r>
            <w:r>
              <w:rPr>
                <w:szCs w:val="24"/>
              </w:rPr>
              <w:t>(</w:t>
            </w:r>
            <w:r>
              <w:rPr>
                <w:rFonts w:hint="eastAsia"/>
                <w:szCs w:val="24"/>
              </w:rPr>
              <w:t>仲裁</w:t>
            </w:r>
            <w:r>
              <w:rPr>
                <w:szCs w:val="24"/>
              </w:rPr>
              <w:t>)</w:t>
            </w:r>
            <w:r>
              <w:rPr>
                <w:rFonts w:hint="eastAsia"/>
                <w:szCs w:val="24"/>
              </w:rPr>
              <w:t>基本情况</w:t>
            </w:r>
          </w:p>
        </w:tc>
        <w:tc>
          <w:tcPr>
            <w:tcW w:w="108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涉案金额（万元）</w:t>
            </w:r>
          </w:p>
        </w:tc>
        <w:tc>
          <w:tcPr>
            <w:tcW w:w="126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是否形成预计负债</w:t>
            </w:r>
          </w:p>
        </w:tc>
        <w:tc>
          <w:tcPr>
            <w:tcW w:w="9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诉讼</w:t>
            </w:r>
            <w:r>
              <w:rPr>
                <w:szCs w:val="24"/>
              </w:rPr>
              <w:t>(</w:t>
            </w:r>
            <w:r>
              <w:rPr>
                <w:rFonts w:hint="eastAsia"/>
                <w:szCs w:val="24"/>
              </w:rPr>
              <w:t>仲裁</w:t>
            </w:r>
            <w:r>
              <w:rPr>
                <w:szCs w:val="24"/>
              </w:rPr>
              <w:t>)</w:t>
            </w:r>
            <w:r>
              <w:rPr>
                <w:rFonts w:hint="eastAsia"/>
                <w:szCs w:val="24"/>
              </w:rPr>
              <w:t>进展</w:t>
            </w:r>
          </w:p>
        </w:tc>
        <w:tc>
          <w:tcPr>
            <w:tcW w:w="13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诉讼</w:t>
            </w:r>
            <w:r>
              <w:rPr>
                <w:szCs w:val="24"/>
              </w:rPr>
              <w:t>(</w:t>
            </w:r>
            <w:r>
              <w:rPr>
                <w:rFonts w:hint="eastAsia"/>
                <w:szCs w:val="24"/>
              </w:rPr>
              <w:t>仲裁</w:t>
            </w:r>
            <w:r>
              <w:rPr>
                <w:szCs w:val="24"/>
              </w:rPr>
              <w:t>)</w:t>
            </w:r>
            <w:r>
              <w:rPr>
                <w:rFonts w:hint="eastAsia"/>
                <w:szCs w:val="24"/>
              </w:rPr>
              <w:t>审理结果及影响</w:t>
            </w:r>
          </w:p>
        </w:tc>
        <w:tc>
          <w:tcPr>
            <w:tcW w:w="126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诉讼</w:t>
            </w:r>
            <w:r>
              <w:rPr>
                <w:szCs w:val="24"/>
              </w:rPr>
              <w:t>(</w:t>
            </w:r>
            <w:r>
              <w:rPr>
                <w:rFonts w:hint="eastAsia"/>
                <w:szCs w:val="24"/>
              </w:rPr>
              <w:t>仲裁</w:t>
            </w:r>
            <w:r>
              <w:rPr>
                <w:szCs w:val="24"/>
              </w:rPr>
              <w:t>)</w:t>
            </w:r>
            <w:r>
              <w:rPr>
                <w:rFonts w:hint="eastAsia"/>
                <w:szCs w:val="24"/>
              </w:rPr>
              <w:t>判决执行情况</w:t>
            </w:r>
          </w:p>
        </w:tc>
        <w:tc>
          <w:tcPr>
            <w:tcW w:w="1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披露日期</w:t>
            </w:r>
          </w:p>
        </w:tc>
        <w:tc>
          <w:tcPr>
            <w:tcW w:w="107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披露索引</w:t>
            </w:r>
          </w:p>
        </w:tc>
      </w:tr>
      <w:tr>
        <w:tc>
          <w:tcPr>
            <w:tcW w:w="14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w:t>
            </w:r>
            <w:r>
              <w:rPr>
                <w:szCs w:val="24"/>
              </w:rPr>
              <w:t>9</w:t>
            </w:r>
            <w:r>
              <w:rPr>
                <w:rFonts w:hint="eastAsia"/>
                <w:szCs w:val="24"/>
              </w:rPr>
              <w:t>月</w:t>
            </w:r>
            <w:r>
              <w:rPr>
                <w:szCs w:val="24"/>
              </w:rPr>
              <w:t>13</w:t>
            </w:r>
            <w:r>
              <w:rPr>
                <w:rFonts w:hint="eastAsia"/>
                <w:szCs w:val="24"/>
              </w:rPr>
              <w:t>日，美康生物科技股份有限公司（以下简称</w:t>
            </w:r>
            <w:r>
              <w:rPr>
                <w:szCs w:val="24"/>
              </w:rPr>
              <w:t>“</w:t>
            </w:r>
            <w:r>
              <w:rPr>
                <w:rFonts w:hint="eastAsia"/>
                <w:szCs w:val="24"/>
              </w:rPr>
              <w:t>公司</w:t>
            </w:r>
            <w:r>
              <w:rPr>
                <w:szCs w:val="24"/>
              </w:rPr>
              <w:t>”</w:t>
            </w:r>
            <w:r>
              <w:rPr>
                <w:rFonts w:hint="eastAsia"/>
                <w:szCs w:val="24"/>
              </w:rPr>
              <w:t>或</w:t>
            </w:r>
            <w:r>
              <w:rPr>
                <w:szCs w:val="24"/>
              </w:rPr>
              <w:t>“</w:t>
            </w:r>
            <w:r>
              <w:rPr>
                <w:rFonts w:hint="eastAsia"/>
                <w:szCs w:val="24"/>
              </w:rPr>
              <w:t>申请人</w:t>
            </w:r>
            <w:r>
              <w:rPr>
                <w:szCs w:val="24"/>
              </w:rPr>
              <w:t>”</w:t>
            </w:r>
            <w:r>
              <w:rPr>
                <w:rFonts w:hint="eastAsia"/>
                <w:szCs w:val="24"/>
              </w:rPr>
              <w:t>）向中国国际经济贸易仲裁委员会上海分会提出仲裁申请并寄送《仲裁申请书》，请求裁决嘉祥共创（厦门）生物科技有限公司（以下简称</w:t>
            </w:r>
            <w:r>
              <w:rPr>
                <w:szCs w:val="24"/>
              </w:rPr>
              <w:t>“</w:t>
            </w:r>
            <w:r>
              <w:rPr>
                <w:rFonts w:hint="eastAsia"/>
                <w:szCs w:val="24"/>
              </w:rPr>
              <w:t>被申请人一</w:t>
            </w:r>
            <w:r>
              <w:rPr>
                <w:szCs w:val="24"/>
              </w:rPr>
              <w:t>”</w:t>
            </w:r>
            <w:r>
              <w:rPr>
                <w:rFonts w:hint="eastAsia"/>
                <w:szCs w:val="24"/>
              </w:rPr>
              <w:t>）向申请人支付股权转让款</w:t>
            </w:r>
            <w:r>
              <w:rPr>
                <w:szCs w:val="24"/>
              </w:rPr>
              <w:t>3970</w:t>
            </w:r>
            <w:r>
              <w:rPr>
                <w:rFonts w:hint="eastAsia"/>
                <w:szCs w:val="24"/>
              </w:rPr>
              <w:t>万元、违约金</w:t>
            </w:r>
            <w:r>
              <w:rPr>
                <w:szCs w:val="24"/>
              </w:rPr>
              <w:t>1000</w:t>
            </w:r>
            <w:r>
              <w:rPr>
                <w:rFonts w:hint="eastAsia"/>
                <w:szCs w:val="24"/>
              </w:rPr>
              <w:t>万元以及支付至款项付清日止的利息损失并承担该案件的律师费。</w:t>
            </w:r>
            <w:r>
              <w:rPr>
                <w:szCs w:val="24"/>
              </w:rPr>
              <w:t>2018</w:t>
            </w:r>
            <w:r>
              <w:rPr>
                <w:rFonts w:hint="eastAsia"/>
                <w:szCs w:val="24"/>
              </w:rPr>
              <w:t>年</w:t>
            </w:r>
            <w:r>
              <w:rPr>
                <w:szCs w:val="24"/>
              </w:rPr>
              <w:t>10</w:t>
            </w:r>
            <w:r>
              <w:rPr>
                <w:rFonts w:hint="eastAsia"/>
                <w:szCs w:val="24"/>
              </w:rPr>
              <w:t>月</w:t>
            </w:r>
            <w:r>
              <w:rPr>
                <w:szCs w:val="24"/>
              </w:rPr>
              <w:t>14</w:t>
            </w:r>
            <w:r>
              <w:rPr>
                <w:rFonts w:hint="eastAsia"/>
                <w:szCs w:val="24"/>
              </w:rPr>
              <w:t>日，公司收到中国国际经济贸易仲裁委员会上海分会出具的《</w:t>
            </w:r>
            <w:r>
              <w:rPr>
                <w:szCs w:val="24"/>
              </w:rPr>
              <w:t>SHS20180337</w:t>
            </w:r>
            <w:r>
              <w:rPr>
                <w:rFonts w:hint="eastAsia"/>
                <w:szCs w:val="24"/>
              </w:rPr>
              <w:t>号股权转让协议争议案仲裁通知》。</w:t>
            </w:r>
            <w:r>
              <w:rPr>
                <w:szCs w:val="24"/>
              </w:rPr>
              <w:t xml:space="preserve">                                 2018</w:t>
            </w:r>
            <w:r>
              <w:rPr>
                <w:rFonts w:hint="eastAsia"/>
                <w:szCs w:val="24"/>
              </w:rPr>
              <w:t>年</w:t>
            </w:r>
            <w:r>
              <w:rPr>
                <w:szCs w:val="24"/>
              </w:rPr>
              <w:t>12</w:t>
            </w:r>
            <w:r>
              <w:rPr>
                <w:rFonts w:hint="eastAsia"/>
                <w:szCs w:val="24"/>
              </w:rPr>
              <w:t>月</w:t>
            </w:r>
            <w:r>
              <w:rPr>
                <w:szCs w:val="24"/>
              </w:rPr>
              <w:t>6</w:t>
            </w:r>
            <w:r>
              <w:rPr>
                <w:rFonts w:hint="eastAsia"/>
                <w:szCs w:val="24"/>
              </w:rPr>
              <w:t>日，公司收到中国国际经济贸易仲裁委员会上海分会发出的《</w:t>
            </w:r>
            <w:r>
              <w:rPr>
                <w:szCs w:val="24"/>
              </w:rPr>
              <w:t>SHS20180337</w:t>
            </w:r>
            <w:r>
              <w:rPr>
                <w:rFonts w:hint="eastAsia"/>
                <w:szCs w:val="24"/>
              </w:rPr>
              <w:t>号股权转让协议争议案开庭通知》（【</w:t>
            </w:r>
            <w:r>
              <w:rPr>
                <w:szCs w:val="24"/>
              </w:rPr>
              <w:t>2018</w:t>
            </w:r>
            <w:r>
              <w:rPr>
                <w:rFonts w:hint="eastAsia"/>
                <w:szCs w:val="24"/>
              </w:rPr>
              <w:t>】中国贸仲京（沪）字第</w:t>
            </w:r>
            <w:r>
              <w:rPr>
                <w:szCs w:val="24"/>
              </w:rPr>
              <w:t>025302</w:t>
            </w:r>
            <w:r>
              <w:rPr>
                <w:rFonts w:hint="eastAsia"/>
                <w:szCs w:val="24"/>
              </w:rPr>
              <w:t>号）和《</w:t>
            </w:r>
            <w:r>
              <w:rPr>
                <w:szCs w:val="24"/>
              </w:rPr>
              <w:t>SHS20180337</w:t>
            </w:r>
            <w:r>
              <w:rPr>
                <w:rFonts w:hint="eastAsia"/>
                <w:szCs w:val="24"/>
              </w:rPr>
              <w:t>号股权转让协议争议案组庭通知》（【</w:t>
            </w:r>
            <w:r>
              <w:rPr>
                <w:szCs w:val="24"/>
              </w:rPr>
              <w:t>2018</w:t>
            </w:r>
            <w:r>
              <w:rPr>
                <w:rFonts w:hint="eastAsia"/>
                <w:szCs w:val="24"/>
              </w:rPr>
              <w:t>】中国贸仲京（沪）字第</w:t>
            </w:r>
            <w:r>
              <w:rPr>
                <w:szCs w:val="24"/>
              </w:rPr>
              <w:t>025296</w:t>
            </w:r>
            <w:r>
              <w:rPr>
                <w:rFonts w:hint="eastAsia"/>
                <w:szCs w:val="24"/>
              </w:rPr>
              <w:t>号），仲裁庭商本会仲裁院决定</w:t>
            </w:r>
            <w:r>
              <w:rPr>
                <w:szCs w:val="24"/>
              </w:rPr>
              <w:t>2019</w:t>
            </w:r>
            <w:r>
              <w:rPr>
                <w:rFonts w:hint="eastAsia"/>
                <w:szCs w:val="24"/>
              </w:rPr>
              <w:t>年</w:t>
            </w:r>
            <w:r>
              <w:rPr>
                <w:szCs w:val="24"/>
              </w:rPr>
              <w:t>1</w:t>
            </w:r>
            <w:r>
              <w:rPr>
                <w:rFonts w:hint="eastAsia"/>
                <w:szCs w:val="24"/>
              </w:rPr>
              <w:t>月</w:t>
            </w:r>
            <w:r>
              <w:rPr>
                <w:szCs w:val="24"/>
              </w:rPr>
              <w:t>8</w:t>
            </w:r>
            <w:r>
              <w:rPr>
                <w:rFonts w:hint="eastAsia"/>
                <w:szCs w:val="24"/>
              </w:rPr>
              <w:t>日于上海分会开庭室开庭审理本案。</w:t>
            </w:r>
          </w:p>
        </w:tc>
        <w:tc>
          <w:tcPr>
            <w:tcW w:w="10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3,870</w:t>
            </w:r>
          </w:p>
        </w:tc>
        <w:tc>
          <w:tcPr>
            <w:tcW w:w="12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c>
          <w:tcPr>
            <w:tcW w:w="9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w:t>
            </w:r>
            <w:r>
              <w:rPr>
                <w:rFonts w:hint="eastAsia"/>
                <w:szCs w:val="24"/>
              </w:rPr>
              <w:t>月</w:t>
            </w:r>
            <w:r>
              <w:rPr>
                <w:szCs w:val="24"/>
              </w:rPr>
              <w:t>31</w:t>
            </w:r>
            <w:r>
              <w:rPr>
                <w:rFonts w:hint="eastAsia"/>
                <w:szCs w:val="24"/>
              </w:rPr>
              <w:t>日，公司收到了中国国际经济贸易仲裁委员会出具的《调解书》【</w:t>
            </w:r>
            <w:r>
              <w:rPr>
                <w:szCs w:val="24"/>
              </w:rPr>
              <w:t>2019</w:t>
            </w:r>
            <w:r>
              <w:rPr>
                <w:rFonts w:hint="eastAsia"/>
                <w:szCs w:val="24"/>
              </w:rPr>
              <w:t>】中国贸仲京（沪）裁字第</w:t>
            </w:r>
            <w:r>
              <w:rPr>
                <w:szCs w:val="24"/>
              </w:rPr>
              <w:t>0034</w:t>
            </w:r>
            <w:r>
              <w:rPr>
                <w:rFonts w:hint="eastAsia"/>
                <w:szCs w:val="24"/>
              </w:rPr>
              <w:t>号，要求第一被申请人付清所有应付款项、费用、违约金、利息等并要求姚铭锋（以下简称</w:t>
            </w:r>
            <w:r>
              <w:rPr>
                <w:szCs w:val="24"/>
              </w:rPr>
              <w:t>“</w:t>
            </w:r>
            <w:r>
              <w:rPr>
                <w:rFonts w:hint="eastAsia"/>
                <w:szCs w:val="24"/>
              </w:rPr>
              <w:t>第二被申请人</w:t>
            </w:r>
            <w:r>
              <w:rPr>
                <w:szCs w:val="24"/>
              </w:rPr>
              <w:t>”</w:t>
            </w:r>
            <w:r>
              <w:rPr>
                <w:rFonts w:hint="eastAsia"/>
                <w:szCs w:val="24"/>
              </w:rPr>
              <w:t>）、福建美康泰普医疗科技有限公司（以下简称</w:t>
            </w:r>
            <w:r>
              <w:rPr>
                <w:szCs w:val="24"/>
              </w:rPr>
              <w:t>“</w:t>
            </w:r>
            <w:r>
              <w:rPr>
                <w:rFonts w:hint="eastAsia"/>
                <w:szCs w:val="24"/>
              </w:rPr>
              <w:t>第三被申请人</w:t>
            </w:r>
            <w:r>
              <w:rPr>
                <w:szCs w:val="24"/>
              </w:rPr>
              <w:t>”</w:t>
            </w:r>
            <w:r>
              <w:rPr>
                <w:rFonts w:hint="eastAsia"/>
                <w:szCs w:val="24"/>
              </w:rPr>
              <w:t>）承担相应的连带责任。</w:t>
            </w:r>
          </w:p>
        </w:tc>
        <w:tc>
          <w:tcPr>
            <w:tcW w:w="1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w:t>
            </w:r>
            <w:r>
              <w:rPr>
                <w:rFonts w:hint="eastAsia"/>
                <w:szCs w:val="24"/>
              </w:rPr>
              <w:t>月</w:t>
            </w:r>
            <w:r>
              <w:rPr>
                <w:szCs w:val="24"/>
              </w:rPr>
              <w:t>31</w:t>
            </w:r>
            <w:r>
              <w:rPr>
                <w:rFonts w:hint="eastAsia"/>
                <w:szCs w:val="24"/>
              </w:rPr>
              <w:t>日，公司收到了中国国际经济贸易仲裁委员会出具的《调解书》【</w:t>
            </w:r>
            <w:r>
              <w:rPr>
                <w:szCs w:val="24"/>
              </w:rPr>
              <w:t>2019</w:t>
            </w:r>
            <w:r>
              <w:rPr>
                <w:rFonts w:hint="eastAsia"/>
                <w:szCs w:val="24"/>
              </w:rPr>
              <w:t>】中国贸仲京（沪）裁字第</w:t>
            </w:r>
            <w:r>
              <w:rPr>
                <w:szCs w:val="24"/>
              </w:rPr>
              <w:t>0034</w:t>
            </w:r>
            <w:r>
              <w:rPr>
                <w:rFonts w:hint="eastAsia"/>
                <w:szCs w:val="24"/>
              </w:rPr>
              <w:t>号，要求第一被申请人在</w:t>
            </w:r>
            <w:r>
              <w:rPr>
                <w:szCs w:val="24"/>
              </w:rPr>
              <w:t>2019</w:t>
            </w:r>
            <w:r>
              <w:rPr>
                <w:rFonts w:hint="eastAsia"/>
                <w:szCs w:val="24"/>
              </w:rPr>
              <w:t>年</w:t>
            </w:r>
            <w:r>
              <w:rPr>
                <w:szCs w:val="24"/>
              </w:rPr>
              <w:t>5</w:t>
            </w:r>
            <w:r>
              <w:rPr>
                <w:rFonts w:hint="eastAsia"/>
                <w:szCs w:val="24"/>
              </w:rPr>
              <w:t>月</w:t>
            </w:r>
            <w:r>
              <w:rPr>
                <w:szCs w:val="24"/>
              </w:rPr>
              <w:t>31</w:t>
            </w:r>
            <w:r>
              <w:rPr>
                <w:rFonts w:hint="eastAsia"/>
                <w:szCs w:val="24"/>
              </w:rPr>
              <w:t>日前向公司付清所有应付款项。仲裁委对本案的主要调解结果如下：（一）申请人与被申请人于</w:t>
            </w:r>
            <w:r>
              <w:rPr>
                <w:szCs w:val="24"/>
              </w:rPr>
              <w:t>2019</w:t>
            </w:r>
            <w:r>
              <w:rPr>
                <w:rFonts w:hint="eastAsia"/>
                <w:szCs w:val="24"/>
              </w:rPr>
              <w:t>年</w:t>
            </w:r>
            <w:r>
              <w:rPr>
                <w:szCs w:val="24"/>
              </w:rPr>
              <w:t>1</w:t>
            </w:r>
            <w:r>
              <w:rPr>
                <w:rFonts w:hint="eastAsia"/>
                <w:szCs w:val="24"/>
              </w:rPr>
              <w:t>月</w:t>
            </w:r>
            <w:r>
              <w:rPr>
                <w:szCs w:val="24"/>
              </w:rPr>
              <w:t>3</w:t>
            </w:r>
            <w:r>
              <w:rPr>
                <w:rFonts w:hint="eastAsia"/>
                <w:szCs w:val="24"/>
              </w:rPr>
              <w:t>日签订并于</w:t>
            </w:r>
            <w:r>
              <w:rPr>
                <w:szCs w:val="24"/>
              </w:rPr>
              <w:t>2019</w:t>
            </w:r>
            <w:r>
              <w:rPr>
                <w:rFonts w:hint="eastAsia"/>
                <w:szCs w:val="24"/>
              </w:rPr>
              <w:t>年</w:t>
            </w:r>
            <w:r>
              <w:rPr>
                <w:szCs w:val="24"/>
              </w:rPr>
              <w:t>1</w:t>
            </w:r>
            <w:r>
              <w:rPr>
                <w:rFonts w:hint="eastAsia"/>
                <w:szCs w:val="24"/>
              </w:rPr>
              <w:t>月</w:t>
            </w:r>
            <w:r>
              <w:rPr>
                <w:szCs w:val="24"/>
              </w:rPr>
              <w:t>8</w:t>
            </w:r>
            <w:r>
              <w:rPr>
                <w:rFonts w:hint="eastAsia"/>
                <w:szCs w:val="24"/>
              </w:rPr>
              <w:t>日确认的《调解协议》合法有效，双方均应遵照执行；（二）第一被申请人向申请人支付股权转让款人民币</w:t>
            </w:r>
            <w:r>
              <w:rPr>
                <w:szCs w:val="24"/>
              </w:rPr>
              <w:t>3,970</w:t>
            </w:r>
            <w:r>
              <w:rPr>
                <w:rFonts w:hint="eastAsia"/>
                <w:szCs w:val="24"/>
              </w:rPr>
              <w:t>万元和暂计算至</w:t>
            </w:r>
            <w:r>
              <w:rPr>
                <w:szCs w:val="24"/>
              </w:rPr>
              <w:t>2018</w:t>
            </w:r>
            <w:r>
              <w:rPr>
                <w:rFonts w:hint="eastAsia"/>
                <w:szCs w:val="24"/>
              </w:rPr>
              <w:t>年</w:t>
            </w:r>
            <w:r>
              <w:rPr>
                <w:szCs w:val="24"/>
              </w:rPr>
              <w:t>12</w:t>
            </w:r>
            <w:r>
              <w:rPr>
                <w:rFonts w:hint="eastAsia"/>
                <w:szCs w:val="24"/>
              </w:rPr>
              <w:t>月</w:t>
            </w:r>
            <w:r>
              <w:rPr>
                <w:szCs w:val="24"/>
              </w:rPr>
              <w:t>31</w:t>
            </w:r>
            <w:r>
              <w:rPr>
                <w:rFonts w:hint="eastAsia"/>
                <w:szCs w:val="24"/>
              </w:rPr>
              <w:t>日的利息损失人民币</w:t>
            </w:r>
            <w:r>
              <w:rPr>
                <w:szCs w:val="24"/>
              </w:rPr>
              <w:t>301.733</w:t>
            </w:r>
            <w:r>
              <w:rPr>
                <w:rFonts w:hint="eastAsia"/>
                <w:szCs w:val="24"/>
              </w:rPr>
              <w:t>万元；支付以人民币</w:t>
            </w:r>
            <w:r>
              <w:rPr>
                <w:szCs w:val="24"/>
              </w:rPr>
              <w:t>3,970</w:t>
            </w:r>
            <w:r>
              <w:rPr>
                <w:rFonts w:hint="eastAsia"/>
                <w:szCs w:val="24"/>
              </w:rPr>
              <w:t>万元为本金、按年利率</w:t>
            </w:r>
            <w:r>
              <w:rPr>
                <w:szCs w:val="24"/>
              </w:rPr>
              <w:t>5.5%</w:t>
            </w:r>
            <w:r>
              <w:rPr>
                <w:rFonts w:hint="eastAsia"/>
                <w:szCs w:val="24"/>
              </w:rPr>
              <w:t>的标准、自</w:t>
            </w:r>
            <w:r>
              <w:rPr>
                <w:szCs w:val="24"/>
              </w:rPr>
              <w:t>2019</w:t>
            </w:r>
            <w:r>
              <w:rPr>
                <w:rFonts w:hint="eastAsia"/>
                <w:szCs w:val="24"/>
              </w:rPr>
              <w:t>年</w:t>
            </w:r>
            <w:r>
              <w:rPr>
                <w:szCs w:val="24"/>
              </w:rPr>
              <w:t>1</w:t>
            </w:r>
            <w:r>
              <w:rPr>
                <w:rFonts w:hint="eastAsia"/>
                <w:szCs w:val="24"/>
              </w:rPr>
              <w:t>月</w:t>
            </w:r>
            <w:r>
              <w:rPr>
                <w:szCs w:val="24"/>
              </w:rPr>
              <w:t>1</w:t>
            </w:r>
            <w:r>
              <w:rPr>
                <w:rFonts w:hint="eastAsia"/>
                <w:szCs w:val="24"/>
              </w:rPr>
              <w:t>日起算至款项付清日止的利息损失；并支付本案仲裁费人民币</w:t>
            </w:r>
            <w:r>
              <w:rPr>
                <w:szCs w:val="24"/>
              </w:rPr>
              <w:t>68.447</w:t>
            </w:r>
            <w:r>
              <w:rPr>
                <w:rFonts w:hint="eastAsia"/>
                <w:szCs w:val="24"/>
              </w:rPr>
              <w:t>万元和申请人律师费人民币</w:t>
            </w:r>
            <w:r>
              <w:rPr>
                <w:szCs w:val="24"/>
              </w:rPr>
              <w:t>60</w:t>
            </w:r>
            <w:r>
              <w:rPr>
                <w:rFonts w:hint="eastAsia"/>
                <w:szCs w:val="24"/>
              </w:rPr>
              <w:t>万元。（三）若第一被申请人未能在</w:t>
            </w:r>
            <w:r>
              <w:rPr>
                <w:szCs w:val="24"/>
              </w:rPr>
              <w:t>2019</w:t>
            </w:r>
            <w:r>
              <w:rPr>
                <w:rFonts w:hint="eastAsia"/>
                <w:szCs w:val="24"/>
              </w:rPr>
              <w:t>年</w:t>
            </w:r>
            <w:r>
              <w:rPr>
                <w:szCs w:val="24"/>
              </w:rPr>
              <w:t>5</w:t>
            </w:r>
            <w:r>
              <w:rPr>
                <w:rFonts w:hint="eastAsia"/>
                <w:szCs w:val="24"/>
              </w:rPr>
              <w:t>月</w:t>
            </w:r>
            <w:r>
              <w:rPr>
                <w:szCs w:val="24"/>
              </w:rPr>
              <w:t>31</w:t>
            </w:r>
            <w:r>
              <w:rPr>
                <w:rFonts w:hint="eastAsia"/>
                <w:szCs w:val="24"/>
              </w:rPr>
              <w:t>日前付清所有应付款项，则第一被申请人应向申请人支付股权转让款人民币</w:t>
            </w:r>
            <w:r>
              <w:rPr>
                <w:szCs w:val="24"/>
              </w:rPr>
              <w:t>3,970</w:t>
            </w:r>
            <w:r>
              <w:rPr>
                <w:rFonts w:hint="eastAsia"/>
                <w:szCs w:val="24"/>
              </w:rPr>
              <w:t>万元、违约金人民币</w:t>
            </w:r>
            <w:r>
              <w:rPr>
                <w:szCs w:val="24"/>
              </w:rPr>
              <w:t>1,000</w:t>
            </w:r>
            <w:r>
              <w:rPr>
                <w:rFonts w:hint="eastAsia"/>
                <w:szCs w:val="24"/>
              </w:rPr>
              <w:t>万元和暂计算至</w:t>
            </w:r>
            <w:r>
              <w:rPr>
                <w:szCs w:val="24"/>
              </w:rPr>
              <w:t>2018</w:t>
            </w:r>
            <w:r>
              <w:rPr>
                <w:rFonts w:hint="eastAsia"/>
                <w:szCs w:val="24"/>
              </w:rPr>
              <w:t>年</w:t>
            </w:r>
            <w:r>
              <w:rPr>
                <w:szCs w:val="24"/>
              </w:rPr>
              <w:t>12</w:t>
            </w:r>
            <w:r>
              <w:rPr>
                <w:rFonts w:hint="eastAsia"/>
                <w:szCs w:val="24"/>
              </w:rPr>
              <w:t>月</w:t>
            </w:r>
            <w:r>
              <w:rPr>
                <w:szCs w:val="24"/>
              </w:rPr>
              <w:t>31</w:t>
            </w:r>
            <w:r>
              <w:rPr>
                <w:rFonts w:hint="eastAsia"/>
                <w:szCs w:val="24"/>
              </w:rPr>
              <w:t>日的利息损失人民币</w:t>
            </w:r>
            <w:r>
              <w:rPr>
                <w:szCs w:val="24"/>
              </w:rPr>
              <w:t>1,001.205</w:t>
            </w:r>
            <w:r>
              <w:rPr>
                <w:rFonts w:hint="eastAsia"/>
                <w:szCs w:val="24"/>
              </w:rPr>
              <w:t>万元；支付以人民币</w:t>
            </w:r>
            <w:r>
              <w:rPr>
                <w:szCs w:val="24"/>
              </w:rPr>
              <w:t>3,970</w:t>
            </w:r>
            <w:r>
              <w:rPr>
                <w:rFonts w:hint="eastAsia"/>
                <w:szCs w:val="24"/>
              </w:rPr>
              <w:t>万元为本金、并按每日万分之五的标准、自</w:t>
            </w:r>
            <w:r>
              <w:rPr>
                <w:szCs w:val="24"/>
              </w:rPr>
              <w:t>2019</w:t>
            </w:r>
            <w:r>
              <w:rPr>
                <w:rFonts w:hint="eastAsia"/>
                <w:szCs w:val="24"/>
              </w:rPr>
              <w:t>年</w:t>
            </w:r>
            <w:r>
              <w:rPr>
                <w:szCs w:val="24"/>
              </w:rPr>
              <w:t>1</w:t>
            </w:r>
            <w:r>
              <w:rPr>
                <w:rFonts w:hint="eastAsia"/>
                <w:szCs w:val="24"/>
              </w:rPr>
              <w:t>月</w:t>
            </w:r>
            <w:r>
              <w:rPr>
                <w:szCs w:val="24"/>
              </w:rPr>
              <w:t>1</w:t>
            </w:r>
            <w:r>
              <w:rPr>
                <w:rFonts w:hint="eastAsia"/>
                <w:szCs w:val="24"/>
              </w:rPr>
              <w:t>日起算至款项付清日止的利息损失；并支付本案仲裁费人民币</w:t>
            </w:r>
            <w:r>
              <w:rPr>
                <w:szCs w:val="24"/>
              </w:rPr>
              <w:t>68.447</w:t>
            </w:r>
            <w:r>
              <w:rPr>
                <w:rFonts w:hint="eastAsia"/>
                <w:szCs w:val="24"/>
              </w:rPr>
              <w:t>万元和申请人律师费人民币</w:t>
            </w:r>
            <w:r>
              <w:rPr>
                <w:szCs w:val="24"/>
              </w:rPr>
              <w:t>60</w:t>
            </w:r>
            <w:r>
              <w:rPr>
                <w:rFonts w:hint="eastAsia"/>
                <w:szCs w:val="24"/>
              </w:rPr>
              <w:t>万元。（四）姚铭锋、福建美康泰普医疗科技有限公司对上述裁决项下的第一被申请人应向申请人支付的款项承担连带责任。</w:t>
            </w:r>
          </w:p>
        </w:tc>
        <w:tc>
          <w:tcPr>
            <w:tcW w:w="12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截至本报告披露日，公司收到第一被申请人支付的第一期股权转让款本金</w:t>
            </w:r>
            <w:r>
              <w:rPr>
                <w:szCs w:val="24"/>
              </w:rPr>
              <w:t>100</w:t>
            </w:r>
            <w:r>
              <w:rPr>
                <w:rFonts w:hint="eastAsia"/>
                <w:szCs w:val="24"/>
              </w:rPr>
              <w:t>万元，《调解协议》中其余款项均未按期收回。</w:t>
            </w:r>
          </w:p>
        </w:tc>
        <w:tc>
          <w:tcPr>
            <w:tcW w:w="10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02</w:t>
            </w:r>
            <w:r>
              <w:rPr>
                <w:rFonts w:hint="eastAsia"/>
                <w:szCs w:val="24"/>
              </w:rPr>
              <w:t>月</w:t>
            </w:r>
            <w:r>
              <w:rPr>
                <w:szCs w:val="24"/>
              </w:rPr>
              <w:t>02</w:t>
            </w:r>
            <w:r>
              <w:rPr>
                <w:rFonts w:hint="eastAsia"/>
                <w:szCs w:val="24"/>
              </w:rPr>
              <w:t>日</w:t>
            </w:r>
          </w:p>
        </w:tc>
        <w:tc>
          <w:tcPr>
            <w:tcW w:w="10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详见公司刊登在巨潮资讯网（</w:t>
            </w:r>
            <w:r>
              <w:rPr>
                <w:szCs w:val="24"/>
              </w:rPr>
              <w:t>www.cninfo.com.cn</w:t>
            </w:r>
            <w:r>
              <w:rPr>
                <w:rFonts w:hint="eastAsia"/>
                <w:szCs w:val="24"/>
              </w:rPr>
              <w:t>）的《关于公司仲裁事项进展暨收到仲裁调解书的公告》（公告号</w:t>
            </w:r>
            <w:r>
              <w:rPr>
                <w:szCs w:val="24"/>
              </w:rPr>
              <w:t>2019-007</w:t>
            </w:r>
            <w:r>
              <w:rPr>
                <w:rFonts w:hint="eastAsia"/>
                <w:szCs w:val="24"/>
              </w:rPr>
              <w:t>）。</w:t>
            </w:r>
          </w:p>
        </w:tc>
      </w:tr>
      <w:tr>
        <w:tblPrEx>
          <w:tblCellMar>
            <w:top w:w="0" w:type="dxa"/>
            <w:left w:w="28" w:type="dxa"/>
            <w:bottom w:w="0" w:type="dxa"/>
            <w:right w:w="28" w:type="dxa"/>
          </w:tblCellMar>
        </w:tblPrEx>
        <w:tc>
          <w:tcPr>
            <w:tcW w:w="14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截止</w:t>
            </w:r>
            <w:r>
              <w:rPr>
                <w:szCs w:val="24"/>
              </w:rPr>
              <w:t>2019</w:t>
            </w:r>
            <w:r>
              <w:rPr>
                <w:rFonts w:hint="eastAsia"/>
                <w:szCs w:val="24"/>
              </w:rPr>
              <w:t>年</w:t>
            </w:r>
            <w:r>
              <w:rPr>
                <w:szCs w:val="24"/>
              </w:rPr>
              <w:t>5</w:t>
            </w:r>
            <w:r>
              <w:rPr>
                <w:rFonts w:hint="eastAsia"/>
                <w:szCs w:val="24"/>
              </w:rPr>
              <w:t>月</w:t>
            </w:r>
            <w:r>
              <w:rPr>
                <w:szCs w:val="24"/>
              </w:rPr>
              <w:t>31</w:t>
            </w:r>
            <w:r>
              <w:rPr>
                <w:rFonts w:hint="eastAsia"/>
                <w:szCs w:val="24"/>
              </w:rPr>
              <w:t>日，公司仅收到第一被申请人支付的第一期股权转让款本金</w:t>
            </w:r>
            <w:r>
              <w:rPr>
                <w:szCs w:val="24"/>
              </w:rPr>
              <w:t>100</w:t>
            </w:r>
            <w:r>
              <w:rPr>
                <w:rFonts w:hint="eastAsia"/>
                <w:szCs w:val="24"/>
              </w:rPr>
              <w:t>万元，其余款项均未按期收回。鉴于第一被申请人未如期按照《调解书》中的规定履行付款义务，公司在加大跟催力度的同时，向有管辖权的人民法院申请相关强制执行的措施以保护公司合法权益。</w:t>
            </w:r>
          </w:p>
        </w:tc>
        <w:tc>
          <w:tcPr>
            <w:tcW w:w="10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3,870</w:t>
            </w:r>
          </w:p>
        </w:tc>
        <w:tc>
          <w:tcPr>
            <w:tcW w:w="12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c>
          <w:tcPr>
            <w:tcW w:w="9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公司已于</w:t>
            </w:r>
            <w:r>
              <w:rPr>
                <w:szCs w:val="24"/>
              </w:rPr>
              <w:t>2019</w:t>
            </w:r>
            <w:r>
              <w:rPr>
                <w:rFonts w:hint="eastAsia"/>
                <w:szCs w:val="24"/>
              </w:rPr>
              <w:t>年</w:t>
            </w:r>
            <w:r>
              <w:rPr>
                <w:szCs w:val="24"/>
              </w:rPr>
              <w:t>6</w:t>
            </w:r>
            <w:r>
              <w:rPr>
                <w:rFonts w:hint="eastAsia"/>
                <w:szCs w:val="24"/>
              </w:rPr>
              <w:t>月</w:t>
            </w:r>
            <w:r>
              <w:rPr>
                <w:szCs w:val="24"/>
              </w:rPr>
              <w:t>26</w:t>
            </w:r>
            <w:r>
              <w:rPr>
                <w:rFonts w:hint="eastAsia"/>
                <w:szCs w:val="24"/>
              </w:rPr>
              <w:t>日就上述股权转让合同纠纷事项向福建省厦门市中级人民法院（以下简称</w:t>
            </w:r>
            <w:r>
              <w:rPr>
                <w:szCs w:val="24"/>
              </w:rPr>
              <w:t>“</w:t>
            </w:r>
            <w:r>
              <w:rPr>
                <w:rFonts w:hint="eastAsia"/>
                <w:szCs w:val="24"/>
              </w:rPr>
              <w:t>厦门中院</w:t>
            </w:r>
            <w:r>
              <w:rPr>
                <w:szCs w:val="24"/>
              </w:rPr>
              <w:t>”</w:t>
            </w:r>
            <w:r>
              <w:rPr>
                <w:rFonts w:hint="eastAsia"/>
                <w:szCs w:val="24"/>
              </w:rPr>
              <w:t>）申请强制执行，厦门中院已依法立案执行，并于</w:t>
            </w:r>
            <w:r>
              <w:rPr>
                <w:szCs w:val="24"/>
              </w:rPr>
              <w:t>2019</w:t>
            </w:r>
            <w:r>
              <w:rPr>
                <w:rFonts w:hint="eastAsia"/>
                <w:szCs w:val="24"/>
              </w:rPr>
              <w:t>年</w:t>
            </w:r>
            <w:r>
              <w:rPr>
                <w:szCs w:val="24"/>
              </w:rPr>
              <w:t>7</w:t>
            </w:r>
            <w:r>
              <w:rPr>
                <w:rFonts w:hint="eastAsia"/>
                <w:szCs w:val="24"/>
              </w:rPr>
              <w:t>月</w:t>
            </w:r>
            <w:r>
              <w:rPr>
                <w:szCs w:val="24"/>
              </w:rPr>
              <w:t>3</w:t>
            </w:r>
            <w:r>
              <w:rPr>
                <w:rFonts w:hint="eastAsia"/>
                <w:szCs w:val="24"/>
              </w:rPr>
              <w:t>日向公司出具了《受理执行案件通知书》《执行裁定书》《执行案件告知书》《提供被执行人财产状况通知书》。</w:t>
            </w:r>
          </w:p>
        </w:tc>
        <w:tc>
          <w:tcPr>
            <w:tcW w:w="1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厦门中院已依法立案执行，并于</w:t>
            </w:r>
            <w:r>
              <w:rPr>
                <w:szCs w:val="24"/>
              </w:rPr>
              <w:t>2019</w:t>
            </w:r>
            <w:r>
              <w:rPr>
                <w:rFonts w:hint="eastAsia"/>
                <w:szCs w:val="24"/>
              </w:rPr>
              <w:t>年</w:t>
            </w:r>
            <w:r>
              <w:rPr>
                <w:szCs w:val="24"/>
              </w:rPr>
              <w:t>7</w:t>
            </w:r>
            <w:r>
              <w:rPr>
                <w:rFonts w:hint="eastAsia"/>
                <w:szCs w:val="24"/>
              </w:rPr>
              <w:t>月</w:t>
            </w:r>
            <w:r>
              <w:rPr>
                <w:szCs w:val="24"/>
              </w:rPr>
              <w:t>3</w:t>
            </w:r>
            <w:r>
              <w:rPr>
                <w:rFonts w:hint="eastAsia"/>
                <w:szCs w:val="24"/>
              </w:rPr>
              <w:t>日向公司出具了《受理执行案件通知书》《执行裁定书》《执行案件告知书》《提供被执行人财产状况通知书》。根据《执行裁定书》的相关内容，最终裁定如下：冻结、划拨三被申请人所有的款项人民币</w:t>
            </w:r>
            <w:r>
              <w:rPr>
                <w:szCs w:val="24"/>
              </w:rPr>
              <w:t>63,330,000</w:t>
            </w:r>
            <w:r>
              <w:rPr>
                <w:rFonts w:hint="eastAsia"/>
                <w:szCs w:val="24"/>
              </w:rPr>
              <w:t>元，或查封、扣押、变卖被执行人相应的等值财产。</w:t>
            </w:r>
          </w:p>
        </w:tc>
        <w:tc>
          <w:tcPr>
            <w:tcW w:w="12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厦门中院执行中。截至本报告披露日，第二被申请人名下两套厂房已申请进入委托评估、拍卖程序。</w:t>
            </w:r>
          </w:p>
        </w:tc>
        <w:tc>
          <w:tcPr>
            <w:tcW w:w="10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07</w:t>
            </w:r>
            <w:r>
              <w:rPr>
                <w:rFonts w:hint="eastAsia"/>
                <w:szCs w:val="24"/>
              </w:rPr>
              <w:t>月</w:t>
            </w:r>
            <w:r>
              <w:rPr>
                <w:szCs w:val="24"/>
              </w:rPr>
              <w:t>09</w:t>
            </w:r>
            <w:r>
              <w:rPr>
                <w:rFonts w:hint="eastAsia"/>
                <w:szCs w:val="24"/>
              </w:rPr>
              <w:t>日</w:t>
            </w:r>
          </w:p>
        </w:tc>
        <w:tc>
          <w:tcPr>
            <w:tcW w:w="10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详见公司刊登在巨潮资讯网（</w:t>
            </w:r>
            <w:r>
              <w:rPr>
                <w:szCs w:val="24"/>
              </w:rPr>
              <w:t>www.cninfo.com.cn</w:t>
            </w:r>
            <w:r>
              <w:rPr>
                <w:rFonts w:hint="eastAsia"/>
                <w:szCs w:val="24"/>
              </w:rPr>
              <w:t>）的《关于公司仲裁事项进展暨收到《执行裁定书》的公告》（公告号</w:t>
            </w:r>
            <w:r>
              <w:rPr>
                <w:szCs w:val="24"/>
              </w:rPr>
              <w:t>2019-070</w:t>
            </w:r>
            <w:r>
              <w:rPr>
                <w:rFonts w:hint="eastAsia"/>
                <w:szCs w:val="24"/>
              </w:rPr>
              <w:t>）。</w:t>
            </w:r>
          </w:p>
        </w:tc>
      </w:tr>
      <w:tr>
        <w:tblPrEx>
          <w:tblCellMar>
            <w:top w:w="0" w:type="dxa"/>
            <w:left w:w="28" w:type="dxa"/>
            <w:bottom w:w="0" w:type="dxa"/>
            <w:right w:w="28" w:type="dxa"/>
          </w:tblCellMar>
        </w:tblPrEx>
        <w:tc>
          <w:tcPr>
            <w:tcW w:w="14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10</w:t>
            </w:r>
            <w:r>
              <w:rPr>
                <w:rFonts w:hint="eastAsia"/>
                <w:szCs w:val="24"/>
              </w:rPr>
              <w:t>月</w:t>
            </w:r>
            <w:r>
              <w:rPr>
                <w:szCs w:val="24"/>
              </w:rPr>
              <w:t>12</w:t>
            </w:r>
            <w:r>
              <w:rPr>
                <w:rFonts w:hint="eastAsia"/>
                <w:szCs w:val="24"/>
              </w:rPr>
              <w:t>日，公司向宁波市鄞州区人民法院就子公司武汉美康盛德科技有限公司相关原股东等人及其控制的公司未按协议约定履行义务等合同纠纷一案提起诉讼。</w:t>
            </w:r>
          </w:p>
        </w:tc>
        <w:tc>
          <w:tcPr>
            <w:tcW w:w="10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4,512.67</w:t>
            </w:r>
          </w:p>
        </w:tc>
        <w:tc>
          <w:tcPr>
            <w:tcW w:w="12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c>
          <w:tcPr>
            <w:tcW w:w="9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10</w:t>
            </w:r>
            <w:r>
              <w:rPr>
                <w:rFonts w:hint="eastAsia"/>
                <w:szCs w:val="24"/>
              </w:rPr>
              <w:t>月</w:t>
            </w:r>
            <w:r>
              <w:rPr>
                <w:szCs w:val="24"/>
              </w:rPr>
              <w:t>14</w:t>
            </w:r>
            <w:r>
              <w:rPr>
                <w:rFonts w:hint="eastAsia"/>
                <w:szCs w:val="24"/>
              </w:rPr>
              <w:t>日，公司收到宁波市鄞州区人民法院签发的《受理案件通知书（</w:t>
            </w:r>
            <w:r>
              <w:rPr>
                <w:szCs w:val="24"/>
              </w:rPr>
              <w:t>2019</w:t>
            </w:r>
            <w:r>
              <w:rPr>
                <w:rFonts w:hint="eastAsia"/>
                <w:szCs w:val="24"/>
              </w:rPr>
              <w:t>）浙</w:t>
            </w:r>
            <w:r>
              <w:rPr>
                <w:szCs w:val="24"/>
              </w:rPr>
              <w:t>0212</w:t>
            </w:r>
            <w:r>
              <w:rPr>
                <w:rFonts w:hint="eastAsia"/>
                <w:szCs w:val="24"/>
              </w:rPr>
              <w:t>民初</w:t>
            </w:r>
            <w:r>
              <w:rPr>
                <w:szCs w:val="24"/>
              </w:rPr>
              <w:t>14812</w:t>
            </w:r>
            <w:r>
              <w:rPr>
                <w:rFonts w:hint="eastAsia"/>
                <w:szCs w:val="24"/>
              </w:rPr>
              <w:t>号》《受理案件通知书（</w:t>
            </w:r>
            <w:r>
              <w:rPr>
                <w:szCs w:val="24"/>
              </w:rPr>
              <w:t>2019</w:t>
            </w:r>
            <w:r>
              <w:rPr>
                <w:rFonts w:hint="eastAsia"/>
                <w:szCs w:val="24"/>
              </w:rPr>
              <w:t>）浙</w:t>
            </w:r>
            <w:r>
              <w:rPr>
                <w:szCs w:val="24"/>
              </w:rPr>
              <w:t>0212</w:t>
            </w:r>
            <w:r>
              <w:rPr>
                <w:rFonts w:hint="eastAsia"/>
                <w:szCs w:val="24"/>
              </w:rPr>
              <w:t>民初</w:t>
            </w:r>
            <w:r>
              <w:rPr>
                <w:szCs w:val="24"/>
              </w:rPr>
              <w:t>14814</w:t>
            </w:r>
            <w:r>
              <w:rPr>
                <w:rFonts w:hint="eastAsia"/>
                <w:szCs w:val="24"/>
              </w:rPr>
              <w:t>号》，同意立案审理。</w:t>
            </w:r>
          </w:p>
        </w:tc>
        <w:tc>
          <w:tcPr>
            <w:tcW w:w="1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截至本报告披露日，本案已由宁波市鄞州区人民法院立案受理，尚未开庭审判，未有判决结果。</w:t>
            </w:r>
          </w:p>
        </w:tc>
        <w:tc>
          <w:tcPr>
            <w:tcW w:w="12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截至本报告披露日，本案已由宁波市鄞州区人民法院立案受理，尚未开庭审判，未有判决结果。</w:t>
            </w:r>
          </w:p>
        </w:tc>
        <w:tc>
          <w:tcPr>
            <w:tcW w:w="10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10</w:t>
            </w:r>
            <w:r>
              <w:rPr>
                <w:rFonts w:hint="eastAsia"/>
                <w:szCs w:val="24"/>
              </w:rPr>
              <w:t>月</w:t>
            </w:r>
            <w:r>
              <w:rPr>
                <w:szCs w:val="24"/>
              </w:rPr>
              <w:t>19</w:t>
            </w:r>
            <w:r>
              <w:rPr>
                <w:rFonts w:hint="eastAsia"/>
                <w:szCs w:val="24"/>
              </w:rPr>
              <w:t>日</w:t>
            </w:r>
          </w:p>
        </w:tc>
        <w:tc>
          <w:tcPr>
            <w:tcW w:w="10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详见公司刊登在巨潮资讯网（</w:t>
            </w:r>
            <w:r>
              <w:rPr>
                <w:szCs w:val="24"/>
              </w:rPr>
              <w:t>www.cninfo.com.cn</w:t>
            </w:r>
            <w:r>
              <w:rPr>
                <w:rFonts w:hint="eastAsia"/>
                <w:szCs w:val="24"/>
              </w:rPr>
              <w:t>）的《关于收到法院受理案件通知书的公告》的公告》（公告号</w:t>
            </w:r>
            <w:r>
              <w:rPr>
                <w:szCs w:val="24"/>
              </w:rPr>
              <w:t>2019-115</w:t>
            </w:r>
            <w:r>
              <w:rPr>
                <w:rFonts w:hint="eastAsia"/>
                <w:szCs w:val="24"/>
              </w:rPr>
              <w:t>）。</w:t>
            </w:r>
          </w:p>
        </w:tc>
      </w:tr>
      <w:tr>
        <w:tblPrEx>
          <w:tblCellMar>
            <w:top w:w="0" w:type="dxa"/>
            <w:left w:w="28" w:type="dxa"/>
            <w:bottom w:w="0" w:type="dxa"/>
            <w:right w:w="28" w:type="dxa"/>
          </w:tblCellMar>
        </w:tblPrEx>
        <w:tc>
          <w:tcPr>
            <w:tcW w:w="14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11</w:t>
            </w:r>
            <w:r>
              <w:rPr>
                <w:rFonts w:hint="eastAsia"/>
                <w:szCs w:val="24"/>
              </w:rPr>
              <w:t>月，公司向宁波市鄞州区人民法院就与杭州健立生物科技有限公司（以下简称</w:t>
            </w:r>
            <w:r>
              <w:rPr>
                <w:szCs w:val="24"/>
              </w:rPr>
              <w:t>“</w:t>
            </w:r>
            <w:r>
              <w:rPr>
                <w:rFonts w:hint="eastAsia"/>
                <w:szCs w:val="24"/>
              </w:rPr>
              <w:t>杭州健立</w:t>
            </w:r>
            <w:r>
              <w:rPr>
                <w:szCs w:val="24"/>
              </w:rPr>
              <w:t>”</w:t>
            </w:r>
            <w:r>
              <w:rPr>
                <w:rFonts w:hint="eastAsia"/>
                <w:szCs w:val="24"/>
              </w:rPr>
              <w:t>）关于买卖合同纠纷一案提起诉讼。</w:t>
            </w:r>
          </w:p>
        </w:tc>
        <w:tc>
          <w:tcPr>
            <w:tcW w:w="10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5,738.25</w:t>
            </w:r>
          </w:p>
        </w:tc>
        <w:tc>
          <w:tcPr>
            <w:tcW w:w="12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c>
          <w:tcPr>
            <w:tcW w:w="9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11</w:t>
            </w:r>
            <w:r>
              <w:rPr>
                <w:rFonts w:hint="eastAsia"/>
                <w:szCs w:val="24"/>
              </w:rPr>
              <w:t>月</w:t>
            </w:r>
            <w:r>
              <w:rPr>
                <w:szCs w:val="24"/>
              </w:rPr>
              <w:t>6</w:t>
            </w:r>
            <w:r>
              <w:rPr>
                <w:rFonts w:hint="eastAsia"/>
                <w:szCs w:val="24"/>
              </w:rPr>
              <w:t>日，公司收到了宁波市鄞州区人民法院签发的《受理案件通知书（</w:t>
            </w:r>
            <w:r>
              <w:rPr>
                <w:szCs w:val="24"/>
              </w:rPr>
              <w:t>2019</w:t>
            </w:r>
            <w:r>
              <w:rPr>
                <w:rFonts w:hint="eastAsia"/>
                <w:szCs w:val="24"/>
              </w:rPr>
              <w:t>）浙</w:t>
            </w:r>
            <w:r>
              <w:rPr>
                <w:szCs w:val="24"/>
              </w:rPr>
              <w:t>0212</w:t>
            </w:r>
            <w:r>
              <w:rPr>
                <w:rFonts w:hint="eastAsia"/>
                <w:szCs w:val="24"/>
              </w:rPr>
              <w:t>民初</w:t>
            </w:r>
            <w:r>
              <w:rPr>
                <w:szCs w:val="24"/>
              </w:rPr>
              <w:t>16009</w:t>
            </w:r>
            <w:r>
              <w:rPr>
                <w:rFonts w:hint="eastAsia"/>
                <w:szCs w:val="24"/>
              </w:rPr>
              <w:t>号》《受理案件通知书（</w:t>
            </w:r>
            <w:r>
              <w:rPr>
                <w:szCs w:val="24"/>
              </w:rPr>
              <w:t>2019</w:t>
            </w:r>
            <w:r>
              <w:rPr>
                <w:rFonts w:hint="eastAsia"/>
                <w:szCs w:val="24"/>
              </w:rPr>
              <w:t>）浙</w:t>
            </w:r>
            <w:r>
              <w:rPr>
                <w:szCs w:val="24"/>
              </w:rPr>
              <w:t>0212</w:t>
            </w:r>
            <w:r>
              <w:rPr>
                <w:rFonts w:hint="eastAsia"/>
                <w:szCs w:val="24"/>
              </w:rPr>
              <w:t>民初</w:t>
            </w:r>
            <w:r>
              <w:rPr>
                <w:szCs w:val="24"/>
              </w:rPr>
              <w:t>16010</w:t>
            </w:r>
            <w:r>
              <w:rPr>
                <w:rFonts w:hint="eastAsia"/>
                <w:szCs w:val="24"/>
              </w:rPr>
              <w:t>号》，同意立案审理。</w:t>
            </w:r>
          </w:p>
        </w:tc>
        <w:tc>
          <w:tcPr>
            <w:tcW w:w="1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宁波市鄞州区人民法院签发《受理案件通知书（</w:t>
            </w:r>
            <w:r>
              <w:rPr>
                <w:szCs w:val="24"/>
              </w:rPr>
              <w:t>2019</w:t>
            </w:r>
            <w:r>
              <w:rPr>
                <w:rFonts w:hint="eastAsia"/>
                <w:szCs w:val="24"/>
              </w:rPr>
              <w:t>）浙</w:t>
            </w:r>
            <w:r>
              <w:rPr>
                <w:szCs w:val="24"/>
              </w:rPr>
              <w:t>0212</w:t>
            </w:r>
            <w:r>
              <w:rPr>
                <w:rFonts w:hint="eastAsia"/>
                <w:szCs w:val="24"/>
              </w:rPr>
              <w:t>民初</w:t>
            </w:r>
            <w:r>
              <w:rPr>
                <w:szCs w:val="24"/>
              </w:rPr>
              <w:t>16009</w:t>
            </w:r>
            <w:r>
              <w:rPr>
                <w:rFonts w:hint="eastAsia"/>
                <w:szCs w:val="24"/>
              </w:rPr>
              <w:t>号》《受理案件通知书（</w:t>
            </w:r>
            <w:r>
              <w:rPr>
                <w:szCs w:val="24"/>
              </w:rPr>
              <w:t>2019</w:t>
            </w:r>
            <w:r>
              <w:rPr>
                <w:rFonts w:hint="eastAsia"/>
                <w:szCs w:val="24"/>
              </w:rPr>
              <w:t>）浙</w:t>
            </w:r>
            <w:r>
              <w:rPr>
                <w:szCs w:val="24"/>
              </w:rPr>
              <w:t>0212</w:t>
            </w:r>
            <w:r>
              <w:rPr>
                <w:rFonts w:hint="eastAsia"/>
                <w:szCs w:val="24"/>
              </w:rPr>
              <w:t>民初</w:t>
            </w:r>
            <w:r>
              <w:rPr>
                <w:szCs w:val="24"/>
              </w:rPr>
              <w:t>16010</w:t>
            </w:r>
            <w:r>
              <w:rPr>
                <w:rFonts w:hint="eastAsia"/>
                <w:szCs w:val="24"/>
              </w:rPr>
              <w:t>号》，同意立案审理。由于本案尚未开庭审理，该诉讼事项对公司本期利润或期后利润的影响尚存在不确定性。</w:t>
            </w:r>
          </w:p>
        </w:tc>
        <w:tc>
          <w:tcPr>
            <w:tcW w:w="12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w:t>
            </w:r>
          </w:p>
        </w:tc>
        <w:tc>
          <w:tcPr>
            <w:tcW w:w="10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11</w:t>
            </w:r>
            <w:r>
              <w:rPr>
                <w:rFonts w:hint="eastAsia"/>
                <w:szCs w:val="24"/>
              </w:rPr>
              <w:t>月</w:t>
            </w:r>
            <w:r>
              <w:rPr>
                <w:szCs w:val="24"/>
              </w:rPr>
              <w:t>09</w:t>
            </w:r>
            <w:r>
              <w:rPr>
                <w:rFonts w:hint="eastAsia"/>
                <w:szCs w:val="24"/>
              </w:rPr>
              <w:t>日</w:t>
            </w:r>
          </w:p>
        </w:tc>
        <w:tc>
          <w:tcPr>
            <w:tcW w:w="10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详见公司刊登在巨潮资讯网（</w:t>
            </w:r>
            <w:r>
              <w:rPr>
                <w:szCs w:val="24"/>
              </w:rPr>
              <w:t>www.cninfo.com.cn</w:t>
            </w:r>
            <w:r>
              <w:rPr>
                <w:rFonts w:hint="eastAsia"/>
                <w:szCs w:val="24"/>
              </w:rPr>
              <w:t>）的《关于收到法院受理案件通知书的公告》的公告》（公告号</w:t>
            </w:r>
            <w:r>
              <w:rPr>
                <w:szCs w:val="24"/>
              </w:rPr>
              <w:t>2019-124</w:t>
            </w:r>
            <w:r>
              <w:rPr>
                <w:rFonts w:hint="eastAsia"/>
                <w:szCs w:val="24"/>
              </w:rPr>
              <w:t>）。</w:t>
            </w:r>
          </w:p>
        </w:tc>
      </w:tr>
      <w:tr>
        <w:tblPrEx>
          <w:tblCellMar>
            <w:top w:w="0" w:type="dxa"/>
            <w:left w:w="28" w:type="dxa"/>
            <w:bottom w:w="0" w:type="dxa"/>
            <w:right w:w="28" w:type="dxa"/>
          </w:tblCellMar>
        </w:tblPrEx>
        <w:tc>
          <w:tcPr>
            <w:tcW w:w="14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11</w:t>
            </w:r>
            <w:r>
              <w:rPr>
                <w:rFonts w:hint="eastAsia"/>
                <w:szCs w:val="24"/>
              </w:rPr>
              <w:t>月</w:t>
            </w:r>
            <w:r>
              <w:rPr>
                <w:szCs w:val="24"/>
              </w:rPr>
              <w:t>12</w:t>
            </w:r>
            <w:r>
              <w:rPr>
                <w:rFonts w:hint="eastAsia"/>
                <w:szCs w:val="24"/>
              </w:rPr>
              <w:t>日，宁波市鄞州区人民法院组织公司与杭州健立对该案件进行了调解。</w:t>
            </w:r>
            <w:r>
              <w:rPr>
                <w:szCs w:val="24"/>
              </w:rPr>
              <w:t>2019</w:t>
            </w:r>
            <w:r>
              <w:rPr>
                <w:rFonts w:hint="eastAsia"/>
                <w:szCs w:val="24"/>
              </w:rPr>
              <w:t>年</w:t>
            </w:r>
            <w:r>
              <w:rPr>
                <w:szCs w:val="24"/>
              </w:rPr>
              <w:t>11</w:t>
            </w:r>
            <w:r>
              <w:rPr>
                <w:rFonts w:hint="eastAsia"/>
                <w:szCs w:val="24"/>
              </w:rPr>
              <w:t>月</w:t>
            </w:r>
            <w:r>
              <w:rPr>
                <w:szCs w:val="24"/>
              </w:rPr>
              <w:t>15</w:t>
            </w:r>
            <w:r>
              <w:rPr>
                <w:rFonts w:hint="eastAsia"/>
                <w:szCs w:val="24"/>
              </w:rPr>
              <w:t>日，公司收到宁波市鄞州区人民法院签发的《民事调解书（</w:t>
            </w:r>
            <w:r>
              <w:rPr>
                <w:szCs w:val="24"/>
              </w:rPr>
              <w:t>2019</w:t>
            </w:r>
            <w:r>
              <w:rPr>
                <w:rFonts w:hint="eastAsia"/>
                <w:szCs w:val="24"/>
              </w:rPr>
              <w:t>）浙</w:t>
            </w:r>
            <w:r>
              <w:rPr>
                <w:szCs w:val="24"/>
              </w:rPr>
              <w:t>0212</w:t>
            </w:r>
            <w:r>
              <w:rPr>
                <w:rFonts w:hint="eastAsia"/>
                <w:szCs w:val="24"/>
              </w:rPr>
              <w:t>民初</w:t>
            </w:r>
            <w:r>
              <w:rPr>
                <w:szCs w:val="24"/>
              </w:rPr>
              <w:t>16009</w:t>
            </w:r>
            <w:r>
              <w:rPr>
                <w:rFonts w:hint="eastAsia"/>
                <w:szCs w:val="24"/>
              </w:rPr>
              <w:t>号》《民事调解书（</w:t>
            </w:r>
            <w:r>
              <w:rPr>
                <w:szCs w:val="24"/>
              </w:rPr>
              <w:t>2019</w:t>
            </w:r>
            <w:r>
              <w:rPr>
                <w:rFonts w:hint="eastAsia"/>
                <w:szCs w:val="24"/>
              </w:rPr>
              <w:t>）浙</w:t>
            </w:r>
            <w:r>
              <w:rPr>
                <w:szCs w:val="24"/>
              </w:rPr>
              <w:t>0212</w:t>
            </w:r>
            <w:r>
              <w:rPr>
                <w:rFonts w:hint="eastAsia"/>
                <w:szCs w:val="24"/>
              </w:rPr>
              <w:t>民初</w:t>
            </w:r>
            <w:r>
              <w:rPr>
                <w:szCs w:val="24"/>
              </w:rPr>
              <w:t>16010</w:t>
            </w:r>
            <w:r>
              <w:rPr>
                <w:rFonts w:hint="eastAsia"/>
                <w:szCs w:val="24"/>
              </w:rPr>
              <w:t>号》（以下统称</w:t>
            </w:r>
            <w:r>
              <w:rPr>
                <w:szCs w:val="24"/>
              </w:rPr>
              <w:t>“</w:t>
            </w:r>
            <w:r>
              <w:rPr>
                <w:rFonts w:hint="eastAsia"/>
                <w:szCs w:val="24"/>
              </w:rPr>
              <w:t>《调解书》</w:t>
            </w:r>
            <w:r>
              <w:rPr>
                <w:szCs w:val="24"/>
              </w:rPr>
              <w:t>”</w:t>
            </w:r>
            <w:r>
              <w:rPr>
                <w:rFonts w:hint="eastAsia"/>
                <w:szCs w:val="24"/>
              </w:rPr>
              <w:t>）</w:t>
            </w:r>
          </w:p>
        </w:tc>
        <w:tc>
          <w:tcPr>
            <w:tcW w:w="10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5,738.25</w:t>
            </w:r>
          </w:p>
        </w:tc>
        <w:tc>
          <w:tcPr>
            <w:tcW w:w="12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c>
          <w:tcPr>
            <w:tcW w:w="95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鉴于杭州健立未如期按照《调解书》中的规定履行付款义务，</w:t>
            </w:r>
            <w:r>
              <w:rPr>
                <w:szCs w:val="24"/>
              </w:rPr>
              <w:t>2019</w:t>
            </w:r>
            <w:r>
              <w:rPr>
                <w:rFonts w:hint="eastAsia"/>
                <w:szCs w:val="24"/>
              </w:rPr>
              <w:t>年</w:t>
            </w:r>
            <w:r>
              <w:rPr>
                <w:szCs w:val="24"/>
              </w:rPr>
              <w:t>11</w:t>
            </w:r>
            <w:r>
              <w:rPr>
                <w:rFonts w:hint="eastAsia"/>
                <w:szCs w:val="24"/>
              </w:rPr>
              <w:t>月</w:t>
            </w:r>
            <w:r>
              <w:rPr>
                <w:szCs w:val="24"/>
              </w:rPr>
              <w:t>15</w:t>
            </w:r>
            <w:r>
              <w:rPr>
                <w:rFonts w:hint="eastAsia"/>
                <w:szCs w:val="24"/>
              </w:rPr>
              <w:t>日，经公司与杭州健立协商，就本次买卖合同纠纷达成和解并签署《债务清偿协议》。</w:t>
            </w:r>
          </w:p>
        </w:tc>
        <w:tc>
          <w:tcPr>
            <w:tcW w:w="1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如杭州健立未按《债务清偿协议》约定履行义务，公司有权根据（</w:t>
            </w:r>
            <w:r>
              <w:rPr>
                <w:szCs w:val="24"/>
              </w:rPr>
              <w:t>2019</w:t>
            </w:r>
            <w:r>
              <w:rPr>
                <w:rFonts w:hint="eastAsia"/>
                <w:szCs w:val="24"/>
              </w:rPr>
              <w:t>）浙</w:t>
            </w:r>
            <w:r>
              <w:rPr>
                <w:szCs w:val="24"/>
              </w:rPr>
              <w:t>0212</w:t>
            </w:r>
            <w:r>
              <w:rPr>
                <w:rFonts w:hint="eastAsia"/>
                <w:szCs w:val="24"/>
              </w:rPr>
              <w:t>民初</w:t>
            </w:r>
            <w:r>
              <w:rPr>
                <w:szCs w:val="24"/>
              </w:rPr>
              <w:t>16009</w:t>
            </w:r>
            <w:r>
              <w:rPr>
                <w:rFonts w:hint="eastAsia"/>
                <w:szCs w:val="24"/>
              </w:rPr>
              <w:t>民事调解书、（</w:t>
            </w:r>
            <w:r>
              <w:rPr>
                <w:szCs w:val="24"/>
              </w:rPr>
              <w:t>2019</w:t>
            </w:r>
            <w:r>
              <w:rPr>
                <w:rFonts w:hint="eastAsia"/>
                <w:szCs w:val="24"/>
              </w:rPr>
              <w:t>）浙</w:t>
            </w:r>
            <w:r>
              <w:rPr>
                <w:szCs w:val="24"/>
              </w:rPr>
              <w:t>0212</w:t>
            </w:r>
            <w:r>
              <w:rPr>
                <w:rFonts w:hint="eastAsia"/>
                <w:szCs w:val="24"/>
              </w:rPr>
              <w:t>民初</w:t>
            </w:r>
            <w:r>
              <w:rPr>
                <w:szCs w:val="24"/>
              </w:rPr>
              <w:t>16010</w:t>
            </w:r>
            <w:r>
              <w:rPr>
                <w:rFonts w:hint="eastAsia"/>
                <w:szCs w:val="24"/>
              </w:rPr>
              <w:t>民事调解书确定的权利义务向鄞州区人民法院继续申请强制执行。《债务清偿协议》的实施，不会对公司持续经营产生影响，也不会对公司财务及经营状况产生重大影响。</w:t>
            </w:r>
          </w:p>
        </w:tc>
        <w:tc>
          <w:tcPr>
            <w:tcW w:w="12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截至本报告披露日，杭州健立已按协议偿还债务并转移相关业务至公司。</w:t>
            </w:r>
          </w:p>
        </w:tc>
        <w:tc>
          <w:tcPr>
            <w:tcW w:w="10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11</w:t>
            </w:r>
            <w:r>
              <w:rPr>
                <w:rFonts w:hint="eastAsia"/>
                <w:szCs w:val="24"/>
              </w:rPr>
              <w:t>月</w:t>
            </w:r>
            <w:r>
              <w:rPr>
                <w:szCs w:val="24"/>
              </w:rPr>
              <w:t>19</w:t>
            </w:r>
            <w:r>
              <w:rPr>
                <w:rFonts w:hint="eastAsia"/>
                <w:szCs w:val="24"/>
              </w:rPr>
              <w:t>日</w:t>
            </w:r>
          </w:p>
        </w:tc>
        <w:tc>
          <w:tcPr>
            <w:tcW w:w="10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详见公司刊登在巨潮资讯网（</w:t>
            </w:r>
            <w:r>
              <w:rPr>
                <w:szCs w:val="24"/>
              </w:rPr>
              <w:t>www.cninfo.com.cn</w:t>
            </w:r>
            <w:r>
              <w:rPr>
                <w:rFonts w:hint="eastAsia"/>
                <w:szCs w:val="24"/>
              </w:rPr>
              <w:t>）的《关于公司诉讼进展暨达成和解的公告》的公告》（公告号</w:t>
            </w:r>
            <w:r>
              <w:rPr>
                <w:szCs w:val="24"/>
              </w:rPr>
              <w:t>2019-125</w:t>
            </w:r>
            <w:r>
              <w:rPr>
                <w:rFonts w:hint="eastAsia"/>
                <w:szCs w:val="24"/>
              </w:rPr>
              <w:t>）。</w:t>
            </w:r>
          </w:p>
        </w:tc>
      </w:tr>
    </w:tbl>
    <w:p>
      <w:pPr>
        <w:pStyle w:val="13"/>
        <w:outlineLvl w:val="1"/>
        <w:rPr>
          <w:bCs w:val="0"/>
        </w:rPr>
      </w:pPr>
      <w:r>
        <w:rPr>
          <w:rFonts w:hint="eastAsia"/>
          <w:bCs w:val="0"/>
        </w:rPr>
        <w:t>十二、处罚及整改情况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公司报告期不存在处罚及整改情况。</w:t>
      </w:r>
    </w:p>
    <w:p>
      <w:pPr>
        <w:pStyle w:val="13"/>
        <w:outlineLvl w:val="1"/>
        <w:rPr>
          <w:bCs w:val="0"/>
        </w:rPr>
      </w:pPr>
      <w:r>
        <w:rPr>
          <w:rFonts w:hint="eastAsia"/>
          <w:bCs w:val="0"/>
        </w:rPr>
        <w:t>十三、公司及其控股股东、实际控制人的诚信状况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公司及其控股股东、实际控制人不存在未履行法院生效判决、所负数额较大的债务到期未清偿等情况。</w:t>
      </w:r>
    </w:p>
    <w:p>
      <w:pPr>
        <w:autoSpaceDE w:val="0"/>
        <w:autoSpaceDN w:val="0"/>
        <w:adjustRightInd w:val="0"/>
        <w:spacing w:before="0" w:after="0"/>
        <w:jc w:val="left"/>
        <w:rPr>
          <w:rFonts w:eastAsia="Times New Roman"/>
          <w:kern w:val="0"/>
          <w:szCs w:val="24"/>
          <w:lang w:val="zh-CN"/>
        </w:rPr>
      </w:pPr>
    </w:p>
    <w:p>
      <w:pPr>
        <w:pStyle w:val="13"/>
        <w:outlineLvl w:val="1"/>
        <w:rPr>
          <w:bCs w:val="0"/>
        </w:rPr>
      </w:pPr>
      <w:r>
        <w:rPr>
          <w:rFonts w:hint="eastAsia"/>
          <w:bCs w:val="0"/>
        </w:rPr>
        <w:t>十四、公司股权激励计划、员工持股计划或其他员工激励措施的实施情况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autoSpaceDE w:val="0"/>
        <w:autoSpaceDN w:val="0"/>
        <w:adjustRightInd w:val="0"/>
        <w:spacing w:before="120" w:after="120"/>
        <w:rPr>
          <w:rFonts w:eastAsia="Times New Roman"/>
          <w:kern w:val="0"/>
          <w:szCs w:val="24"/>
          <w:lang w:val="zh-CN"/>
        </w:rPr>
      </w:pPr>
      <w:r>
        <w:rPr>
          <w:rFonts w:hint="eastAsia" w:ascii="宋体" w:hAnsi="宋体" w:cs="宋体"/>
          <w:kern w:val="0"/>
          <w:szCs w:val="24"/>
          <w:lang w:val="zh-CN"/>
        </w:rPr>
        <w:t>（一）股权激励的实施情况</w:t>
      </w:r>
    </w:p>
    <w:p>
      <w:pPr>
        <w:autoSpaceDE w:val="0"/>
        <w:autoSpaceDN w:val="0"/>
        <w:adjustRightInd w:val="0"/>
        <w:ind w:firstLine="360"/>
        <w:rPr>
          <w:rFonts w:eastAsia="Times New Roman"/>
          <w:kern w:val="0"/>
          <w:szCs w:val="24"/>
          <w:lang w:val="zh-CN"/>
        </w:rPr>
      </w:pPr>
      <w:r>
        <w:rPr>
          <w:rFonts w:eastAsia="Times New Roman"/>
          <w:kern w:val="0"/>
          <w:szCs w:val="24"/>
          <w:lang w:val="zh-CN"/>
        </w:rPr>
        <w:t>1</w:t>
      </w:r>
      <w:r>
        <w:rPr>
          <w:rFonts w:hint="eastAsia" w:ascii="宋体" w:hAnsi="宋体" w:cs="宋体"/>
          <w:kern w:val="0"/>
          <w:szCs w:val="24"/>
          <w:lang w:val="zh-CN"/>
        </w:rPr>
        <w:t>、</w:t>
      </w:r>
      <w:r>
        <w:rPr>
          <w:rFonts w:eastAsia="Times New Roman"/>
          <w:kern w:val="0"/>
          <w:szCs w:val="24"/>
          <w:lang w:val="zh-CN"/>
        </w:rPr>
        <w:t>2016</w:t>
      </w:r>
      <w:r>
        <w:rPr>
          <w:rFonts w:hint="eastAsia" w:ascii="宋体" w:hAnsi="宋体" w:cs="宋体"/>
          <w:kern w:val="0"/>
          <w:szCs w:val="24"/>
          <w:lang w:val="zh-CN"/>
        </w:rPr>
        <w:t>年</w:t>
      </w:r>
      <w:r>
        <w:rPr>
          <w:rFonts w:eastAsia="Times New Roman"/>
          <w:kern w:val="0"/>
          <w:szCs w:val="24"/>
          <w:lang w:val="zh-CN"/>
        </w:rPr>
        <w:t>3</w:t>
      </w:r>
      <w:r>
        <w:rPr>
          <w:rFonts w:hint="eastAsia" w:ascii="宋体" w:hAnsi="宋体" w:cs="宋体"/>
          <w:kern w:val="0"/>
          <w:szCs w:val="24"/>
          <w:lang w:val="zh-CN"/>
        </w:rPr>
        <w:t>月</w:t>
      </w:r>
      <w:r>
        <w:rPr>
          <w:rFonts w:eastAsia="Times New Roman"/>
          <w:kern w:val="0"/>
          <w:szCs w:val="24"/>
          <w:lang w:val="zh-CN"/>
        </w:rPr>
        <w:t>31</w:t>
      </w:r>
      <w:r>
        <w:rPr>
          <w:rFonts w:hint="eastAsia" w:ascii="宋体" w:hAnsi="宋体" w:cs="宋体"/>
          <w:kern w:val="0"/>
          <w:szCs w:val="24"/>
          <w:lang w:val="zh-CN"/>
        </w:rPr>
        <w:t>日，公司薪酬与考核委员会拟定了激励计划，并将该激励计划提交公司第二届董事会第十五次会议审议。因三名关联董事回避表决后，导致非关联董事人数不足三人，董事会对相关议案无法形成决议，因此相关议案需提交公司股东大会审议。</w:t>
      </w:r>
    </w:p>
    <w:p>
      <w:pPr>
        <w:autoSpaceDE w:val="0"/>
        <w:autoSpaceDN w:val="0"/>
        <w:adjustRightInd w:val="0"/>
        <w:ind w:firstLine="360"/>
        <w:rPr>
          <w:rFonts w:eastAsia="Times New Roman"/>
          <w:kern w:val="0"/>
          <w:szCs w:val="24"/>
          <w:lang w:val="zh-CN"/>
        </w:rPr>
      </w:pPr>
      <w:r>
        <w:rPr>
          <w:rFonts w:eastAsia="Times New Roman"/>
          <w:kern w:val="0"/>
          <w:szCs w:val="24"/>
          <w:lang w:val="zh-CN"/>
        </w:rPr>
        <w:t>2</w:t>
      </w:r>
      <w:r>
        <w:rPr>
          <w:rFonts w:hint="eastAsia" w:ascii="宋体" w:hAnsi="宋体" w:cs="宋体"/>
          <w:kern w:val="0"/>
          <w:szCs w:val="24"/>
          <w:lang w:val="zh-CN"/>
        </w:rPr>
        <w:t>、</w:t>
      </w:r>
      <w:r>
        <w:rPr>
          <w:rFonts w:eastAsia="Times New Roman"/>
          <w:kern w:val="0"/>
          <w:szCs w:val="24"/>
          <w:lang w:val="zh-CN"/>
        </w:rPr>
        <w:t>2016</w:t>
      </w:r>
      <w:r>
        <w:rPr>
          <w:rFonts w:hint="eastAsia" w:ascii="宋体" w:hAnsi="宋体" w:cs="宋体"/>
          <w:kern w:val="0"/>
          <w:szCs w:val="24"/>
          <w:lang w:val="zh-CN"/>
        </w:rPr>
        <w:t>年</w:t>
      </w:r>
      <w:r>
        <w:rPr>
          <w:rFonts w:eastAsia="Times New Roman"/>
          <w:kern w:val="0"/>
          <w:szCs w:val="24"/>
          <w:lang w:val="zh-CN"/>
        </w:rPr>
        <w:t>3</w:t>
      </w:r>
      <w:r>
        <w:rPr>
          <w:rFonts w:hint="eastAsia" w:ascii="宋体" w:hAnsi="宋体" w:cs="宋体"/>
          <w:kern w:val="0"/>
          <w:szCs w:val="24"/>
          <w:lang w:val="zh-CN"/>
        </w:rPr>
        <w:t>月</w:t>
      </w:r>
      <w:r>
        <w:rPr>
          <w:rFonts w:eastAsia="Times New Roman"/>
          <w:kern w:val="0"/>
          <w:szCs w:val="24"/>
          <w:lang w:val="zh-CN"/>
        </w:rPr>
        <w:t>31</w:t>
      </w:r>
      <w:r>
        <w:rPr>
          <w:rFonts w:hint="eastAsia" w:ascii="宋体" w:hAnsi="宋体" w:cs="宋体"/>
          <w:kern w:val="0"/>
          <w:szCs w:val="24"/>
          <w:lang w:val="zh-CN"/>
        </w:rPr>
        <w:t>日，公司独立董事就《公司限制性股票激励计划（草案）》发表了同意的独立意见，并认为本次股权激励计划有利于美康生物的持续发展，不存在损害公司及全体股东利益情形。</w:t>
      </w:r>
    </w:p>
    <w:p>
      <w:pPr>
        <w:autoSpaceDE w:val="0"/>
        <w:autoSpaceDN w:val="0"/>
        <w:adjustRightInd w:val="0"/>
        <w:ind w:firstLine="360"/>
        <w:rPr>
          <w:rFonts w:eastAsia="Times New Roman"/>
          <w:kern w:val="0"/>
          <w:szCs w:val="24"/>
          <w:lang w:val="zh-CN"/>
        </w:rPr>
      </w:pPr>
      <w:r>
        <w:rPr>
          <w:rFonts w:eastAsia="Times New Roman"/>
          <w:kern w:val="0"/>
          <w:szCs w:val="24"/>
          <w:lang w:val="zh-CN"/>
        </w:rPr>
        <w:t>3</w:t>
      </w:r>
      <w:r>
        <w:rPr>
          <w:rFonts w:hint="eastAsia" w:ascii="宋体" w:hAnsi="宋体" w:cs="宋体"/>
          <w:kern w:val="0"/>
          <w:szCs w:val="24"/>
          <w:lang w:val="zh-CN"/>
        </w:rPr>
        <w:t>、</w:t>
      </w:r>
      <w:r>
        <w:rPr>
          <w:rFonts w:eastAsia="Times New Roman"/>
          <w:kern w:val="0"/>
          <w:szCs w:val="24"/>
          <w:lang w:val="zh-CN"/>
        </w:rPr>
        <w:t>2016</w:t>
      </w:r>
      <w:r>
        <w:rPr>
          <w:rFonts w:hint="eastAsia" w:ascii="宋体" w:hAnsi="宋体" w:cs="宋体"/>
          <w:kern w:val="0"/>
          <w:szCs w:val="24"/>
          <w:lang w:val="zh-CN"/>
        </w:rPr>
        <w:t>年</w:t>
      </w:r>
      <w:r>
        <w:rPr>
          <w:rFonts w:eastAsia="Times New Roman"/>
          <w:kern w:val="0"/>
          <w:szCs w:val="24"/>
          <w:lang w:val="zh-CN"/>
        </w:rPr>
        <w:t>3</w:t>
      </w:r>
      <w:r>
        <w:rPr>
          <w:rFonts w:hint="eastAsia" w:ascii="宋体" w:hAnsi="宋体" w:cs="宋体"/>
          <w:kern w:val="0"/>
          <w:szCs w:val="24"/>
          <w:lang w:val="zh-CN"/>
        </w:rPr>
        <w:t>月</w:t>
      </w:r>
      <w:r>
        <w:rPr>
          <w:rFonts w:eastAsia="Times New Roman"/>
          <w:kern w:val="0"/>
          <w:szCs w:val="24"/>
          <w:lang w:val="zh-CN"/>
        </w:rPr>
        <w:t>31</w:t>
      </w:r>
      <w:r>
        <w:rPr>
          <w:rFonts w:hint="eastAsia" w:ascii="宋体" w:hAnsi="宋体" w:cs="宋体"/>
          <w:kern w:val="0"/>
          <w:szCs w:val="24"/>
          <w:lang w:val="zh-CN"/>
        </w:rPr>
        <w:t>日，公司召开第二届监事会第八次会议，审议并通过了《关于</w:t>
      </w:r>
      <w:r>
        <w:rPr>
          <w:rFonts w:eastAsia="Times New Roman"/>
          <w:kern w:val="0"/>
          <w:szCs w:val="24"/>
          <w:lang w:val="zh-CN"/>
        </w:rPr>
        <w:t>&lt;</w:t>
      </w:r>
      <w:r>
        <w:rPr>
          <w:rFonts w:hint="eastAsia" w:ascii="宋体" w:hAnsi="宋体" w:cs="宋体"/>
          <w:kern w:val="0"/>
          <w:szCs w:val="24"/>
          <w:lang w:val="zh-CN"/>
        </w:rPr>
        <w:t>美康生物科技股份有限公司限制性股票激励计划（草案）及其摘要</w:t>
      </w:r>
      <w:r>
        <w:rPr>
          <w:rFonts w:eastAsia="Times New Roman"/>
          <w:kern w:val="0"/>
          <w:szCs w:val="24"/>
          <w:lang w:val="zh-CN"/>
        </w:rPr>
        <w:t>&gt;</w:t>
      </w:r>
      <w:r>
        <w:rPr>
          <w:rFonts w:hint="eastAsia" w:ascii="宋体" w:hAnsi="宋体" w:cs="宋体"/>
          <w:kern w:val="0"/>
          <w:szCs w:val="24"/>
          <w:lang w:val="zh-CN"/>
        </w:rPr>
        <w:t>的议案》等议案，并对本次股权激励计划的激励对象名单予以核实。</w:t>
      </w:r>
    </w:p>
    <w:p>
      <w:pPr>
        <w:autoSpaceDE w:val="0"/>
        <w:autoSpaceDN w:val="0"/>
        <w:adjustRightInd w:val="0"/>
        <w:ind w:firstLine="360"/>
        <w:rPr>
          <w:rFonts w:eastAsia="Times New Roman"/>
          <w:kern w:val="0"/>
          <w:szCs w:val="24"/>
          <w:lang w:val="zh-CN"/>
        </w:rPr>
      </w:pPr>
      <w:r>
        <w:rPr>
          <w:rFonts w:eastAsia="Times New Roman"/>
          <w:kern w:val="0"/>
          <w:szCs w:val="24"/>
          <w:lang w:val="zh-CN"/>
        </w:rPr>
        <w:t>4</w:t>
      </w:r>
      <w:r>
        <w:rPr>
          <w:rFonts w:hint="eastAsia" w:ascii="宋体" w:hAnsi="宋体" w:cs="宋体"/>
          <w:kern w:val="0"/>
          <w:szCs w:val="24"/>
          <w:lang w:val="zh-CN"/>
        </w:rPr>
        <w:t>、</w:t>
      </w:r>
      <w:r>
        <w:rPr>
          <w:rFonts w:eastAsia="Times New Roman"/>
          <w:kern w:val="0"/>
          <w:szCs w:val="24"/>
          <w:lang w:val="zh-CN"/>
        </w:rPr>
        <w:t>2016</w:t>
      </w:r>
      <w:r>
        <w:rPr>
          <w:rFonts w:hint="eastAsia" w:ascii="宋体" w:hAnsi="宋体" w:cs="宋体"/>
          <w:kern w:val="0"/>
          <w:szCs w:val="24"/>
          <w:lang w:val="zh-CN"/>
        </w:rPr>
        <w:t>年</w:t>
      </w:r>
      <w:r>
        <w:rPr>
          <w:rFonts w:eastAsia="Times New Roman"/>
          <w:kern w:val="0"/>
          <w:szCs w:val="24"/>
          <w:lang w:val="zh-CN"/>
        </w:rPr>
        <w:t>5</w:t>
      </w:r>
      <w:r>
        <w:rPr>
          <w:rFonts w:hint="eastAsia" w:ascii="宋体" w:hAnsi="宋体" w:cs="宋体"/>
          <w:kern w:val="0"/>
          <w:szCs w:val="24"/>
          <w:lang w:val="zh-CN"/>
        </w:rPr>
        <w:t>月</w:t>
      </w:r>
      <w:r>
        <w:rPr>
          <w:rFonts w:eastAsia="Times New Roman"/>
          <w:kern w:val="0"/>
          <w:szCs w:val="24"/>
          <w:lang w:val="zh-CN"/>
        </w:rPr>
        <w:t>19</w:t>
      </w:r>
      <w:r>
        <w:rPr>
          <w:rFonts w:hint="eastAsia" w:ascii="宋体" w:hAnsi="宋体" w:cs="宋体"/>
          <w:kern w:val="0"/>
          <w:szCs w:val="24"/>
          <w:lang w:val="zh-CN"/>
        </w:rPr>
        <w:t>日，公司召开</w:t>
      </w:r>
      <w:r>
        <w:rPr>
          <w:rFonts w:eastAsia="Times New Roman"/>
          <w:kern w:val="0"/>
          <w:szCs w:val="24"/>
          <w:lang w:val="zh-CN"/>
        </w:rPr>
        <w:t>2015</w:t>
      </w:r>
      <w:r>
        <w:rPr>
          <w:rFonts w:hint="eastAsia" w:ascii="宋体" w:hAnsi="宋体" w:cs="宋体"/>
          <w:kern w:val="0"/>
          <w:szCs w:val="24"/>
          <w:lang w:val="zh-CN"/>
        </w:rPr>
        <w:t>年度股东大会，审议并通过《关于</w:t>
      </w:r>
      <w:r>
        <w:rPr>
          <w:rFonts w:eastAsia="Times New Roman"/>
          <w:kern w:val="0"/>
          <w:szCs w:val="24"/>
          <w:lang w:val="zh-CN"/>
        </w:rPr>
        <w:t>&lt;</w:t>
      </w:r>
      <w:r>
        <w:rPr>
          <w:rFonts w:hint="eastAsia" w:ascii="宋体" w:hAnsi="宋体" w:cs="宋体"/>
          <w:kern w:val="0"/>
          <w:szCs w:val="24"/>
          <w:lang w:val="zh-CN"/>
        </w:rPr>
        <w:t>美康生物科技股份有限公司限制性股票激励计划（草案）及其摘要</w:t>
      </w:r>
      <w:r>
        <w:rPr>
          <w:rFonts w:eastAsia="Times New Roman"/>
          <w:kern w:val="0"/>
          <w:szCs w:val="24"/>
          <w:lang w:val="zh-CN"/>
        </w:rPr>
        <w:t>&gt;</w:t>
      </w:r>
      <w:r>
        <w:rPr>
          <w:rFonts w:hint="eastAsia" w:ascii="宋体" w:hAnsi="宋体" w:cs="宋体"/>
          <w:kern w:val="0"/>
          <w:szCs w:val="24"/>
          <w:lang w:val="zh-CN"/>
        </w:rPr>
        <w:t>的议案》《关于</w:t>
      </w:r>
      <w:r>
        <w:rPr>
          <w:rFonts w:eastAsia="Times New Roman"/>
          <w:kern w:val="0"/>
          <w:szCs w:val="24"/>
          <w:lang w:val="zh-CN"/>
        </w:rPr>
        <w:t>&lt;</w:t>
      </w:r>
      <w:r>
        <w:rPr>
          <w:rFonts w:hint="eastAsia" w:ascii="宋体" w:hAnsi="宋体" w:cs="宋体"/>
          <w:kern w:val="0"/>
          <w:szCs w:val="24"/>
          <w:lang w:val="zh-CN"/>
        </w:rPr>
        <w:t>美康生物科技股份有限公司限制性股票激励计划实施考核管理办法</w:t>
      </w:r>
      <w:r>
        <w:rPr>
          <w:rFonts w:eastAsia="Times New Roman"/>
          <w:kern w:val="0"/>
          <w:szCs w:val="24"/>
          <w:lang w:val="zh-CN"/>
        </w:rPr>
        <w:t>&gt;</w:t>
      </w:r>
      <w:r>
        <w:rPr>
          <w:rFonts w:hint="eastAsia" w:ascii="宋体" w:hAnsi="宋体" w:cs="宋体"/>
          <w:kern w:val="0"/>
          <w:szCs w:val="24"/>
          <w:lang w:val="zh-CN"/>
        </w:rPr>
        <w:t>的议案》《关于公司实际控制人近亲属邹敏华女士作为本次限制性股票激励计划激励对象的议案》及《关于提请股东大会授权董事会办理公司限制性股票激励计划有关事项的议案》，同意董事会在首次授予条件成就后向符合条件的</w:t>
      </w:r>
      <w:r>
        <w:rPr>
          <w:rFonts w:eastAsia="Times New Roman"/>
          <w:kern w:val="0"/>
          <w:szCs w:val="24"/>
          <w:lang w:val="zh-CN"/>
        </w:rPr>
        <w:t>348</w:t>
      </w:r>
      <w:r>
        <w:rPr>
          <w:rFonts w:hint="eastAsia" w:ascii="宋体" w:hAnsi="宋体" w:cs="宋体"/>
          <w:kern w:val="0"/>
          <w:szCs w:val="24"/>
          <w:lang w:val="zh-CN"/>
        </w:rPr>
        <w:t>名激励对象授予</w:t>
      </w:r>
      <w:r>
        <w:rPr>
          <w:rFonts w:eastAsia="Times New Roman"/>
          <w:kern w:val="0"/>
          <w:szCs w:val="24"/>
          <w:lang w:val="zh-CN"/>
        </w:rPr>
        <w:t>811.20</w:t>
      </w:r>
      <w:r>
        <w:rPr>
          <w:rFonts w:hint="eastAsia" w:ascii="宋体" w:hAnsi="宋体" w:cs="宋体"/>
          <w:kern w:val="0"/>
          <w:szCs w:val="24"/>
          <w:lang w:val="zh-CN"/>
        </w:rPr>
        <w:t>万股限制性股票。</w:t>
      </w:r>
    </w:p>
    <w:p>
      <w:pPr>
        <w:autoSpaceDE w:val="0"/>
        <w:autoSpaceDN w:val="0"/>
        <w:adjustRightInd w:val="0"/>
        <w:ind w:firstLine="360"/>
        <w:rPr>
          <w:rFonts w:eastAsia="Times New Roman"/>
          <w:kern w:val="0"/>
          <w:szCs w:val="24"/>
          <w:lang w:val="zh-CN"/>
        </w:rPr>
      </w:pPr>
      <w:r>
        <w:rPr>
          <w:rFonts w:eastAsia="Times New Roman"/>
          <w:kern w:val="0"/>
          <w:szCs w:val="24"/>
          <w:lang w:val="zh-CN"/>
        </w:rPr>
        <w:t>5</w:t>
      </w:r>
      <w:r>
        <w:rPr>
          <w:rFonts w:hint="eastAsia" w:ascii="宋体" w:hAnsi="宋体" w:cs="宋体"/>
          <w:kern w:val="0"/>
          <w:szCs w:val="24"/>
          <w:lang w:val="zh-CN"/>
        </w:rPr>
        <w:t>、</w:t>
      </w:r>
      <w:r>
        <w:rPr>
          <w:rFonts w:eastAsia="Times New Roman"/>
          <w:kern w:val="0"/>
          <w:szCs w:val="24"/>
          <w:lang w:val="zh-CN"/>
        </w:rPr>
        <w:t>2016</w:t>
      </w:r>
      <w:r>
        <w:rPr>
          <w:rFonts w:hint="eastAsia" w:ascii="宋体" w:hAnsi="宋体" w:cs="宋体"/>
          <w:kern w:val="0"/>
          <w:szCs w:val="24"/>
          <w:lang w:val="zh-CN"/>
        </w:rPr>
        <w:t>年</w:t>
      </w:r>
      <w:r>
        <w:rPr>
          <w:rFonts w:eastAsia="Times New Roman"/>
          <w:kern w:val="0"/>
          <w:szCs w:val="24"/>
          <w:lang w:val="zh-CN"/>
        </w:rPr>
        <w:t>6</w:t>
      </w:r>
      <w:r>
        <w:rPr>
          <w:rFonts w:hint="eastAsia" w:ascii="宋体" w:hAnsi="宋体" w:cs="宋体"/>
          <w:kern w:val="0"/>
          <w:szCs w:val="24"/>
          <w:lang w:val="zh-CN"/>
        </w:rPr>
        <w:t>月</w:t>
      </w:r>
      <w:r>
        <w:rPr>
          <w:rFonts w:eastAsia="Times New Roman"/>
          <w:kern w:val="0"/>
          <w:szCs w:val="24"/>
          <w:lang w:val="zh-CN"/>
        </w:rPr>
        <w:t>28</w:t>
      </w:r>
      <w:r>
        <w:rPr>
          <w:rFonts w:hint="eastAsia" w:ascii="宋体" w:hAnsi="宋体" w:cs="宋体"/>
          <w:kern w:val="0"/>
          <w:szCs w:val="24"/>
          <w:lang w:val="zh-CN"/>
        </w:rPr>
        <w:t>日，公司分别召开第二届董事会第二十次会议和第二届监事会第十一次会议，审议并通过《关于调整限制性股票授予价格的议案》《关于向激励对象授予限制性股票的议案》关联董事对相关议案已回避表决、公司独立董事对相关事项发表了同意的独立意见，监事会也发表了核查意见。</w:t>
      </w:r>
    </w:p>
    <w:p>
      <w:pPr>
        <w:autoSpaceDE w:val="0"/>
        <w:autoSpaceDN w:val="0"/>
        <w:adjustRightInd w:val="0"/>
        <w:ind w:firstLine="360"/>
        <w:rPr>
          <w:rFonts w:eastAsia="Times New Roman"/>
          <w:kern w:val="0"/>
          <w:szCs w:val="24"/>
          <w:lang w:val="zh-CN"/>
        </w:rPr>
      </w:pPr>
      <w:r>
        <w:rPr>
          <w:rFonts w:eastAsia="Times New Roman"/>
          <w:kern w:val="0"/>
          <w:szCs w:val="24"/>
          <w:lang w:val="zh-CN"/>
        </w:rPr>
        <w:t>6</w:t>
      </w:r>
      <w:r>
        <w:rPr>
          <w:rFonts w:hint="eastAsia" w:ascii="宋体" w:hAnsi="宋体" w:cs="宋体"/>
          <w:kern w:val="0"/>
          <w:szCs w:val="24"/>
          <w:lang w:val="zh-CN"/>
        </w:rPr>
        <w:t>、</w:t>
      </w:r>
      <w:r>
        <w:rPr>
          <w:rFonts w:eastAsia="Times New Roman"/>
          <w:kern w:val="0"/>
          <w:szCs w:val="24"/>
          <w:lang w:val="zh-CN"/>
        </w:rPr>
        <w:t>2017</w:t>
      </w:r>
      <w:r>
        <w:rPr>
          <w:rFonts w:hint="eastAsia" w:ascii="宋体" w:hAnsi="宋体" w:cs="宋体"/>
          <w:kern w:val="0"/>
          <w:szCs w:val="24"/>
          <w:lang w:val="zh-CN"/>
        </w:rPr>
        <w:t>年</w:t>
      </w:r>
      <w:r>
        <w:rPr>
          <w:rFonts w:eastAsia="Times New Roman"/>
          <w:kern w:val="0"/>
          <w:szCs w:val="24"/>
          <w:lang w:val="zh-CN"/>
        </w:rPr>
        <w:t>3</w:t>
      </w:r>
      <w:r>
        <w:rPr>
          <w:rFonts w:hint="eastAsia" w:ascii="宋体" w:hAnsi="宋体" w:cs="宋体"/>
          <w:kern w:val="0"/>
          <w:szCs w:val="24"/>
          <w:lang w:val="zh-CN"/>
        </w:rPr>
        <w:t>月</w:t>
      </w:r>
      <w:r>
        <w:rPr>
          <w:rFonts w:eastAsia="Times New Roman"/>
          <w:kern w:val="0"/>
          <w:szCs w:val="24"/>
          <w:lang w:val="zh-CN"/>
        </w:rPr>
        <w:t>15</w:t>
      </w:r>
      <w:r>
        <w:rPr>
          <w:rFonts w:hint="eastAsia" w:ascii="宋体" w:hAnsi="宋体" w:cs="宋体"/>
          <w:kern w:val="0"/>
          <w:szCs w:val="24"/>
          <w:lang w:val="zh-CN"/>
        </w:rPr>
        <w:t>日，公司分别召开第二届董事会第三十次会议、第二届监事会第十七次会议，审议并通过了《关于向激励对象授予预留部分限制性股票的议案》，同意确定</w:t>
      </w:r>
      <w:r>
        <w:rPr>
          <w:rFonts w:eastAsia="Times New Roman"/>
          <w:kern w:val="0"/>
          <w:szCs w:val="24"/>
          <w:lang w:val="zh-CN"/>
        </w:rPr>
        <w:t>2017</w:t>
      </w:r>
      <w:r>
        <w:rPr>
          <w:rFonts w:hint="eastAsia" w:ascii="宋体" w:hAnsi="宋体" w:cs="宋体"/>
          <w:kern w:val="0"/>
          <w:szCs w:val="24"/>
          <w:lang w:val="zh-CN"/>
        </w:rPr>
        <w:t>年</w:t>
      </w:r>
      <w:r>
        <w:rPr>
          <w:rFonts w:eastAsia="Times New Roman"/>
          <w:kern w:val="0"/>
          <w:szCs w:val="24"/>
          <w:lang w:val="zh-CN"/>
        </w:rPr>
        <w:t>3</w:t>
      </w:r>
      <w:r>
        <w:rPr>
          <w:rFonts w:hint="eastAsia" w:ascii="宋体" w:hAnsi="宋体" w:cs="宋体"/>
          <w:kern w:val="0"/>
          <w:szCs w:val="24"/>
          <w:lang w:val="zh-CN"/>
        </w:rPr>
        <w:t>月</w:t>
      </w:r>
      <w:r>
        <w:rPr>
          <w:rFonts w:eastAsia="Times New Roman"/>
          <w:kern w:val="0"/>
          <w:szCs w:val="24"/>
          <w:lang w:val="zh-CN"/>
        </w:rPr>
        <w:t>15</w:t>
      </w:r>
      <w:r>
        <w:rPr>
          <w:rFonts w:hint="eastAsia" w:ascii="宋体" w:hAnsi="宋体" w:cs="宋体"/>
          <w:kern w:val="0"/>
          <w:szCs w:val="24"/>
          <w:lang w:val="zh-CN"/>
        </w:rPr>
        <w:t>日为预留限制性股票授予日，向符合授予条件的</w:t>
      </w:r>
      <w:r>
        <w:rPr>
          <w:rFonts w:eastAsia="Times New Roman"/>
          <w:kern w:val="0"/>
          <w:szCs w:val="24"/>
          <w:lang w:val="zh-CN"/>
        </w:rPr>
        <w:t>6</w:t>
      </w:r>
      <w:r>
        <w:rPr>
          <w:rFonts w:hint="eastAsia" w:ascii="宋体" w:hAnsi="宋体" w:cs="宋体"/>
          <w:kern w:val="0"/>
          <w:szCs w:val="24"/>
          <w:lang w:val="zh-CN"/>
        </w:rPr>
        <w:t>名激励对象授予预留限制性股票</w:t>
      </w:r>
      <w:r>
        <w:rPr>
          <w:rFonts w:eastAsia="Times New Roman"/>
          <w:kern w:val="0"/>
          <w:szCs w:val="24"/>
          <w:lang w:val="zh-CN"/>
        </w:rPr>
        <w:t>38.80</w:t>
      </w:r>
      <w:r>
        <w:rPr>
          <w:rFonts w:hint="eastAsia" w:ascii="宋体" w:hAnsi="宋体" w:cs="宋体"/>
          <w:kern w:val="0"/>
          <w:szCs w:val="24"/>
          <w:lang w:val="zh-CN"/>
        </w:rPr>
        <w:t>万股。公司独立董事对此发表了同意的独立意见，监事会也发表了核查意见。</w:t>
      </w:r>
    </w:p>
    <w:p>
      <w:pPr>
        <w:autoSpaceDE w:val="0"/>
        <w:autoSpaceDN w:val="0"/>
        <w:adjustRightInd w:val="0"/>
        <w:ind w:firstLine="360"/>
        <w:rPr>
          <w:rFonts w:eastAsia="Times New Roman"/>
          <w:kern w:val="0"/>
          <w:szCs w:val="24"/>
          <w:lang w:val="zh-CN"/>
        </w:rPr>
      </w:pPr>
      <w:r>
        <w:rPr>
          <w:rFonts w:eastAsia="Times New Roman"/>
          <w:kern w:val="0"/>
          <w:szCs w:val="24"/>
          <w:lang w:val="zh-CN"/>
        </w:rPr>
        <w:t>7</w:t>
      </w:r>
      <w:r>
        <w:rPr>
          <w:rFonts w:hint="eastAsia" w:ascii="宋体" w:hAnsi="宋体" w:cs="宋体"/>
          <w:kern w:val="0"/>
          <w:szCs w:val="24"/>
          <w:lang w:val="zh-CN"/>
        </w:rPr>
        <w:t>、</w:t>
      </w:r>
      <w:r>
        <w:rPr>
          <w:rFonts w:eastAsia="Times New Roman"/>
          <w:kern w:val="0"/>
          <w:szCs w:val="24"/>
          <w:lang w:val="zh-CN"/>
        </w:rPr>
        <w:t>2017</w:t>
      </w:r>
      <w:r>
        <w:rPr>
          <w:rFonts w:hint="eastAsia" w:ascii="宋体" w:hAnsi="宋体" w:cs="宋体"/>
          <w:kern w:val="0"/>
          <w:szCs w:val="24"/>
          <w:lang w:val="zh-CN"/>
        </w:rPr>
        <w:t>年</w:t>
      </w:r>
      <w:r>
        <w:rPr>
          <w:rFonts w:eastAsia="Times New Roman"/>
          <w:kern w:val="0"/>
          <w:szCs w:val="24"/>
          <w:lang w:val="zh-CN"/>
        </w:rPr>
        <w:t>6</w:t>
      </w:r>
      <w:r>
        <w:rPr>
          <w:rFonts w:hint="eastAsia" w:ascii="宋体" w:hAnsi="宋体" w:cs="宋体"/>
          <w:kern w:val="0"/>
          <w:szCs w:val="24"/>
          <w:lang w:val="zh-CN"/>
        </w:rPr>
        <w:t>月</w:t>
      </w:r>
      <w:r>
        <w:rPr>
          <w:rFonts w:eastAsia="Times New Roman"/>
          <w:kern w:val="0"/>
          <w:szCs w:val="24"/>
          <w:lang w:val="zh-CN"/>
        </w:rPr>
        <w:t>20</w:t>
      </w:r>
      <w:r>
        <w:rPr>
          <w:rFonts w:hint="eastAsia" w:ascii="宋体" w:hAnsi="宋体" w:cs="宋体"/>
          <w:kern w:val="0"/>
          <w:szCs w:val="24"/>
          <w:lang w:val="zh-CN"/>
        </w:rPr>
        <w:t>日，公司分别召开第二届董事会第三十四次会议，第二届监事会第十九次会议，审议并通过了《关于调整部分限制性股票回购价格的议案》《关于回购注销部分限制性股票的议案》。激励对象谢秋、程锋、谢伟博等</w:t>
      </w:r>
      <w:r>
        <w:rPr>
          <w:rFonts w:eastAsia="Times New Roman"/>
          <w:kern w:val="0"/>
          <w:szCs w:val="24"/>
          <w:lang w:val="zh-CN"/>
        </w:rPr>
        <w:t>13</w:t>
      </w:r>
      <w:r>
        <w:rPr>
          <w:rFonts w:hint="eastAsia" w:ascii="宋体" w:hAnsi="宋体" w:cs="宋体"/>
          <w:kern w:val="0"/>
          <w:szCs w:val="24"/>
          <w:lang w:val="zh-CN"/>
        </w:rPr>
        <w:t>人因个人原因离职，已不符合激励条件，根据激励计划的相关规定，公司决定对谢秋、程锋、谢伟博等</w:t>
      </w:r>
      <w:r>
        <w:rPr>
          <w:rFonts w:eastAsia="Times New Roman"/>
          <w:kern w:val="0"/>
          <w:szCs w:val="24"/>
          <w:lang w:val="zh-CN"/>
        </w:rPr>
        <w:t>13</w:t>
      </w:r>
      <w:r>
        <w:rPr>
          <w:rFonts w:hint="eastAsia" w:ascii="宋体" w:hAnsi="宋体" w:cs="宋体"/>
          <w:kern w:val="0"/>
          <w:szCs w:val="24"/>
          <w:lang w:val="zh-CN"/>
        </w:rPr>
        <w:t>人所持有已获授但尚未解锁的</w:t>
      </w:r>
      <w:r>
        <w:rPr>
          <w:rFonts w:eastAsia="Times New Roman"/>
          <w:kern w:val="0"/>
          <w:szCs w:val="24"/>
          <w:lang w:val="zh-CN"/>
        </w:rPr>
        <w:t>326,000</w:t>
      </w:r>
      <w:r>
        <w:rPr>
          <w:rFonts w:hint="eastAsia" w:ascii="宋体" w:hAnsi="宋体" w:cs="宋体"/>
          <w:kern w:val="0"/>
          <w:szCs w:val="24"/>
          <w:lang w:val="zh-CN"/>
        </w:rPr>
        <w:t>股限制性股票进行回购注销；同时，依据公司</w:t>
      </w:r>
      <w:r>
        <w:rPr>
          <w:rFonts w:eastAsia="Times New Roman"/>
          <w:kern w:val="0"/>
          <w:szCs w:val="24"/>
          <w:lang w:val="zh-CN"/>
        </w:rPr>
        <w:t>2016</w:t>
      </w:r>
      <w:r>
        <w:rPr>
          <w:rFonts w:hint="eastAsia" w:ascii="宋体" w:hAnsi="宋体" w:cs="宋体"/>
          <w:kern w:val="0"/>
          <w:szCs w:val="24"/>
          <w:lang w:val="zh-CN"/>
        </w:rPr>
        <w:t>年度经营情况，激励计划首次授予限制性股票的第一个解锁期业绩考核目标未实现，公司决定将首次授予限制性股票的第一个解锁期未达到解锁条件的限制性股票</w:t>
      </w:r>
      <w:r>
        <w:rPr>
          <w:rFonts w:eastAsia="Times New Roman"/>
          <w:kern w:val="0"/>
          <w:szCs w:val="24"/>
          <w:lang w:val="zh-CN"/>
        </w:rPr>
        <w:t>728,100</w:t>
      </w:r>
      <w:r>
        <w:rPr>
          <w:rFonts w:hint="eastAsia" w:ascii="宋体" w:hAnsi="宋体" w:cs="宋体"/>
          <w:kern w:val="0"/>
          <w:szCs w:val="24"/>
          <w:lang w:val="zh-CN"/>
        </w:rPr>
        <w:t>股予以回购注销，合计回购注销限制性股票</w:t>
      </w:r>
      <w:r>
        <w:rPr>
          <w:rFonts w:eastAsia="Times New Roman"/>
          <w:kern w:val="0"/>
          <w:szCs w:val="24"/>
          <w:lang w:val="zh-CN"/>
        </w:rPr>
        <w:t>1,054,100</w:t>
      </w:r>
      <w:r>
        <w:rPr>
          <w:rFonts w:hint="eastAsia" w:ascii="宋体" w:hAnsi="宋体" w:cs="宋体"/>
          <w:kern w:val="0"/>
          <w:szCs w:val="24"/>
          <w:lang w:val="zh-CN"/>
        </w:rPr>
        <w:t>股，回购价格为</w:t>
      </w:r>
      <w:r>
        <w:rPr>
          <w:rFonts w:eastAsia="Times New Roman"/>
          <w:kern w:val="0"/>
          <w:szCs w:val="24"/>
          <w:lang w:val="zh-CN"/>
        </w:rPr>
        <w:t>13.31</w:t>
      </w:r>
      <w:r>
        <w:rPr>
          <w:rFonts w:hint="eastAsia" w:ascii="宋体" w:hAnsi="宋体" w:cs="宋体"/>
          <w:kern w:val="0"/>
          <w:szCs w:val="24"/>
          <w:lang w:val="zh-CN"/>
        </w:rPr>
        <w:t>元</w:t>
      </w:r>
      <w:r>
        <w:rPr>
          <w:rFonts w:eastAsia="Times New Roman"/>
          <w:kern w:val="0"/>
          <w:szCs w:val="24"/>
          <w:lang w:val="zh-CN"/>
        </w:rPr>
        <w:t>/</w:t>
      </w:r>
      <w:r>
        <w:rPr>
          <w:rFonts w:hint="eastAsia" w:ascii="宋体" w:hAnsi="宋体" w:cs="宋体"/>
          <w:kern w:val="0"/>
          <w:szCs w:val="24"/>
          <w:lang w:val="zh-CN"/>
        </w:rPr>
        <w:t>股。回购总金额</w:t>
      </w:r>
      <w:r>
        <w:rPr>
          <w:rFonts w:eastAsia="Times New Roman"/>
          <w:kern w:val="0"/>
          <w:szCs w:val="24"/>
          <w:lang w:val="zh-CN"/>
        </w:rPr>
        <w:t>14,030,071.00</w:t>
      </w:r>
      <w:r>
        <w:rPr>
          <w:rFonts w:hint="eastAsia" w:ascii="宋体" w:hAnsi="宋体" w:cs="宋体"/>
          <w:kern w:val="0"/>
          <w:szCs w:val="24"/>
          <w:lang w:val="zh-CN"/>
        </w:rPr>
        <w:t>元，公司独立董事对此发表了同意的独立意见，监事会也发表了核查意见。</w:t>
      </w:r>
    </w:p>
    <w:p>
      <w:pPr>
        <w:autoSpaceDE w:val="0"/>
        <w:autoSpaceDN w:val="0"/>
        <w:adjustRightInd w:val="0"/>
        <w:ind w:firstLine="360"/>
        <w:rPr>
          <w:rFonts w:eastAsia="Times New Roman"/>
          <w:kern w:val="0"/>
          <w:szCs w:val="24"/>
          <w:lang w:val="zh-CN"/>
        </w:rPr>
      </w:pPr>
      <w:r>
        <w:rPr>
          <w:rFonts w:eastAsia="Times New Roman"/>
          <w:kern w:val="0"/>
          <w:szCs w:val="24"/>
          <w:lang w:val="zh-CN"/>
        </w:rPr>
        <w:t>8</w:t>
      </w:r>
      <w:r>
        <w:rPr>
          <w:rFonts w:hint="eastAsia" w:ascii="宋体" w:hAnsi="宋体" w:cs="宋体"/>
          <w:kern w:val="0"/>
          <w:szCs w:val="24"/>
          <w:lang w:val="zh-CN"/>
        </w:rPr>
        <w:t>、</w:t>
      </w:r>
      <w:r>
        <w:rPr>
          <w:rFonts w:eastAsia="Times New Roman"/>
          <w:kern w:val="0"/>
          <w:szCs w:val="24"/>
          <w:lang w:val="zh-CN"/>
        </w:rPr>
        <w:t>2018</w:t>
      </w:r>
      <w:r>
        <w:rPr>
          <w:rFonts w:hint="eastAsia" w:ascii="宋体" w:hAnsi="宋体" w:cs="宋体"/>
          <w:kern w:val="0"/>
          <w:szCs w:val="24"/>
          <w:lang w:val="zh-CN"/>
        </w:rPr>
        <w:t>年</w:t>
      </w:r>
      <w:r>
        <w:rPr>
          <w:rFonts w:eastAsia="Times New Roman"/>
          <w:kern w:val="0"/>
          <w:szCs w:val="24"/>
          <w:lang w:val="zh-CN"/>
        </w:rPr>
        <w:t>7</w:t>
      </w:r>
      <w:r>
        <w:rPr>
          <w:rFonts w:hint="eastAsia" w:ascii="宋体" w:hAnsi="宋体" w:cs="宋体"/>
          <w:kern w:val="0"/>
          <w:szCs w:val="24"/>
          <w:lang w:val="zh-CN"/>
        </w:rPr>
        <w:t>月</w:t>
      </w:r>
      <w:r>
        <w:rPr>
          <w:rFonts w:eastAsia="Times New Roman"/>
          <w:kern w:val="0"/>
          <w:szCs w:val="24"/>
          <w:lang w:val="zh-CN"/>
        </w:rPr>
        <w:t>16</w:t>
      </w:r>
      <w:r>
        <w:rPr>
          <w:rFonts w:hint="eastAsia" w:ascii="宋体" w:hAnsi="宋体" w:cs="宋体"/>
          <w:kern w:val="0"/>
          <w:szCs w:val="24"/>
          <w:lang w:val="zh-CN"/>
        </w:rPr>
        <w:t>日，公司召开第三届董事会第七次会议审议了《关于公司股权激励计划首次授予的限制性股票第二个解锁期可解锁的议案》，因三名关联董事回避表决，导致非关联董事人数不足三人，董事会对该议案无法形成决议，因此该议案需提交公司股东大会审议；同时，该次董事会会议审议并通过了《关于公司股权激励计划预留部分的限制性股票第一个解锁期可解锁的议案》以及《关于回购注销部分激励对象已获授但尚未解锁的限制性股票的议案》。同时，公司第三届监事会第六次会议审议通过了上述三项议案。公司独立董事就上述回购注销、首次授予第二个解锁期可解锁及预留部分第一个解锁期可解锁事项发表了同意的独立意见，律师事务所就前述回购注销、首次授予第二个解锁期可解锁及预留部分第一个解锁期可解锁事项出具了法律意见书。</w:t>
      </w:r>
    </w:p>
    <w:p>
      <w:pPr>
        <w:autoSpaceDE w:val="0"/>
        <w:autoSpaceDN w:val="0"/>
        <w:adjustRightInd w:val="0"/>
        <w:ind w:firstLine="360"/>
        <w:rPr>
          <w:rFonts w:eastAsia="Times New Roman"/>
          <w:kern w:val="0"/>
          <w:szCs w:val="24"/>
          <w:lang w:val="zh-CN"/>
        </w:rPr>
      </w:pPr>
      <w:r>
        <w:rPr>
          <w:rFonts w:eastAsia="Times New Roman"/>
          <w:kern w:val="0"/>
          <w:szCs w:val="24"/>
          <w:lang w:val="zh-CN"/>
        </w:rPr>
        <w:t>9</w:t>
      </w:r>
      <w:r>
        <w:rPr>
          <w:rFonts w:hint="eastAsia" w:ascii="宋体" w:hAnsi="宋体" w:cs="宋体"/>
          <w:kern w:val="0"/>
          <w:szCs w:val="24"/>
          <w:lang w:val="zh-CN"/>
        </w:rPr>
        <w:t>、</w:t>
      </w:r>
      <w:r>
        <w:rPr>
          <w:rFonts w:eastAsia="Times New Roman"/>
          <w:kern w:val="0"/>
          <w:szCs w:val="24"/>
          <w:lang w:val="zh-CN"/>
        </w:rPr>
        <w:t>2018</w:t>
      </w:r>
      <w:r>
        <w:rPr>
          <w:rFonts w:hint="eastAsia" w:ascii="宋体" w:hAnsi="宋体" w:cs="宋体"/>
          <w:kern w:val="0"/>
          <w:szCs w:val="24"/>
          <w:lang w:val="zh-CN"/>
        </w:rPr>
        <w:t>年</w:t>
      </w:r>
      <w:r>
        <w:rPr>
          <w:rFonts w:eastAsia="Times New Roman"/>
          <w:kern w:val="0"/>
          <w:szCs w:val="24"/>
          <w:lang w:val="zh-CN"/>
        </w:rPr>
        <w:t>8</w:t>
      </w:r>
      <w:r>
        <w:rPr>
          <w:rFonts w:hint="eastAsia" w:ascii="宋体" w:hAnsi="宋体" w:cs="宋体"/>
          <w:kern w:val="0"/>
          <w:szCs w:val="24"/>
          <w:lang w:val="zh-CN"/>
        </w:rPr>
        <w:t>月</w:t>
      </w:r>
      <w:r>
        <w:rPr>
          <w:rFonts w:eastAsia="Times New Roman"/>
          <w:kern w:val="0"/>
          <w:szCs w:val="24"/>
          <w:lang w:val="zh-CN"/>
        </w:rPr>
        <w:t>3</w:t>
      </w:r>
      <w:r>
        <w:rPr>
          <w:rFonts w:hint="eastAsia" w:ascii="宋体" w:hAnsi="宋体" w:cs="宋体"/>
          <w:kern w:val="0"/>
          <w:szCs w:val="24"/>
          <w:lang w:val="zh-CN"/>
        </w:rPr>
        <w:t>日，公司召开</w:t>
      </w:r>
      <w:r>
        <w:rPr>
          <w:rFonts w:eastAsia="Times New Roman"/>
          <w:kern w:val="0"/>
          <w:szCs w:val="24"/>
          <w:lang w:val="zh-CN"/>
        </w:rPr>
        <w:t>2018</w:t>
      </w:r>
      <w:r>
        <w:rPr>
          <w:rFonts w:hint="eastAsia" w:ascii="宋体" w:hAnsi="宋体" w:cs="宋体"/>
          <w:kern w:val="0"/>
          <w:szCs w:val="24"/>
          <w:lang w:val="zh-CN"/>
        </w:rPr>
        <w:t>年度第二次临时股东大会，审议并通过了《关于公司股权激励计划首次授予的限制性股票第二个解锁期可解锁的议案》《关于回购注销部分激励对象已获授但尚未解锁的限制性股票的议案》，同意公司对首次授予的限制性股票符合解锁条件的</w:t>
      </w:r>
      <w:r>
        <w:rPr>
          <w:rFonts w:eastAsia="Times New Roman"/>
          <w:kern w:val="0"/>
          <w:szCs w:val="24"/>
          <w:lang w:val="zh-CN"/>
        </w:rPr>
        <w:t>283</w:t>
      </w:r>
      <w:r>
        <w:rPr>
          <w:rFonts w:hint="eastAsia" w:ascii="宋体" w:hAnsi="宋体" w:cs="宋体"/>
          <w:kern w:val="0"/>
          <w:szCs w:val="24"/>
          <w:lang w:val="zh-CN"/>
        </w:rPr>
        <w:t>名激励对象第二个解锁期内的</w:t>
      </w:r>
      <w:r>
        <w:rPr>
          <w:rFonts w:eastAsia="Times New Roman"/>
          <w:kern w:val="0"/>
          <w:szCs w:val="24"/>
          <w:lang w:val="zh-CN"/>
        </w:rPr>
        <w:t>1,326,600</w:t>
      </w:r>
      <w:r>
        <w:rPr>
          <w:rFonts w:hint="eastAsia" w:ascii="宋体" w:hAnsi="宋体" w:cs="宋体"/>
          <w:kern w:val="0"/>
          <w:szCs w:val="24"/>
          <w:lang w:val="zh-CN"/>
        </w:rPr>
        <w:t>股限制性股票办理解锁手续；同意公司回购注销部分已获授但尚未解锁的限制性股票股份数量共计为</w:t>
      </w:r>
      <w:r>
        <w:rPr>
          <w:rFonts w:eastAsia="Times New Roman"/>
          <w:kern w:val="0"/>
          <w:szCs w:val="24"/>
          <w:lang w:val="zh-CN"/>
        </w:rPr>
        <w:t>563,600</w:t>
      </w:r>
      <w:r>
        <w:rPr>
          <w:rFonts w:hint="eastAsia" w:ascii="宋体" w:hAnsi="宋体" w:cs="宋体"/>
          <w:kern w:val="0"/>
          <w:szCs w:val="24"/>
          <w:lang w:val="zh-CN"/>
        </w:rPr>
        <w:t>股。</w:t>
      </w:r>
    </w:p>
    <w:p>
      <w:pPr>
        <w:autoSpaceDE w:val="0"/>
        <w:autoSpaceDN w:val="0"/>
        <w:adjustRightInd w:val="0"/>
        <w:ind w:firstLine="360"/>
        <w:rPr>
          <w:rFonts w:eastAsia="Times New Roman"/>
          <w:kern w:val="0"/>
          <w:szCs w:val="24"/>
          <w:lang w:val="zh-CN"/>
        </w:rPr>
      </w:pPr>
      <w:r>
        <w:rPr>
          <w:rFonts w:eastAsia="Times New Roman"/>
          <w:kern w:val="0"/>
          <w:szCs w:val="24"/>
          <w:lang w:val="zh-CN"/>
        </w:rPr>
        <w:t>10</w:t>
      </w:r>
      <w:r>
        <w:rPr>
          <w:rFonts w:hint="eastAsia" w:ascii="宋体" w:hAnsi="宋体" w:cs="宋体"/>
          <w:kern w:val="0"/>
          <w:szCs w:val="24"/>
          <w:lang w:val="zh-CN"/>
        </w:rPr>
        <w:t>、</w:t>
      </w:r>
      <w:r>
        <w:rPr>
          <w:rFonts w:eastAsia="Times New Roman"/>
          <w:kern w:val="0"/>
          <w:szCs w:val="24"/>
          <w:lang w:val="zh-CN"/>
        </w:rPr>
        <w:t>2018</w:t>
      </w:r>
      <w:r>
        <w:rPr>
          <w:rFonts w:hint="eastAsia" w:ascii="宋体" w:hAnsi="宋体" w:cs="宋体"/>
          <w:kern w:val="0"/>
          <w:szCs w:val="24"/>
          <w:lang w:val="zh-CN"/>
        </w:rPr>
        <w:t>年</w:t>
      </w:r>
      <w:r>
        <w:rPr>
          <w:rFonts w:eastAsia="Times New Roman"/>
          <w:kern w:val="0"/>
          <w:szCs w:val="24"/>
          <w:lang w:val="zh-CN"/>
        </w:rPr>
        <w:t>10</w:t>
      </w:r>
      <w:r>
        <w:rPr>
          <w:rFonts w:hint="eastAsia" w:ascii="宋体" w:hAnsi="宋体" w:cs="宋体"/>
          <w:kern w:val="0"/>
          <w:szCs w:val="24"/>
          <w:lang w:val="zh-CN"/>
        </w:rPr>
        <w:t>月</w:t>
      </w:r>
      <w:r>
        <w:rPr>
          <w:rFonts w:eastAsia="Times New Roman"/>
          <w:kern w:val="0"/>
          <w:szCs w:val="24"/>
          <w:lang w:val="zh-CN"/>
        </w:rPr>
        <w:t>26</w:t>
      </w:r>
      <w:r>
        <w:rPr>
          <w:rFonts w:hint="eastAsia" w:ascii="宋体" w:hAnsi="宋体" w:cs="宋体"/>
          <w:kern w:val="0"/>
          <w:szCs w:val="24"/>
          <w:lang w:val="zh-CN"/>
        </w:rPr>
        <w:t>日，公司召开第三届董事会第九次会议审议通过了《关于回购注销部分激励对象已获授但尚未解锁的限制性股票的议案》、</w:t>
      </w:r>
      <w:r>
        <w:rPr>
          <w:rFonts w:eastAsia="Times New Roman"/>
          <w:kern w:val="0"/>
          <w:szCs w:val="24"/>
          <w:lang w:val="zh-CN"/>
        </w:rPr>
        <w:t>2018</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7</w:t>
      </w:r>
      <w:r>
        <w:rPr>
          <w:rFonts w:hint="eastAsia" w:ascii="宋体" w:hAnsi="宋体" w:cs="宋体"/>
          <w:kern w:val="0"/>
          <w:szCs w:val="24"/>
          <w:lang w:val="zh-CN"/>
        </w:rPr>
        <w:t>日，公司召开第三届董事会第十一次会议审议通过了《关于回购注销部分激励对象（</w:t>
      </w:r>
      <w:r>
        <w:rPr>
          <w:rFonts w:eastAsia="Times New Roman"/>
          <w:kern w:val="0"/>
          <w:szCs w:val="24"/>
          <w:lang w:val="zh-CN"/>
        </w:rPr>
        <w:t>2018</w:t>
      </w:r>
      <w:r>
        <w:rPr>
          <w:rFonts w:hint="eastAsia" w:ascii="宋体" w:hAnsi="宋体" w:cs="宋体"/>
          <w:kern w:val="0"/>
          <w:szCs w:val="24"/>
          <w:lang w:val="zh-CN"/>
        </w:rPr>
        <w:t>年第二次）已获授但尚未解锁的限制性股票的议案》，上述两项议案同意回购注销</w:t>
      </w:r>
      <w:r>
        <w:rPr>
          <w:rFonts w:eastAsia="Times New Roman"/>
          <w:kern w:val="0"/>
          <w:szCs w:val="24"/>
          <w:lang w:val="zh-CN"/>
        </w:rPr>
        <w:t>14</w:t>
      </w:r>
      <w:r>
        <w:rPr>
          <w:rFonts w:hint="eastAsia" w:ascii="宋体" w:hAnsi="宋体" w:cs="宋体"/>
          <w:kern w:val="0"/>
          <w:szCs w:val="24"/>
          <w:lang w:val="zh-CN"/>
        </w:rPr>
        <w:t>名离职人员已获授但尚未解锁的限制性股票共计</w:t>
      </w:r>
      <w:r>
        <w:rPr>
          <w:rFonts w:eastAsia="Times New Roman"/>
          <w:kern w:val="0"/>
          <w:szCs w:val="24"/>
          <w:lang w:val="zh-CN"/>
        </w:rPr>
        <w:t>259,000</w:t>
      </w:r>
      <w:r>
        <w:rPr>
          <w:rFonts w:hint="eastAsia" w:ascii="宋体" w:hAnsi="宋体" w:cs="宋体"/>
          <w:kern w:val="0"/>
          <w:szCs w:val="24"/>
          <w:lang w:val="zh-CN"/>
        </w:rPr>
        <w:t>股，并提交至公司</w:t>
      </w:r>
      <w:r>
        <w:rPr>
          <w:rFonts w:eastAsia="Times New Roman"/>
          <w:kern w:val="0"/>
          <w:szCs w:val="24"/>
          <w:lang w:val="zh-CN"/>
        </w:rPr>
        <w:t>2018</w:t>
      </w:r>
      <w:r>
        <w:rPr>
          <w:rFonts w:hint="eastAsia" w:ascii="宋体" w:hAnsi="宋体" w:cs="宋体"/>
          <w:kern w:val="0"/>
          <w:szCs w:val="24"/>
          <w:lang w:val="zh-CN"/>
        </w:rPr>
        <w:t>年度第四次临时股东大会审议。</w:t>
      </w:r>
    </w:p>
    <w:p>
      <w:pPr>
        <w:autoSpaceDE w:val="0"/>
        <w:autoSpaceDN w:val="0"/>
        <w:adjustRightInd w:val="0"/>
        <w:ind w:firstLine="360"/>
        <w:rPr>
          <w:rFonts w:eastAsia="Times New Roman"/>
          <w:kern w:val="0"/>
          <w:szCs w:val="24"/>
          <w:lang w:val="zh-CN"/>
        </w:rPr>
      </w:pPr>
      <w:r>
        <w:rPr>
          <w:rFonts w:eastAsia="Times New Roman"/>
          <w:kern w:val="0"/>
          <w:szCs w:val="24"/>
          <w:lang w:val="zh-CN"/>
        </w:rPr>
        <w:t>11</w:t>
      </w:r>
      <w:r>
        <w:rPr>
          <w:rFonts w:hint="eastAsia" w:ascii="宋体" w:hAnsi="宋体" w:cs="宋体"/>
          <w:kern w:val="0"/>
          <w:szCs w:val="24"/>
          <w:lang w:val="zh-CN"/>
        </w:rPr>
        <w:t>、</w:t>
      </w:r>
      <w:r>
        <w:rPr>
          <w:rFonts w:eastAsia="Times New Roman"/>
          <w:kern w:val="0"/>
          <w:szCs w:val="24"/>
          <w:lang w:val="zh-CN"/>
        </w:rPr>
        <w:t>2018</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25</w:t>
      </w:r>
      <w:r>
        <w:rPr>
          <w:rFonts w:hint="eastAsia" w:ascii="宋体" w:hAnsi="宋体" w:cs="宋体"/>
          <w:kern w:val="0"/>
          <w:szCs w:val="24"/>
          <w:lang w:val="zh-CN"/>
        </w:rPr>
        <w:t>日，公司召开</w:t>
      </w:r>
      <w:r>
        <w:rPr>
          <w:rFonts w:eastAsia="Times New Roman"/>
          <w:kern w:val="0"/>
          <w:szCs w:val="24"/>
          <w:lang w:val="zh-CN"/>
        </w:rPr>
        <w:t>2018</w:t>
      </w:r>
      <w:r>
        <w:rPr>
          <w:rFonts w:hint="eastAsia" w:ascii="宋体" w:hAnsi="宋体" w:cs="宋体"/>
          <w:kern w:val="0"/>
          <w:szCs w:val="24"/>
          <w:lang w:val="zh-CN"/>
        </w:rPr>
        <w:t>年度第四次临时股东大会，审议并通过了《关于回购注销部分激励对象已获授但尚未解锁的限制性股票的议案》《关于回购注销部分激励对象（</w:t>
      </w:r>
      <w:r>
        <w:rPr>
          <w:rFonts w:eastAsia="Times New Roman"/>
          <w:kern w:val="0"/>
          <w:szCs w:val="24"/>
          <w:lang w:val="zh-CN"/>
        </w:rPr>
        <w:t>2018</w:t>
      </w:r>
      <w:r>
        <w:rPr>
          <w:rFonts w:hint="eastAsia" w:ascii="宋体" w:hAnsi="宋体" w:cs="宋体"/>
          <w:kern w:val="0"/>
          <w:szCs w:val="24"/>
          <w:lang w:val="zh-CN"/>
        </w:rPr>
        <w:t>年第二次）已获授但尚未解锁的限制性股票的议案》，同意公司回购注销因离职已不符合激励条件的</w:t>
      </w:r>
      <w:r>
        <w:rPr>
          <w:rFonts w:eastAsia="Times New Roman"/>
          <w:kern w:val="0"/>
          <w:szCs w:val="24"/>
          <w:lang w:val="zh-CN"/>
        </w:rPr>
        <w:t>14</w:t>
      </w:r>
      <w:r>
        <w:rPr>
          <w:rFonts w:hint="eastAsia" w:ascii="宋体" w:hAnsi="宋体" w:cs="宋体"/>
          <w:kern w:val="0"/>
          <w:szCs w:val="24"/>
          <w:lang w:val="zh-CN"/>
        </w:rPr>
        <w:t>名激励对象已获授但尚未解锁的限制性股票共计</w:t>
      </w:r>
      <w:r>
        <w:rPr>
          <w:rFonts w:eastAsia="Times New Roman"/>
          <w:kern w:val="0"/>
          <w:szCs w:val="24"/>
          <w:lang w:val="zh-CN"/>
        </w:rPr>
        <w:t>259,000</w:t>
      </w:r>
      <w:r>
        <w:rPr>
          <w:rFonts w:hint="eastAsia" w:ascii="宋体" w:hAnsi="宋体" w:cs="宋体"/>
          <w:kern w:val="0"/>
          <w:szCs w:val="24"/>
          <w:lang w:val="zh-CN"/>
        </w:rPr>
        <w:t>股。</w:t>
      </w:r>
    </w:p>
    <w:p>
      <w:pPr>
        <w:autoSpaceDE w:val="0"/>
        <w:autoSpaceDN w:val="0"/>
        <w:adjustRightInd w:val="0"/>
        <w:ind w:firstLine="360"/>
        <w:rPr>
          <w:rFonts w:eastAsia="Times New Roman"/>
          <w:kern w:val="0"/>
          <w:szCs w:val="24"/>
          <w:lang w:val="zh-CN"/>
        </w:rPr>
      </w:pPr>
      <w:r>
        <w:rPr>
          <w:rFonts w:eastAsia="Times New Roman"/>
          <w:kern w:val="0"/>
          <w:szCs w:val="24"/>
          <w:lang w:val="zh-CN"/>
        </w:rPr>
        <w:t>12</w:t>
      </w:r>
      <w:r>
        <w:rPr>
          <w:rFonts w:hint="eastAsia" w:ascii="宋体" w:hAnsi="宋体" w:cs="宋体"/>
          <w:kern w:val="0"/>
          <w:szCs w:val="24"/>
          <w:lang w:val="zh-CN"/>
        </w:rPr>
        <w:t>、</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7</w:t>
      </w:r>
      <w:r>
        <w:rPr>
          <w:rFonts w:hint="eastAsia" w:ascii="宋体" w:hAnsi="宋体" w:cs="宋体"/>
          <w:kern w:val="0"/>
          <w:szCs w:val="24"/>
          <w:lang w:val="zh-CN"/>
        </w:rPr>
        <w:t>月</w:t>
      </w:r>
      <w:r>
        <w:rPr>
          <w:rFonts w:eastAsia="Times New Roman"/>
          <w:kern w:val="0"/>
          <w:szCs w:val="24"/>
          <w:lang w:val="zh-CN"/>
        </w:rPr>
        <w:t>16</w:t>
      </w:r>
      <w:r>
        <w:rPr>
          <w:rFonts w:hint="eastAsia" w:ascii="宋体" w:hAnsi="宋体" w:cs="宋体"/>
          <w:kern w:val="0"/>
          <w:szCs w:val="24"/>
          <w:lang w:val="zh-CN"/>
        </w:rPr>
        <w:t>日，公司召开第三届董事会第十八次会议审议了《关于公司股权激励计划首次授予的限制性股票第三个解锁期条件成就可解锁的议案》《关于调整部分限制性股票回购价格的议案》，因三名关联董事回避表决，导致非关联董事人数不足三人，董事会对该议案无法形成决议，因此该议案需提交公司股东大会审议；此外，该次董事会会议审议并通过了《关于公司股权激励计划预留部分的限制性股票第二个解锁期条件成就可解锁的议案》以及《关于回购注销部分激励对象已获授但尚未解锁的限制性股票的议案》。同日，公司第三届监事会第十六次会议审议通过了上述四项议案。公司独立董事就上述回购注销、首次授予第三个解锁期可解锁、预留部分第二个解锁期可解锁、调整部分限制性股票回购价格等事项发表了同意的独立意见，律师事务所就前述事项出具了法律意见书。</w:t>
      </w:r>
    </w:p>
    <w:p>
      <w:pPr>
        <w:autoSpaceDE w:val="0"/>
        <w:autoSpaceDN w:val="0"/>
        <w:adjustRightInd w:val="0"/>
        <w:ind w:firstLine="360"/>
        <w:rPr>
          <w:rFonts w:eastAsia="Times New Roman"/>
          <w:kern w:val="0"/>
          <w:szCs w:val="24"/>
          <w:lang w:val="zh-CN"/>
        </w:rPr>
      </w:pPr>
      <w:r>
        <w:rPr>
          <w:rFonts w:eastAsia="Times New Roman"/>
          <w:kern w:val="0"/>
          <w:szCs w:val="24"/>
          <w:lang w:val="zh-CN"/>
        </w:rPr>
        <w:t>13</w:t>
      </w:r>
      <w:r>
        <w:rPr>
          <w:rFonts w:hint="eastAsia" w:ascii="宋体" w:hAnsi="宋体" w:cs="宋体"/>
          <w:kern w:val="0"/>
          <w:szCs w:val="24"/>
          <w:lang w:val="zh-CN"/>
        </w:rPr>
        <w:t>、</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8</w:t>
      </w:r>
      <w:r>
        <w:rPr>
          <w:rFonts w:hint="eastAsia" w:ascii="宋体" w:hAnsi="宋体" w:cs="宋体"/>
          <w:kern w:val="0"/>
          <w:szCs w:val="24"/>
          <w:lang w:val="zh-CN"/>
        </w:rPr>
        <w:t>月</w:t>
      </w:r>
      <w:r>
        <w:rPr>
          <w:rFonts w:eastAsia="Times New Roman"/>
          <w:kern w:val="0"/>
          <w:szCs w:val="24"/>
          <w:lang w:val="zh-CN"/>
        </w:rPr>
        <w:t>2</w:t>
      </w:r>
      <w:r>
        <w:rPr>
          <w:rFonts w:hint="eastAsia" w:ascii="宋体" w:hAnsi="宋体" w:cs="宋体"/>
          <w:kern w:val="0"/>
          <w:szCs w:val="24"/>
          <w:lang w:val="zh-CN"/>
        </w:rPr>
        <w:t>日，公司</w:t>
      </w:r>
      <w:r>
        <w:rPr>
          <w:rFonts w:eastAsia="Times New Roman"/>
          <w:kern w:val="0"/>
          <w:szCs w:val="24"/>
          <w:lang w:val="zh-CN"/>
        </w:rPr>
        <w:t>2019</w:t>
      </w:r>
      <w:r>
        <w:rPr>
          <w:rFonts w:hint="eastAsia" w:ascii="宋体" w:hAnsi="宋体" w:cs="宋体"/>
          <w:kern w:val="0"/>
          <w:szCs w:val="24"/>
          <w:lang w:val="zh-CN"/>
        </w:rPr>
        <w:t>年第三次临时股东大会审议通过了《关于回购注销部分激励对象已获授但尚未解锁的限制性股票的议案》《关于调整部分限制性股票回购价格的议案》，同意公司回购注销部分激励对象已获授但尚未解锁的限制性股票共</w:t>
      </w:r>
      <w:r>
        <w:rPr>
          <w:rFonts w:eastAsia="Times New Roman"/>
          <w:kern w:val="0"/>
          <w:szCs w:val="24"/>
          <w:lang w:val="zh-CN"/>
        </w:rPr>
        <w:t>835,680</w:t>
      </w:r>
      <w:r>
        <w:rPr>
          <w:rFonts w:hint="eastAsia" w:ascii="宋体" w:hAnsi="宋体" w:cs="宋体"/>
          <w:kern w:val="0"/>
          <w:szCs w:val="24"/>
          <w:lang w:val="zh-CN"/>
        </w:rPr>
        <w:t>股。</w:t>
      </w:r>
    </w:p>
    <w:p>
      <w:pPr>
        <w:autoSpaceDE w:val="0"/>
        <w:autoSpaceDN w:val="0"/>
        <w:adjustRightInd w:val="0"/>
        <w:ind w:firstLine="360"/>
        <w:rPr>
          <w:rFonts w:eastAsia="Times New Roman"/>
          <w:kern w:val="0"/>
          <w:szCs w:val="24"/>
          <w:lang w:val="zh-CN"/>
        </w:rPr>
      </w:pPr>
      <w:r>
        <w:rPr>
          <w:rFonts w:hint="eastAsia" w:ascii="宋体" w:hAnsi="宋体" w:cs="宋体"/>
          <w:kern w:val="0"/>
          <w:szCs w:val="24"/>
          <w:lang w:val="zh-CN"/>
        </w:rPr>
        <w:t>（二）股权激励实施的影响</w:t>
      </w:r>
    </w:p>
    <w:p>
      <w:pPr>
        <w:autoSpaceDE w:val="0"/>
        <w:autoSpaceDN w:val="0"/>
        <w:adjustRightInd w:val="0"/>
        <w:rPr>
          <w:rFonts w:eastAsiaTheme="minorEastAsia"/>
          <w:kern w:val="0"/>
          <w:szCs w:val="24"/>
          <w:lang w:val="zh-CN"/>
        </w:rPr>
      </w:pPr>
      <w:r>
        <w:rPr>
          <w:rFonts w:hint="eastAsia" w:ascii="宋体" w:hAnsi="宋体" w:cs="宋体"/>
          <w:kern w:val="0"/>
          <w:szCs w:val="24"/>
          <w:lang w:val="zh-CN"/>
        </w:rPr>
        <w:t>按照《企业会计准则第</w:t>
      </w:r>
      <w:r>
        <w:rPr>
          <w:rFonts w:eastAsia="Times New Roman"/>
          <w:kern w:val="0"/>
          <w:szCs w:val="24"/>
          <w:lang w:val="zh-CN"/>
        </w:rPr>
        <w:t>11</w:t>
      </w:r>
      <w:r>
        <w:rPr>
          <w:rFonts w:hint="eastAsia" w:ascii="宋体" w:hAnsi="宋体" w:cs="宋体"/>
          <w:kern w:val="0"/>
          <w:szCs w:val="24"/>
          <w:lang w:val="zh-CN"/>
        </w:rPr>
        <w:t>号</w:t>
      </w:r>
      <w:r>
        <w:rPr>
          <w:rFonts w:eastAsia="Times New Roman"/>
          <w:kern w:val="0"/>
          <w:szCs w:val="24"/>
          <w:lang w:val="zh-CN"/>
        </w:rPr>
        <w:t>—</w:t>
      </w:r>
      <w:r>
        <w:rPr>
          <w:rFonts w:hint="eastAsia" w:ascii="宋体" w:hAnsi="宋体" w:cs="宋体"/>
          <w:kern w:val="0"/>
          <w:szCs w:val="24"/>
          <w:lang w:val="zh-CN"/>
        </w:rPr>
        <w:t>股份支付》的规定，公司将在锁定期的每个资产负债表日，根据最新取得的可解锁人数变动、业绩指标完成情况等后续信息，修正预计可解锁的限制性股票数量，并按照限制性股票授予日的公允价值，将当期取得的服务计入相关成本或费用和资本公积。</w:t>
      </w:r>
    </w:p>
    <w:p>
      <w:pPr>
        <w:pStyle w:val="13"/>
        <w:outlineLvl w:val="1"/>
        <w:rPr>
          <w:bCs w:val="0"/>
        </w:rPr>
      </w:pPr>
      <w:r>
        <w:rPr>
          <w:rFonts w:hint="eastAsia"/>
          <w:bCs w:val="0"/>
        </w:rPr>
        <w:t>十五、重大关联交易</w:t>
      </w:r>
    </w:p>
    <w:p>
      <w:pPr>
        <w:pStyle w:val="14"/>
        <w:outlineLvl w:val="2"/>
      </w:pPr>
      <w:r>
        <w:t>1、与日常经营相关的关联交易</w:t>
      </w:r>
    </w:p>
    <w:p>
      <w:pPr>
        <w:jc w:val="left"/>
      </w:pPr>
      <w:r>
        <w:t xml:space="preserve">√ 适用 □ 不适用 </w:t>
      </w:r>
    </w:p>
    <w:tbl>
      <w:tblPr>
        <w:tblStyle w:val="9"/>
        <w:tblW w:w="0" w:type="auto"/>
        <w:tblInd w:w="28" w:type="dxa"/>
        <w:tblLayout w:type="fixed"/>
        <w:tblCellMar>
          <w:top w:w="0" w:type="dxa"/>
          <w:left w:w="28" w:type="dxa"/>
          <w:bottom w:w="0" w:type="dxa"/>
          <w:right w:w="28" w:type="dxa"/>
        </w:tblCellMar>
      </w:tblPr>
      <w:tblGrid>
        <w:gridCol w:w="799"/>
        <w:gridCol w:w="677"/>
        <w:gridCol w:w="677"/>
        <w:gridCol w:w="703"/>
        <w:gridCol w:w="680"/>
        <w:gridCol w:w="674"/>
        <w:gridCol w:w="674"/>
        <w:gridCol w:w="674"/>
        <w:gridCol w:w="674"/>
        <w:gridCol w:w="674"/>
        <w:gridCol w:w="674"/>
        <w:gridCol w:w="674"/>
        <w:gridCol w:w="670"/>
        <w:gridCol w:w="645"/>
      </w:tblGrid>
      <w:tr>
        <w:tblPrEx>
          <w:tblCellMar>
            <w:top w:w="0" w:type="dxa"/>
            <w:left w:w="28" w:type="dxa"/>
            <w:bottom w:w="0" w:type="dxa"/>
            <w:right w:w="28" w:type="dxa"/>
          </w:tblCellMar>
        </w:tblPrEx>
        <w:tc>
          <w:tcPr>
            <w:tcW w:w="7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关联交易方</w:t>
            </w:r>
          </w:p>
        </w:tc>
        <w:tc>
          <w:tcPr>
            <w:tcW w:w="67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关联关系</w:t>
            </w:r>
          </w:p>
        </w:tc>
        <w:tc>
          <w:tcPr>
            <w:tcW w:w="67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关联交易类型</w:t>
            </w:r>
          </w:p>
        </w:tc>
        <w:tc>
          <w:tcPr>
            <w:tcW w:w="70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关联交易内容</w:t>
            </w:r>
          </w:p>
        </w:tc>
        <w:tc>
          <w:tcPr>
            <w:tcW w:w="6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关联交易定价原则</w:t>
            </w:r>
          </w:p>
        </w:tc>
        <w:tc>
          <w:tcPr>
            <w:tcW w:w="67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关联交易价格</w:t>
            </w:r>
          </w:p>
        </w:tc>
        <w:tc>
          <w:tcPr>
            <w:tcW w:w="67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关联交易金额（万元）</w:t>
            </w:r>
          </w:p>
        </w:tc>
        <w:tc>
          <w:tcPr>
            <w:tcW w:w="67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占同类交易金额的比例</w:t>
            </w:r>
          </w:p>
        </w:tc>
        <w:tc>
          <w:tcPr>
            <w:tcW w:w="67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获批的交易额度（万元）</w:t>
            </w:r>
          </w:p>
        </w:tc>
        <w:tc>
          <w:tcPr>
            <w:tcW w:w="67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是否超过获批额度</w:t>
            </w:r>
          </w:p>
        </w:tc>
        <w:tc>
          <w:tcPr>
            <w:tcW w:w="67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关联交易结算方式</w:t>
            </w:r>
          </w:p>
        </w:tc>
        <w:tc>
          <w:tcPr>
            <w:tcW w:w="67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可获得的同类交易市价</w:t>
            </w:r>
          </w:p>
        </w:tc>
        <w:tc>
          <w:tcPr>
            <w:tcW w:w="6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披露日期</w:t>
            </w:r>
          </w:p>
        </w:tc>
        <w:tc>
          <w:tcPr>
            <w:tcW w:w="64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披露索引</w:t>
            </w:r>
          </w:p>
        </w:tc>
      </w:tr>
      <w:tr>
        <w:tblPrEx>
          <w:tblCellMar>
            <w:top w:w="0" w:type="dxa"/>
            <w:left w:w="28" w:type="dxa"/>
            <w:bottom w:w="0" w:type="dxa"/>
            <w:right w:w="28" w:type="dxa"/>
          </w:tblCellMar>
        </w:tblPrEx>
        <w:tc>
          <w:tcPr>
            <w:tcW w:w="79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宁波鄞州美康国宾门诊部</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实际控制人控制的法人</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提供劳务</w:t>
            </w:r>
          </w:p>
        </w:tc>
        <w:tc>
          <w:tcPr>
            <w:tcW w:w="70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提供劳务</w:t>
            </w:r>
          </w:p>
        </w:tc>
        <w:tc>
          <w:tcPr>
            <w:tcW w:w="6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协商价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354.84</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0.71%</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850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银行转账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2020年04月27日</w:t>
            </w:r>
          </w:p>
        </w:tc>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公告编号2019-038</w:t>
            </w:r>
          </w:p>
        </w:tc>
      </w:tr>
      <w:tr>
        <w:tblPrEx>
          <w:tblCellMar>
            <w:top w:w="0" w:type="dxa"/>
            <w:left w:w="28" w:type="dxa"/>
            <w:bottom w:w="0" w:type="dxa"/>
            <w:right w:w="28" w:type="dxa"/>
          </w:tblCellMar>
        </w:tblPrEx>
        <w:tc>
          <w:tcPr>
            <w:tcW w:w="79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宁波鄞州美康中医医院</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实际控制人控制的法人</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提供劳务</w:t>
            </w:r>
          </w:p>
        </w:tc>
        <w:tc>
          <w:tcPr>
            <w:tcW w:w="70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提供劳务</w:t>
            </w:r>
          </w:p>
        </w:tc>
        <w:tc>
          <w:tcPr>
            <w:tcW w:w="6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协商价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156.21</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0.31%</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150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是</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银行转账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2020年04月27日</w:t>
            </w:r>
          </w:p>
        </w:tc>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公告编号2019-038</w:t>
            </w:r>
          </w:p>
        </w:tc>
      </w:tr>
      <w:tr>
        <w:tblPrEx>
          <w:tblCellMar>
            <w:top w:w="0" w:type="dxa"/>
            <w:left w:w="28" w:type="dxa"/>
            <w:bottom w:w="0" w:type="dxa"/>
            <w:right w:w="28" w:type="dxa"/>
          </w:tblCellMar>
        </w:tblPrEx>
        <w:tc>
          <w:tcPr>
            <w:tcW w:w="79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永城美康国宾健康管理有限公司</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实际控制人控制的企业</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提供劳务</w:t>
            </w:r>
          </w:p>
        </w:tc>
        <w:tc>
          <w:tcPr>
            <w:tcW w:w="70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提供劳务</w:t>
            </w:r>
          </w:p>
        </w:tc>
        <w:tc>
          <w:tcPr>
            <w:tcW w:w="6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协商价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410.27</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0.82%</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400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是</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银行转账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2020年04月27日</w:t>
            </w:r>
          </w:p>
        </w:tc>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公告编号2019-038</w:t>
            </w:r>
          </w:p>
        </w:tc>
      </w:tr>
      <w:tr>
        <w:tblPrEx>
          <w:tblCellMar>
            <w:top w:w="0" w:type="dxa"/>
            <w:left w:w="28" w:type="dxa"/>
            <w:bottom w:w="0" w:type="dxa"/>
            <w:right w:w="28" w:type="dxa"/>
          </w:tblCellMar>
        </w:tblPrEx>
        <w:tc>
          <w:tcPr>
            <w:tcW w:w="79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宁波鄞州美康国宾门诊部</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实际控制人控制的法人</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水电费</w:t>
            </w:r>
          </w:p>
        </w:tc>
        <w:tc>
          <w:tcPr>
            <w:tcW w:w="70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水电费</w:t>
            </w:r>
          </w:p>
        </w:tc>
        <w:tc>
          <w:tcPr>
            <w:tcW w:w="6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协商价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12.91</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0.25%</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银行转账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2020年04月27日</w:t>
            </w:r>
          </w:p>
        </w:tc>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公告编号2019-038</w:t>
            </w:r>
          </w:p>
        </w:tc>
      </w:tr>
      <w:tr>
        <w:tblPrEx>
          <w:tblCellMar>
            <w:top w:w="0" w:type="dxa"/>
            <w:left w:w="28" w:type="dxa"/>
            <w:bottom w:w="0" w:type="dxa"/>
            <w:right w:w="28" w:type="dxa"/>
          </w:tblCellMar>
        </w:tblPrEx>
        <w:tc>
          <w:tcPr>
            <w:tcW w:w="79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宁波鄞州美康中医医院</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实际控制人控制的法人</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水电费</w:t>
            </w:r>
          </w:p>
        </w:tc>
        <w:tc>
          <w:tcPr>
            <w:tcW w:w="70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水电费</w:t>
            </w:r>
          </w:p>
        </w:tc>
        <w:tc>
          <w:tcPr>
            <w:tcW w:w="6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协商价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36.74</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0.70%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银行转账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2020年04月27日</w:t>
            </w:r>
          </w:p>
        </w:tc>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公告编号2019-038</w:t>
            </w:r>
          </w:p>
        </w:tc>
      </w:tr>
      <w:tr>
        <w:tblPrEx>
          <w:tblCellMar>
            <w:top w:w="0" w:type="dxa"/>
            <w:left w:w="28" w:type="dxa"/>
            <w:bottom w:w="0" w:type="dxa"/>
            <w:right w:w="28" w:type="dxa"/>
          </w:tblCellMar>
        </w:tblPrEx>
        <w:tc>
          <w:tcPr>
            <w:tcW w:w="79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浙江美康网新云健康科技股份有限公司</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实际控制人控制的企业</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销售商品</w:t>
            </w:r>
          </w:p>
        </w:tc>
        <w:tc>
          <w:tcPr>
            <w:tcW w:w="70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销售商品</w:t>
            </w:r>
          </w:p>
        </w:tc>
        <w:tc>
          <w:tcPr>
            <w:tcW w:w="6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协商价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9.7</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0.00%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200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银行转账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2020年04月27日</w:t>
            </w:r>
          </w:p>
        </w:tc>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公告编号2019-038</w:t>
            </w:r>
          </w:p>
        </w:tc>
      </w:tr>
      <w:tr>
        <w:tblPrEx>
          <w:tblCellMar>
            <w:top w:w="0" w:type="dxa"/>
            <w:left w:w="28" w:type="dxa"/>
            <w:bottom w:w="0" w:type="dxa"/>
            <w:right w:w="28" w:type="dxa"/>
          </w:tblCellMar>
        </w:tblPrEx>
        <w:tc>
          <w:tcPr>
            <w:tcW w:w="79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浙江美康网新云健康科技股份有限公司</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实际控制人控制的企业</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采购商品</w:t>
            </w:r>
          </w:p>
        </w:tc>
        <w:tc>
          <w:tcPr>
            <w:tcW w:w="70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采购商品</w:t>
            </w:r>
          </w:p>
        </w:tc>
        <w:tc>
          <w:tcPr>
            <w:tcW w:w="6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协商价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486.61</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0.00%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1,000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银行转账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2020年04月27日</w:t>
            </w:r>
          </w:p>
        </w:tc>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公告编号2019-038</w:t>
            </w:r>
          </w:p>
        </w:tc>
      </w:tr>
      <w:tr>
        <w:tblPrEx>
          <w:tblCellMar>
            <w:top w:w="0" w:type="dxa"/>
            <w:left w:w="28" w:type="dxa"/>
            <w:bottom w:w="0" w:type="dxa"/>
            <w:right w:w="28" w:type="dxa"/>
          </w:tblCellMar>
        </w:tblPrEx>
        <w:tc>
          <w:tcPr>
            <w:tcW w:w="79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宁波鄞州美康国宾门诊部</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实际控制人控制的法人</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接受劳务</w:t>
            </w:r>
          </w:p>
        </w:tc>
        <w:tc>
          <w:tcPr>
            <w:tcW w:w="70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接受劳务</w:t>
            </w:r>
          </w:p>
        </w:tc>
        <w:tc>
          <w:tcPr>
            <w:tcW w:w="6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协商价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3.69</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0.00%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850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银行转账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2020年04月27日</w:t>
            </w:r>
          </w:p>
        </w:tc>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公告编号2019-038</w:t>
            </w:r>
          </w:p>
        </w:tc>
      </w:tr>
      <w:tr>
        <w:tblPrEx>
          <w:tblCellMar>
            <w:top w:w="0" w:type="dxa"/>
            <w:left w:w="28" w:type="dxa"/>
            <w:bottom w:w="0" w:type="dxa"/>
            <w:right w:w="28" w:type="dxa"/>
          </w:tblCellMar>
        </w:tblPrEx>
        <w:tc>
          <w:tcPr>
            <w:tcW w:w="799"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rPr>
              <w:t>宁波</w:t>
            </w:r>
            <w:r>
              <w:rPr>
                <w:rFonts w:hint="eastAsia"/>
                <w:color w:val="000000"/>
              </w:rPr>
              <w:t>鄞州美康中医医院</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color w:val="000000"/>
              </w:rPr>
              <w:t>实际控制人控制的企业</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color w:val="000000"/>
              </w:rPr>
              <w:t>租赁</w:t>
            </w:r>
          </w:p>
        </w:tc>
        <w:tc>
          <w:tcPr>
            <w:tcW w:w="703"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color w:val="000000"/>
              </w:rPr>
              <w:t>房屋租赁</w:t>
            </w:r>
          </w:p>
        </w:tc>
        <w:tc>
          <w:tcPr>
            <w:tcW w:w="680"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color w:val="000000"/>
              </w:rPr>
              <w:t>市场价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color w:val="000000"/>
              </w:rPr>
              <w:t>协商价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3.60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0.00</w:t>
            </w:r>
            <w:r>
              <w:rPr>
                <w:rFonts w:hint="eastAsia"/>
              </w:rPr>
              <w:t>%</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银行转账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2020年04月27日</w:t>
            </w:r>
          </w:p>
        </w:tc>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公告编号2019-038</w:t>
            </w:r>
          </w:p>
        </w:tc>
      </w:tr>
      <w:tr>
        <w:tblPrEx>
          <w:tblCellMar>
            <w:top w:w="0" w:type="dxa"/>
            <w:left w:w="28" w:type="dxa"/>
            <w:bottom w:w="0" w:type="dxa"/>
            <w:right w:w="28" w:type="dxa"/>
          </w:tblCellMar>
        </w:tblPrEx>
        <w:tc>
          <w:tcPr>
            <w:tcW w:w="799"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color w:val="000000"/>
              </w:rPr>
              <w:t>宁波美康国宾健康管理有限公司</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color w:val="000000"/>
              </w:rPr>
              <w:t>实际控制人控制的企业</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color w:val="000000"/>
              </w:rPr>
              <w:t>租赁</w:t>
            </w:r>
          </w:p>
        </w:tc>
        <w:tc>
          <w:tcPr>
            <w:tcW w:w="703"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color w:val="000000"/>
              </w:rPr>
              <w:t>房屋租赁</w:t>
            </w:r>
          </w:p>
        </w:tc>
        <w:tc>
          <w:tcPr>
            <w:tcW w:w="680"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color w:val="000000"/>
              </w:rPr>
              <w:t>市场价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color w:val="000000"/>
              </w:rPr>
              <w:t>协商价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1.08</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0.00</w:t>
            </w:r>
            <w:r>
              <w:rPr>
                <w:rFonts w:hint="eastAsia"/>
              </w:rPr>
              <w:t>%</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银行转账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2020年04月27日</w:t>
            </w:r>
          </w:p>
        </w:tc>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公告编号2019-038</w:t>
            </w:r>
          </w:p>
        </w:tc>
      </w:tr>
      <w:tr>
        <w:tblPrEx>
          <w:tblCellMar>
            <w:top w:w="0" w:type="dxa"/>
            <w:left w:w="28" w:type="dxa"/>
            <w:bottom w:w="0" w:type="dxa"/>
            <w:right w:w="28" w:type="dxa"/>
          </w:tblCellMar>
        </w:tblPrEx>
        <w:tc>
          <w:tcPr>
            <w:tcW w:w="79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color w:val="000000"/>
              </w:rPr>
            </w:pPr>
            <w:r>
              <w:rPr>
                <w:rFonts w:hint="eastAsia"/>
                <w:color w:val="000000"/>
              </w:rPr>
              <w:t>宁波鄞州美康国宾门诊</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color w:val="000000"/>
              </w:rPr>
              <w:t>实际控制人控制的法人</w:t>
            </w:r>
          </w:p>
        </w:tc>
        <w:tc>
          <w:tcPr>
            <w:tcW w:w="677"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color w:val="000000"/>
              </w:rPr>
              <w:t>租赁</w:t>
            </w:r>
          </w:p>
        </w:tc>
        <w:tc>
          <w:tcPr>
            <w:tcW w:w="703"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color w:val="000000"/>
              </w:rPr>
              <w:t>房屋租赁</w:t>
            </w:r>
          </w:p>
        </w:tc>
        <w:tc>
          <w:tcPr>
            <w:tcW w:w="680"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color w:val="000000"/>
              </w:rPr>
              <w:t>市场价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rPr>
                <w:color w:val="000000"/>
              </w:rPr>
            </w:pPr>
            <w:r>
              <w:rPr>
                <w:rFonts w:hint="eastAsia"/>
                <w:color w:val="000000"/>
              </w:rPr>
              <w:t>协商价</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3.60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0.00</w:t>
            </w:r>
            <w:r>
              <w:rPr>
                <w:rFonts w:hint="eastAsia"/>
              </w:rPr>
              <w:t>%</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银行转账</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市场价</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2020年04月27日</w:t>
            </w:r>
          </w:p>
        </w:tc>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公告编号2019-038</w:t>
            </w:r>
          </w:p>
        </w:tc>
      </w:tr>
      <w:tr>
        <w:tblPrEx>
          <w:tblCellMar>
            <w:top w:w="0" w:type="dxa"/>
            <w:left w:w="28" w:type="dxa"/>
            <w:bottom w:w="0" w:type="dxa"/>
            <w:right w:w="28" w:type="dxa"/>
          </w:tblCellMar>
        </w:tblPrEx>
        <w:tc>
          <w:tcPr>
            <w:tcW w:w="2856"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合计</w:t>
            </w:r>
          </w:p>
        </w:tc>
        <w:tc>
          <w:tcPr>
            <w:tcW w:w="6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w:t>
            </w:r>
          </w:p>
        </w:tc>
        <w:tc>
          <w:tcPr>
            <w:tcW w:w="67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1,479.25</w:t>
            </w:r>
          </w:p>
        </w:tc>
        <w:tc>
          <w:tcPr>
            <w:tcW w:w="67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3,950</w:t>
            </w:r>
          </w:p>
        </w:tc>
        <w:tc>
          <w:tcPr>
            <w:tcW w:w="67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w:t>
            </w:r>
          </w:p>
        </w:tc>
        <w:tc>
          <w:tcPr>
            <w:tcW w:w="67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w:t>
            </w:r>
          </w:p>
        </w:tc>
        <w:tc>
          <w:tcPr>
            <w:tcW w:w="67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w:t>
            </w:r>
          </w:p>
        </w:tc>
        <w:tc>
          <w:tcPr>
            <w:tcW w:w="6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w:t>
            </w:r>
          </w:p>
        </w:tc>
        <w:tc>
          <w:tcPr>
            <w:tcW w:w="64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w:t>
            </w:r>
          </w:p>
        </w:tc>
      </w:tr>
      <w:tr>
        <w:tblPrEx>
          <w:tblCellMar>
            <w:top w:w="0" w:type="dxa"/>
            <w:left w:w="28" w:type="dxa"/>
            <w:bottom w:w="0" w:type="dxa"/>
            <w:right w:w="28" w:type="dxa"/>
          </w:tblCellMar>
        </w:tblPrEx>
        <w:tc>
          <w:tcPr>
            <w:tcW w:w="2856"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大额销货退回的详细情况</w:t>
            </w:r>
          </w:p>
        </w:tc>
        <w:tc>
          <w:tcPr>
            <w:tcW w:w="6713" w:type="dxa"/>
            <w:gridSpan w:val="10"/>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不适用</w:t>
            </w:r>
          </w:p>
          <w:p>
            <w:pPr>
              <w:jc w:val="left"/>
            </w:pPr>
          </w:p>
        </w:tc>
      </w:tr>
      <w:tr>
        <w:tblPrEx>
          <w:tblCellMar>
            <w:top w:w="0" w:type="dxa"/>
            <w:left w:w="28" w:type="dxa"/>
            <w:bottom w:w="0" w:type="dxa"/>
            <w:right w:w="28" w:type="dxa"/>
          </w:tblCellMar>
        </w:tblPrEx>
        <w:tc>
          <w:tcPr>
            <w:tcW w:w="2856"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按类别对本期将发生的日常关联交易进行总金额预计的，在报告期内的实际履行情况（如有）</w:t>
            </w:r>
          </w:p>
        </w:tc>
        <w:tc>
          <w:tcPr>
            <w:tcW w:w="6713" w:type="dxa"/>
            <w:gridSpan w:val="10"/>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不适用</w:t>
            </w:r>
          </w:p>
        </w:tc>
      </w:tr>
      <w:tr>
        <w:tblPrEx>
          <w:tblCellMar>
            <w:top w:w="0" w:type="dxa"/>
            <w:left w:w="28" w:type="dxa"/>
            <w:bottom w:w="0" w:type="dxa"/>
            <w:right w:w="28" w:type="dxa"/>
          </w:tblCellMar>
        </w:tblPrEx>
        <w:tc>
          <w:tcPr>
            <w:tcW w:w="2856"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交易价格与市场参考价格差异较大的原因（如适用）</w:t>
            </w:r>
          </w:p>
        </w:tc>
        <w:tc>
          <w:tcPr>
            <w:tcW w:w="6713" w:type="dxa"/>
            <w:gridSpan w:val="10"/>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不适用</w:t>
            </w:r>
          </w:p>
        </w:tc>
      </w:tr>
    </w:tbl>
    <w:p>
      <w:pPr>
        <w:pStyle w:val="14"/>
        <w:outlineLvl w:val="2"/>
        <w:rPr>
          <w:bCs w:val="0"/>
          <w:szCs w:val="24"/>
        </w:rPr>
      </w:pPr>
      <w:r>
        <w:rPr>
          <w:bCs w:val="0"/>
          <w:szCs w:val="24"/>
        </w:rPr>
        <w:t>2</w:t>
      </w:r>
      <w:r>
        <w:rPr>
          <w:rFonts w:hint="eastAsia"/>
          <w:bCs w:val="0"/>
          <w:szCs w:val="24"/>
        </w:rPr>
        <w:t>、资产或股权收购、出售发生的关联交易</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公司报告期未发生资产或股权收购、出售的关联交易。</w:t>
      </w:r>
    </w:p>
    <w:p>
      <w:pPr>
        <w:pStyle w:val="14"/>
        <w:outlineLvl w:val="2"/>
        <w:rPr>
          <w:bCs w:val="0"/>
          <w:szCs w:val="24"/>
        </w:rPr>
      </w:pPr>
      <w:r>
        <w:rPr>
          <w:bCs w:val="0"/>
          <w:szCs w:val="24"/>
        </w:rPr>
        <w:t>3</w:t>
      </w:r>
      <w:r>
        <w:rPr>
          <w:rFonts w:hint="eastAsia"/>
          <w:bCs w:val="0"/>
          <w:szCs w:val="24"/>
        </w:rPr>
        <w:t>、共同对外投资的关联交易</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公司报告期未发生共同对外投资的关联交易。</w:t>
      </w:r>
    </w:p>
    <w:p>
      <w:pPr>
        <w:pStyle w:val="14"/>
        <w:outlineLvl w:val="2"/>
        <w:rPr>
          <w:bCs w:val="0"/>
          <w:szCs w:val="24"/>
        </w:rPr>
      </w:pPr>
      <w:r>
        <w:rPr>
          <w:bCs w:val="0"/>
          <w:szCs w:val="24"/>
        </w:rPr>
        <w:t>4</w:t>
      </w:r>
      <w:r>
        <w:rPr>
          <w:rFonts w:hint="eastAsia"/>
          <w:bCs w:val="0"/>
          <w:szCs w:val="24"/>
        </w:rPr>
        <w:t>、关联债权债务往来</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公司报告期不存在关联债权债务往来。</w:t>
      </w:r>
    </w:p>
    <w:p>
      <w:pPr>
        <w:pStyle w:val="14"/>
        <w:outlineLvl w:val="2"/>
        <w:rPr>
          <w:bCs w:val="0"/>
          <w:szCs w:val="24"/>
        </w:rPr>
      </w:pPr>
      <w:r>
        <w:rPr>
          <w:bCs w:val="0"/>
          <w:szCs w:val="24"/>
        </w:rPr>
        <w:t>5</w:t>
      </w:r>
      <w:r>
        <w:rPr>
          <w:rFonts w:hint="eastAsia"/>
          <w:bCs w:val="0"/>
          <w:szCs w:val="24"/>
        </w:rPr>
        <w:t>、其他重大关联交易</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公司报告期无其他重大关联交易。</w:t>
      </w:r>
    </w:p>
    <w:p>
      <w:pPr>
        <w:pStyle w:val="13"/>
        <w:outlineLvl w:val="1"/>
        <w:rPr>
          <w:bCs w:val="0"/>
        </w:rPr>
      </w:pPr>
      <w:r>
        <w:rPr>
          <w:rFonts w:hint="eastAsia"/>
          <w:bCs w:val="0"/>
        </w:rPr>
        <w:t>十六、重大合同及其履行情况</w:t>
      </w:r>
    </w:p>
    <w:p>
      <w:pPr>
        <w:pStyle w:val="14"/>
        <w:outlineLvl w:val="2"/>
        <w:rPr>
          <w:bCs w:val="0"/>
          <w:szCs w:val="24"/>
        </w:rPr>
      </w:pPr>
      <w:r>
        <w:rPr>
          <w:bCs w:val="0"/>
          <w:szCs w:val="24"/>
        </w:rPr>
        <w:t>1</w:t>
      </w:r>
      <w:r>
        <w:rPr>
          <w:rFonts w:hint="eastAsia"/>
          <w:bCs w:val="0"/>
          <w:szCs w:val="24"/>
        </w:rPr>
        <w:t>、托管、承包、租赁事项情况</w:t>
      </w:r>
    </w:p>
    <w:p>
      <w:pPr>
        <w:pStyle w:val="14"/>
        <w:outlineLvl w:val="3"/>
        <w:rPr>
          <w:bCs w:val="0"/>
          <w:szCs w:val="24"/>
        </w:rPr>
      </w:pPr>
      <w:r>
        <w:rPr>
          <w:rFonts w:hint="eastAsia"/>
          <w:bCs w:val="0"/>
          <w:szCs w:val="24"/>
        </w:rPr>
        <w:t>（</w:t>
      </w:r>
      <w:r>
        <w:rPr>
          <w:bCs w:val="0"/>
          <w:szCs w:val="24"/>
        </w:rPr>
        <w:t>1</w:t>
      </w:r>
      <w:r>
        <w:rPr>
          <w:rFonts w:hint="eastAsia"/>
          <w:bCs w:val="0"/>
          <w:szCs w:val="24"/>
        </w:rPr>
        <w:t>）托管情况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公司报告期不存在托管情况。</w:t>
      </w:r>
    </w:p>
    <w:p>
      <w:pPr>
        <w:pStyle w:val="14"/>
        <w:outlineLvl w:val="3"/>
        <w:rPr>
          <w:bCs w:val="0"/>
          <w:szCs w:val="24"/>
        </w:rPr>
      </w:pPr>
      <w:r>
        <w:rPr>
          <w:rFonts w:hint="eastAsia"/>
          <w:bCs w:val="0"/>
          <w:szCs w:val="24"/>
        </w:rPr>
        <w:t>（</w:t>
      </w:r>
      <w:r>
        <w:rPr>
          <w:bCs w:val="0"/>
          <w:szCs w:val="24"/>
        </w:rPr>
        <w:t>2</w:t>
      </w:r>
      <w:r>
        <w:rPr>
          <w:rFonts w:hint="eastAsia"/>
          <w:bCs w:val="0"/>
          <w:szCs w:val="24"/>
        </w:rPr>
        <w:t>）承包情况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公司报告期不存在承包情况。</w:t>
      </w:r>
    </w:p>
    <w:p>
      <w:pPr>
        <w:pStyle w:val="14"/>
        <w:outlineLvl w:val="3"/>
        <w:rPr>
          <w:bCs w:val="0"/>
          <w:szCs w:val="24"/>
        </w:rPr>
      </w:pPr>
      <w:r>
        <w:rPr>
          <w:rFonts w:hint="eastAsia"/>
          <w:bCs w:val="0"/>
          <w:szCs w:val="24"/>
        </w:rPr>
        <w:t>（</w:t>
      </w:r>
      <w:r>
        <w:rPr>
          <w:bCs w:val="0"/>
          <w:szCs w:val="24"/>
        </w:rPr>
        <w:t>3</w:t>
      </w:r>
      <w:r>
        <w:rPr>
          <w:rFonts w:hint="eastAsia"/>
          <w:bCs w:val="0"/>
          <w:szCs w:val="24"/>
        </w:rPr>
        <w:t>）租赁情况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公司报告期不存在租赁情况。</w:t>
      </w:r>
    </w:p>
    <w:p>
      <w:pPr>
        <w:pStyle w:val="14"/>
        <w:outlineLvl w:val="2"/>
        <w:rPr>
          <w:bCs w:val="0"/>
          <w:szCs w:val="24"/>
        </w:rPr>
      </w:pPr>
      <w:r>
        <w:rPr>
          <w:bCs w:val="0"/>
          <w:szCs w:val="24"/>
        </w:rPr>
        <w:t>2</w:t>
      </w:r>
      <w:r>
        <w:rPr>
          <w:rFonts w:hint="eastAsia"/>
          <w:bCs w:val="0"/>
          <w:szCs w:val="24"/>
        </w:rPr>
        <w:t>、重大担保</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公司报告期不存在担保情况。</w:t>
      </w:r>
    </w:p>
    <w:p>
      <w:pPr>
        <w:pStyle w:val="14"/>
        <w:outlineLvl w:val="2"/>
        <w:rPr>
          <w:bCs w:val="0"/>
          <w:szCs w:val="24"/>
        </w:rPr>
      </w:pPr>
      <w:r>
        <w:rPr>
          <w:bCs w:val="0"/>
          <w:szCs w:val="24"/>
        </w:rPr>
        <w:t>3</w:t>
      </w:r>
      <w:r>
        <w:rPr>
          <w:rFonts w:hint="eastAsia"/>
          <w:bCs w:val="0"/>
          <w:szCs w:val="24"/>
        </w:rPr>
        <w:t>、委托他人进行现金资产管理情况</w:t>
      </w:r>
    </w:p>
    <w:p>
      <w:pPr>
        <w:pStyle w:val="14"/>
        <w:outlineLvl w:val="3"/>
        <w:rPr>
          <w:bCs w:val="0"/>
          <w:szCs w:val="24"/>
        </w:rPr>
      </w:pPr>
      <w:r>
        <w:rPr>
          <w:rFonts w:hint="eastAsia"/>
          <w:bCs w:val="0"/>
          <w:szCs w:val="24"/>
        </w:rPr>
        <w:t>（</w:t>
      </w:r>
      <w:r>
        <w:rPr>
          <w:bCs w:val="0"/>
          <w:szCs w:val="24"/>
        </w:rPr>
        <w:t>1</w:t>
      </w:r>
      <w:r>
        <w:rPr>
          <w:rFonts w:hint="eastAsia"/>
          <w:bCs w:val="0"/>
          <w:szCs w:val="24"/>
        </w:rPr>
        <w:t>）委托理财情况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公司报告期不存在委托理财。</w:t>
      </w:r>
    </w:p>
    <w:p>
      <w:pPr>
        <w:pStyle w:val="14"/>
        <w:outlineLvl w:val="3"/>
        <w:rPr>
          <w:bCs w:val="0"/>
          <w:szCs w:val="24"/>
        </w:rPr>
      </w:pPr>
      <w:r>
        <w:rPr>
          <w:rFonts w:hint="eastAsia"/>
          <w:bCs w:val="0"/>
          <w:szCs w:val="24"/>
        </w:rPr>
        <w:t>（</w:t>
      </w:r>
      <w:r>
        <w:rPr>
          <w:bCs w:val="0"/>
          <w:szCs w:val="24"/>
        </w:rPr>
        <w:t>2</w:t>
      </w:r>
      <w:r>
        <w:rPr>
          <w:rFonts w:hint="eastAsia"/>
          <w:bCs w:val="0"/>
          <w:szCs w:val="24"/>
        </w:rPr>
        <w:t>）委托贷款情况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公司报告期不存在委托贷款。</w:t>
      </w:r>
    </w:p>
    <w:p>
      <w:pPr>
        <w:pStyle w:val="14"/>
        <w:outlineLvl w:val="2"/>
        <w:rPr>
          <w:bCs w:val="0"/>
          <w:szCs w:val="24"/>
        </w:rPr>
      </w:pPr>
      <w:r>
        <w:rPr>
          <w:bCs w:val="0"/>
          <w:szCs w:val="24"/>
        </w:rPr>
        <w:t>4</w:t>
      </w:r>
      <w:r>
        <w:rPr>
          <w:rFonts w:hint="eastAsia"/>
          <w:bCs w:val="0"/>
          <w:szCs w:val="24"/>
        </w:rPr>
        <w:t>、其他重大合同</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公司报告期不存在其他重大合同。</w:t>
      </w:r>
    </w:p>
    <w:p>
      <w:pPr>
        <w:pStyle w:val="13"/>
        <w:outlineLvl w:val="1"/>
        <w:rPr>
          <w:bCs w:val="0"/>
        </w:rPr>
      </w:pPr>
      <w:r>
        <w:rPr>
          <w:rFonts w:hint="eastAsia"/>
          <w:bCs w:val="0"/>
        </w:rPr>
        <w:t>十七、社会责任情况</w:t>
      </w:r>
    </w:p>
    <w:p>
      <w:pPr>
        <w:pStyle w:val="14"/>
        <w:outlineLvl w:val="2"/>
        <w:rPr>
          <w:bCs w:val="0"/>
          <w:szCs w:val="24"/>
        </w:rPr>
      </w:pPr>
      <w:r>
        <w:rPr>
          <w:bCs w:val="0"/>
          <w:szCs w:val="24"/>
        </w:rPr>
        <w:t>1</w:t>
      </w:r>
      <w:r>
        <w:rPr>
          <w:rFonts w:hint="eastAsia"/>
          <w:bCs w:val="0"/>
          <w:szCs w:val="24"/>
        </w:rPr>
        <w:t>、履行社会责任情况</w:t>
      </w:r>
    </w:p>
    <w:p>
      <w:pPr>
        <w:autoSpaceDE w:val="0"/>
        <w:autoSpaceDN w:val="0"/>
        <w:adjustRightInd w:val="0"/>
        <w:spacing w:before="0" w:after="0"/>
        <w:ind w:firstLine="360"/>
        <w:jc w:val="left"/>
        <w:rPr>
          <w:rFonts w:eastAsia="Times New Roman"/>
          <w:kern w:val="0"/>
          <w:szCs w:val="24"/>
          <w:lang w:val="zh-CN"/>
        </w:rPr>
      </w:pPr>
      <w:r>
        <w:rPr>
          <w:rFonts w:hint="eastAsia" w:ascii="宋体" w:hAnsi="宋体" w:cs="宋体"/>
          <w:kern w:val="0"/>
          <w:szCs w:val="24"/>
          <w:lang w:val="zh-CN"/>
        </w:rPr>
        <w:t>产品质量方面：公司始终坚持</w:t>
      </w:r>
      <w:r>
        <w:rPr>
          <w:rFonts w:eastAsia="Times New Roman"/>
          <w:kern w:val="0"/>
          <w:szCs w:val="24"/>
          <w:lang w:val="zh-CN"/>
        </w:rPr>
        <w:t>“</w:t>
      </w:r>
      <w:r>
        <w:rPr>
          <w:rFonts w:hint="eastAsia" w:ascii="宋体" w:hAnsi="宋体" w:cs="宋体"/>
          <w:kern w:val="0"/>
          <w:szCs w:val="24"/>
          <w:lang w:val="zh-CN"/>
        </w:rPr>
        <w:t>安全第一，质量至上</w:t>
      </w:r>
      <w:r>
        <w:rPr>
          <w:rFonts w:eastAsia="Times New Roman"/>
          <w:kern w:val="0"/>
          <w:szCs w:val="24"/>
          <w:lang w:val="zh-CN"/>
        </w:rPr>
        <w:t>”</w:t>
      </w:r>
      <w:r>
        <w:rPr>
          <w:rFonts w:hint="eastAsia" w:ascii="宋体" w:hAnsi="宋体" w:cs="宋体"/>
          <w:kern w:val="0"/>
          <w:szCs w:val="24"/>
          <w:lang w:val="zh-CN"/>
        </w:rPr>
        <w:t>的原则，以质量为依托，树立品牌形象，满足市场的需求。严格按照环境和职业健康安全管理体系运行，加强相关生产人员的培训，落实安全生产责任制，为公司快速发展的生产供应提供了有力的保障。</w:t>
      </w:r>
      <w:r>
        <w:rPr>
          <w:rFonts w:eastAsia="Times New Roman"/>
          <w:kern w:val="0"/>
          <w:szCs w:val="24"/>
          <w:lang w:val="zh-CN"/>
        </w:rPr>
        <w:t xml:space="preserve"> </w:t>
      </w:r>
    </w:p>
    <w:p>
      <w:pPr>
        <w:autoSpaceDE w:val="0"/>
        <w:autoSpaceDN w:val="0"/>
        <w:adjustRightInd w:val="0"/>
        <w:ind w:firstLine="360"/>
        <w:jc w:val="left"/>
        <w:rPr>
          <w:rFonts w:eastAsia="Times New Roman"/>
          <w:kern w:val="0"/>
          <w:szCs w:val="24"/>
          <w:lang w:val="zh-CN"/>
        </w:rPr>
      </w:pPr>
      <w:r>
        <w:rPr>
          <w:rFonts w:hint="eastAsia" w:ascii="宋体" w:hAnsi="宋体" w:cs="宋体"/>
          <w:kern w:val="0"/>
          <w:szCs w:val="24"/>
          <w:lang w:val="zh-CN"/>
        </w:rPr>
        <w:t>员工福利待遇方面：公司注重员工的培养与发展计划，针对不同层级的员工组织不同内培训，提高员工岗位技能和管理水平；每年提供免费的健康检查、重大节日享受公司规定的过节费。公司开展了形式多样的文体活动丰富员工业余生活，并根据企业和个人绩效及时上调工资。</w:t>
      </w:r>
    </w:p>
    <w:p>
      <w:pPr>
        <w:autoSpaceDE w:val="0"/>
        <w:autoSpaceDN w:val="0"/>
        <w:adjustRightInd w:val="0"/>
        <w:ind w:firstLine="360"/>
        <w:jc w:val="left"/>
        <w:rPr>
          <w:rFonts w:eastAsia="Times New Roman"/>
          <w:kern w:val="0"/>
          <w:szCs w:val="24"/>
          <w:lang w:val="zh-CN"/>
        </w:rPr>
      </w:pPr>
      <w:r>
        <w:rPr>
          <w:rFonts w:hint="eastAsia" w:ascii="宋体" w:hAnsi="宋体" w:cs="宋体"/>
          <w:kern w:val="0"/>
          <w:szCs w:val="24"/>
          <w:lang w:val="zh-CN"/>
        </w:rPr>
        <w:t>保护其他利益相关者方面：公司注重与社会、治安、环境的协调可持续发展，坚持短期利益与长期利益相结合、公司的发展与社会的发展相统一，努力提升企业的社会贡献，从而实现公司与社会、自然的协调、和谐可持续发展。</w:t>
      </w:r>
    </w:p>
    <w:p>
      <w:pPr>
        <w:autoSpaceDE w:val="0"/>
        <w:autoSpaceDN w:val="0"/>
        <w:adjustRightInd w:val="0"/>
        <w:ind w:firstLine="360"/>
        <w:jc w:val="left"/>
        <w:rPr>
          <w:rFonts w:eastAsia="Times New Roman"/>
          <w:kern w:val="0"/>
          <w:szCs w:val="24"/>
          <w:lang w:val="zh-CN"/>
        </w:rPr>
      </w:pPr>
      <w:r>
        <w:rPr>
          <w:rFonts w:hint="eastAsia" w:ascii="宋体" w:hAnsi="宋体" w:cs="宋体"/>
          <w:kern w:val="0"/>
          <w:szCs w:val="24"/>
          <w:lang w:val="zh-CN"/>
        </w:rPr>
        <w:t>公司的公益支持方向为符合本企业特色的社会支持，重点</w:t>
      </w:r>
      <w:r>
        <w:rPr>
          <w:rFonts w:hint="eastAsia" w:cs="MS Gothic" w:asciiTheme="minorEastAsia" w:hAnsiTheme="minorEastAsia" w:eastAsiaTheme="minorEastAsia"/>
          <w:kern w:val="0"/>
          <w:szCs w:val="24"/>
          <w:lang w:val="zh-CN"/>
        </w:rPr>
        <w:t>支持</w:t>
      </w:r>
      <w:r>
        <w:rPr>
          <w:rFonts w:eastAsia="Times New Roman"/>
          <w:kern w:val="0"/>
          <w:szCs w:val="24"/>
          <w:lang w:val="zh-CN"/>
        </w:rPr>
        <w:t>“</w:t>
      </w:r>
      <w:r>
        <w:rPr>
          <w:rFonts w:hint="eastAsia" w:ascii="宋体" w:hAnsi="宋体" w:cs="宋体"/>
          <w:kern w:val="0"/>
          <w:szCs w:val="24"/>
          <w:lang w:val="zh-CN"/>
        </w:rPr>
        <w:t>红十字慈善事业</w:t>
      </w:r>
      <w:r>
        <w:rPr>
          <w:rFonts w:eastAsia="Times New Roman"/>
          <w:kern w:val="0"/>
          <w:szCs w:val="24"/>
          <w:lang w:val="zh-CN"/>
        </w:rPr>
        <w:t>”</w:t>
      </w:r>
      <w:r>
        <w:rPr>
          <w:rFonts w:hint="eastAsia" w:ascii="宋体" w:hAnsi="宋体" w:cs="宋体"/>
          <w:kern w:val="0"/>
          <w:szCs w:val="24"/>
          <w:lang w:val="zh-CN"/>
        </w:rPr>
        <w:t>及</w:t>
      </w:r>
      <w:r>
        <w:rPr>
          <w:rFonts w:eastAsia="Times New Roman"/>
          <w:kern w:val="0"/>
          <w:szCs w:val="24"/>
          <w:lang w:val="zh-CN"/>
        </w:rPr>
        <w:t>“</w:t>
      </w:r>
      <w:r>
        <w:rPr>
          <w:rFonts w:hint="eastAsia" w:ascii="宋体" w:hAnsi="宋体" w:cs="宋体"/>
          <w:kern w:val="0"/>
          <w:szCs w:val="24"/>
          <w:lang w:val="zh-CN"/>
        </w:rPr>
        <w:t>社区公益，促进医疗行业发展</w:t>
      </w:r>
      <w:r>
        <w:rPr>
          <w:rFonts w:eastAsia="Times New Roman"/>
          <w:kern w:val="0"/>
          <w:szCs w:val="24"/>
          <w:lang w:val="zh-CN"/>
        </w:rPr>
        <w:t>”</w:t>
      </w:r>
      <w:r>
        <w:rPr>
          <w:rFonts w:hint="eastAsia" w:ascii="宋体" w:hAnsi="宋体" w:cs="宋体"/>
          <w:kern w:val="0"/>
          <w:szCs w:val="24"/>
          <w:lang w:val="zh-CN"/>
        </w:rPr>
        <w:t>，并在每年的经营计划中拨出专款、由公司总经办负责落实。</w:t>
      </w:r>
    </w:p>
    <w:p>
      <w:pPr>
        <w:pStyle w:val="14"/>
        <w:outlineLvl w:val="2"/>
        <w:rPr>
          <w:bCs w:val="0"/>
          <w:szCs w:val="24"/>
        </w:rPr>
      </w:pPr>
      <w:r>
        <w:rPr>
          <w:bCs w:val="0"/>
          <w:szCs w:val="24"/>
        </w:rPr>
        <w:t>2</w:t>
      </w:r>
      <w:r>
        <w:rPr>
          <w:rFonts w:hint="eastAsia"/>
          <w:bCs w:val="0"/>
          <w:szCs w:val="24"/>
        </w:rPr>
        <w:t>、履行精准扶贫社会责任情况</w:t>
      </w:r>
    </w:p>
    <w:p>
      <w:pPr>
        <w:pStyle w:val="14"/>
        <w:outlineLvl w:val="3"/>
        <w:rPr>
          <w:bCs w:val="0"/>
          <w:szCs w:val="24"/>
        </w:rPr>
      </w:pPr>
      <w:r>
        <w:rPr>
          <w:rFonts w:hint="eastAsia"/>
          <w:bCs w:val="0"/>
          <w:szCs w:val="24"/>
        </w:rPr>
        <w:t>（</w:t>
      </w:r>
      <w:r>
        <w:rPr>
          <w:bCs w:val="0"/>
          <w:szCs w:val="24"/>
        </w:rPr>
        <w:t>1</w:t>
      </w:r>
      <w:r>
        <w:rPr>
          <w:rFonts w:hint="eastAsia"/>
          <w:bCs w:val="0"/>
          <w:szCs w:val="24"/>
        </w:rPr>
        <w:t>）精准扶贫规划</w:t>
      </w:r>
    </w:p>
    <w:p>
      <w:pPr>
        <w:autoSpaceDE w:val="0"/>
        <w:autoSpaceDN w:val="0"/>
        <w:adjustRightInd w:val="0"/>
        <w:spacing w:before="0" w:after="0"/>
        <w:ind w:firstLine="420"/>
        <w:jc w:val="left"/>
        <w:rPr>
          <w:rFonts w:eastAsiaTheme="minorEastAsia"/>
          <w:kern w:val="0"/>
          <w:szCs w:val="24"/>
          <w:lang w:val="zh-CN"/>
        </w:rPr>
      </w:pPr>
      <w:r>
        <w:rPr>
          <w:rFonts w:hint="eastAsia" w:ascii="宋体" w:hAnsi="宋体" w:cs="宋体"/>
          <w:kern w:val="0"/>
          <w:szCs w:val="24"/>
          <w:lang w:val="zh-CN"/>
        </w:rPr>
        <w:t>为深入贯彻落实国家扶贫开发战略和精神，推进精准扶贫、精准脱贫工作，公司积极承担社会责任，并与多家医学专科学院合作设立各项奖学金、助学金等，扶持教育事业。此外，公司</w:t>
      </w:r>
      <w:r>
        <w:rPr>
          <w:rFonts w:eastAsia="Times New Roman"/>
          <w:kern w:val="0"/>
          <w:szCs w:val="24"/>
          <w:lang w:val="zh-CN"/>
        </w:rPr>
        <w:t>2019</w:t>
      </w:r>
      <w:r>
        <w:rPr>
          <w:rFonts w:hint="eastAsia" w:ascii="宋体" w:hAnsi="宋体" w:cs="宋体"/>
          <w:kern w:val="0"/>
          <w:szCs w:val="24"/>
          <w:lang w:val="zh-CN"/>
        </w:rPr>
        <w:t>年度参与捐助了宁波市资本市场扶贫帮困</w:t>
      </w:r>
      <w:r>
        <w:rPr>
          <w:rFonts w:eastAsia="Times New Roman"/>
          <w:kern w:val="0"/>
          <w:szCs w:val="24"/>
          <w:lang w:val="zh-CN"/>
        </w:rPr>
        <w:t>“</w:t>
      </w:r>
      <w:r>
        <w:rPr>
          <w:rFonts w:hint="eastAsia" w:ascii="宋体" w:hAnsi="宋体" w:cs="宋体"/>
          <w:kern w:val="0"/>
          <w:szCs w:val="24"/>
          <w:lang w:val="zh-CN"/>
        </w:rPr>
        <w:t>阳光雨露</w:t>
      </w:r>
      <w:r>
        <w:rPr>
          <w:rFonts w:eastAsia="Times New Roman"/>
          <w:kern w:val="0"/>
          <w:szCs w:val="24"/>
          <w:lang w:val="zh-CN"/>
        </w:rPr>
        <w:t>”</w:t>
      </w:r>
      <w:r>
        <w:rPr>
          <w:rFonts w:hint="eastAsia" w:ascii="宋体" w:hAnsi="宋体" w:cs="宋体"/>
          <w:kern w:val="0"/>
          <w:szCs w:val="24"/>
          <w:lang w:val="zh-CN"/>
        </w:rPr>
        <w:t>专项基金、参与宁波市鄞州区交通安全宣传教育援助等。</w:t>
      </w:r>
    </w:p>
    <w:p>
      <w:pPr>
        <w:pStyle w:val="14"/>
        <w:outlineLvl w:val="3"/>
        <w:rPr>
          <w:bCs w:val="0"/>
          <w:szCs w:val="24"/>
        </w:rPr>
      </w:pPr>
      <w:r>
        <w:rPr>
          <w:rFonts w:hint="eastAsia"/>
          <w:bCs w:val="0"/>
          <w:szCs w:val="24"/>
        </w:rPr>
        <w:t>（</w:t>
      </w:r>
      <w:r>
        <w:rPr>
          <w:bCs w:val="0"/>
          <w:szCs w:val="24"/>
        </w:rPr>
        <w:t>2</w:t>
      </w:r>
      <w:r>
        <w:rPr>
          <w:rFonts w:hint="eastAsia"/>
          <w:bCs w:val="0"/>
          <w:szCs w:val="24"/>
        </w:rPr>
        <w:t>）年度精准扶贫概要</w:t>
      </w:r>
    </w:p>
    <w:p>
      <w:pPr>
        <w:autoSpaceDE w:val="0"/>
        <w:autoSpaceDN w:val="0"/>
        <w:adjustRightInd w:val="0"/>
        <w:spacing w:before="0" w:after="0"/>
        <w:ind w:firstLine="360"/>
        <w:jc w:val="left"/>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年度公司共计对外捐赠</w:t>
      </w:r>
      <w:r>
        <w:rPr>
          <w:rFonts w:eastAsia="Times New Roman"/>
          <w:kern w:val="0"/>
          <w:szCs w:val="24"/>
          <w:lang w:val="zh-CN"/>
        </w:rPr>
        <w:t>49.85</w:t>
      </w:r>
      <w:r>
        <w:rPr>
          <w:rFonts w:hint="eastAsia" w:ascii="宋体" w:hAnsi="宋体" w:cs="宋体"/>
          <w:kern w:val="0"/>
          <w:szCs w:val="24"/>
          <w:lang w:val="zh-CN"/>
        </w:rPr>
        <w:t>万元，其中向多家医学专科学院提供奖学金、助学金等共约人民币</w:t>
      </w:r>
      <w:r>
        <w:rPr>
          <w:rFonts w:eastAsia="Times New Roman"/>
          <w:kern w:val="0"/>
          <w:szCs w:val="24"/>
          <w:lang w:val="zh-CN"/>
        </w:rPr>
        <w:t>34</w:t>
      </w:r>
      <w:r>
        <w:rPr>
          <w:rFonts w:hint="eastAsia" w:ascii="宋体" w:hAnsi="宋体" w:cs="宋体"/>
          <w:kern w:val="0"/>
          <w:szCs w:val="24"/>
          <w:lang w:val="zh-CN"/>
        </w:rPr>
        <w:t>万余元，参与捐助宁波市资本市场扶贫帮困</w:t>
      </w:r>
      <w:r>
        <w:rPr>
          <w:rFonts w:eastAsia="Times New Roman"/>
          <w:kern w:val="0"/>
          <w:szCs w:val="24"/>
          <w:lang w:val="zh-CN"/>
        </w:rPr>
        <w:t>“</w:t>
      </w:r>
      <w:r>
        <w:rPr>
          <w:rFonts w:hint="eastAsia" w:ascii="宋体" w:hAnsi="宋体" w:cs="宋体"/>
          <w:kern w:val="0"/>
          <w:szCs w:val="24"/>
          <w:lang w:val="zh-CN"/>
        </w:rPr>
        <w:t>阳光雨露</w:t>
      </w:r>
      <w:r>
        <w:rPr>
          <w:rFonts w:eastAsia="Times New Roman"/>
          <w:kern w:val="0"/>
          <w:szCs w:val="24"/>
          <w:lang w:val="zh-CN"/>
        </w:rPr>
        <w:t>”</w:t>
      </w:r>
      <w:r>
        <w:rPr>
          <w:rFonts w:hint="eastAsia" w:ascii="宋体" w:hAnsi="宋体" w:cs="宋体"/>
          <w:kern w:val="0"/>
          <w:szCs w:val="24"/>
          <w:lang w:val="zh-CN"/>
        </w:rPr>
        <w:t>专项基金人民币</w:t>
      </w:r>
      <w:r>
        <w:rPr>
          <w:rFonts w:eastAsia="Times New Roman"/>
          <w:kern w:val="0"/>
          <w:szCs w:val="24"/>
          <w:lang w:val="zh-CN"/>
        </w:rPr>
        <w:t>1</w:t>
      </w:r>
      <w:r>
        <w:rPr>
          <w:rFonts w:hint="eastAsia" w:ascii="宋体" w:hAnsi="宋体" w:cs="宋体"/>
          <w:kern w:val="0"/>
          <w:szCs w:val="24"/>
          <w:lang w:val="zh-CN"/>
        </w:rPr>
        <w:t>万元，参与宁波市鄞州区交通安全宣传并捐赠一批安全帽价值人民币</w:t>
      </w:r>
      <w:r>
        <w:rPr>
          <w:rFonts w:eastAsia="Times New Roman"/>
          <w:kern w:val="0"/>
          <w:szCs w:val="24"/>
          <w:lang w:val="zh-CN"/>
        </w:rPr>
        <w:t>9</w:t>
      </w:r>
      <w:r>
        <w:rPr>
          <w:rFonts w:hint="eastAsia" w:ascii="宋体" w:hAnsi="宋体" w:cs="宋体"/>
          <w:kern w:val="0"/>
          <w:szCs w:val="24"/>
          <w:lang w:val="zh-CN"/>
        </w:rPr>
        <w:t>万元。</w:t>
      </w:r>
    </w:p>
    <w:p>
      <w:pPr>
        <w:pStyle w:val="14"/>
        <w:outlineLvl w:val="3"/>
        <w:rPr>
          <w:bCs w:val="0"/>
          <w:szCs w:val="24"/>
        </w:rPr>
      </w:pPr>
      <w:r>
        <w:rPr>
          <w:rFonts w:hint="eastAsia"/>
          <w:bCs w:val="0"/>
          <w:szCs w:val="24"/>
        </w:rPr>
        <w:t>（</w:t>
      </w:r>
      <w:r>
        <w:rPr>
          <w:bCs w:val="0"/>
          <w:szCs w:val="24"/>
        </w:rPr>
        <w:t>3</w:t>
      </w:r>
      <w:r>
        <w:rPr>
          <w:rFonts w:hint="eastAsia"/>
          <w:bCs w:val="0"/>
          <w:szCs w:val="24"/>
        </w:rPr>
        <w:t>）精准扶贫成效</w:t>
      </w:r>
    </w:p>
    <w:tbl>
      <w:tblPr>
        <w:tblStyle w:val="9"/>
        <w:tblW w:w="0" w:type="auto"/>
        <w:tblInd w:w="28" w:type="dxa"/>
        <w:tblLayout w:type="fixed"/>
        <w:tblCellMar>
          <w:top w:w="0" w:type="dxa"/>
          <w:left w:w="28" w:type="dxa"/>
          <w:bottom w:w="0" w:type="dxa"/>
          <w:right w:w="28" w:type="dxa"/>
        </w:tblCellMar>
      </w:tblPr>
      <w:tblGrid>
        <w:gridCol w:w="3624"/>
        <w:gridCol w:w="1553"/>
        <w:gridCol w:w="4391"/>
      </w:tblGrid>
      <w:tr>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指标</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计量单位</w:t>
            </w:r>
          </w:p>
        </w:tc>
        <w:tc>
          <w:tcPr>
            <w:tcW w:w="43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数量</w:t>
            </w:r>
            <w:r>
              <w:rPr>
                <w:szCs w:val="24"/>
              </w:rPr>
              <w:t>/</w:t>
            </w:r>
            <w:r>
              <w:rPr>
                <w:rFonts w:hint="eastAsia"/>
                <w:szCs w:val="24"/>
              </w:rPr>
              <w:t>开展情况</w:t>
            </w:r>
          </w:p>
        </w:tc>
      </w:tr>
      <w:tr>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一、总体情况</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43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　</w:t>
            </w:r>
            <w:r>
              <w:rPr>
                <w:szCs w:val="24"/>
              </w:rPr>
              <w:t>1.</w:t>
            </w:r>
            <w:r>
              <w:rPr>
                <w:rFonts w:hint="eastAsia"/>
                <w:szCs w:val="24"/>
              </w:rPr>
              <w:t>资金</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万元</w:t>
            </w:r>
          </w:p>
        </w:tc>
        <w:tc>
          <w:tcPr>
            <w:tcW w:w="4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49.85</w:t>
            </w:r>
          </w:p>
        </w:tc>
      </w:tr>
      <w:tr>
        <w:tblPrEx>
          <w:tblCellMar>
            <w:top w:w="0" w:type="dxa"/>
            <w:left w:w="28" w:type="dxa"/>
            <w:bottom w:w="0" w:type="dxa"/>
            <w:right w:w="28" w:type="dxa"/>
          </w:tblCellMar>
        </w:tblPrEx>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二、分项投入</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43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blPrEx>
          <w:tblCellMar>
            <w:top w:w="0" w:type="dxa"/>
            <w:left w:w="28" w:type="dxa"/>
            <w:bottom w:w="0" w:type="dxa"/>
            <w:right w:w="28" w:type="dxa"/>
          </w:tblCellMar>
        </w:tblPrEx>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1.</w:t>
            </w:r>
            <w:r>
              <w:rPr>
                <w:rFonts w:hint="eastAsia"/>
                <w:szCs w:val="24"/>
              </w:rPr>
              <w:t>产业发展脱贫</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43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blPrEx>
          <w:tblCellMar>
            <w:top w:w="0" w:type="dxa"/>
            <w:left w:w="28" w:type="dxa"/>
            <w:bottom w:w="0" w:type="dxa"/>
            <w:right w:w="28" w:type="dxa"/>
          </w:tblCellMar>
        </w:tblPrEx>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2.</w:t>
            </w:r>
            <w:r>
              <w:rPr>
                <w:rFonts w:hint="eastAsia"/>
                <w:szCs w:val="24"/>
              </w:rPr>
              <w:t>转移就业脱贫</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43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3.</w:t>
            </w:r>
            <w:r>
              <w:rPr>
                <w:rFonts w:hint="eastAsia"/>
                <w:szCs w:val="24"/>
              </w:rPr>
              <w:t>易地搬迁脱贫</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43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4.</w:t>
            </w:r>
            <w:r>
              <w:rPr>
                <w:rFonts w:hint="eastAsia"/>
                <w:szCs w:val="24"/>
              </w:rPr>
              <w:t>教育扶贫</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43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4.3</w:t>
            </w:r>
            <w:r>
              <w:rPr>
                <w:rFonts w:hint="eastAsia"/>
                <w:szCs w:val="24"/>
              </w:rPr>
              <w:t>改善贫困地区教育资源投入金额</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万元</w:t>
            </w:r>
          </w:p>
        </w:tc>
        <w:tc>
          <w:tcPr>
            <w:tcW w:w="4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34.85</w:t>
            </w:r>
          </w:p>
        </w:tc>
      </w:tr>
      <w:tr>
        <w:tblPrEx>
          <w:tblCellMar>
            <w:top w:w="0" w:type="dxa"/>
            <w:left w:w="28" w:type="dxa"/>
            <w:bottom w:w="0" w:type="dxa"/>
            <w:right w:w="28" w:type="dxa"/>
          </w:tblCellMar>
        </w:tblPrEx>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5.</w:t>
            </w:r>
            <w:r>
              <w:rPr>
                <w:rFonts w:hint="eastAsia"/>
                <w:szCs w:val="24"/>
              </w:rPr>
              <w:t>健康扶贫</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43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blPrEx>
          <w:tblCellMar>
            <w:top w:w="0" w:type="dxa"/>
            <w:left w:w="28" w:type="dxa"/>
            <w:bottom w:w="0" w:type="dxa"/>
            <w:right w:w="28" w:type="dxa"/>
          </w:tblCellMar>
        </w:tblPrEx>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6.</w:t>
            </w:r>
            <w:r>
              <w:rPr>
                <w:rFonts w:hint="eastAsia"/>
                <w:szCs w:val="24"/>
              </w:rPr>
              <w:t>生态保护扶贫</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43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blPrEx>
          <w:tblCellMar>
            <w:top w:w="0" w:type="dxa"/>
            <w:left w:w="28" w:type="dxa"/>
            <w:bottom w:w="0" w:type="dxa"/>
            <w:right w:w="28" w:type="dxa"/>
          </w:tblCellMar>
        </w:tblPrEx>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7.</w:t>
            </w:r>
            <w:r>
              <w:rPr>
                <w:rFonts w:hint="eastAsia"/>
                <w:szCs w:val="24"/>
              </w:rPr>
              <w:t>兜底保障</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43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8.</w:t>
            </w:r>
            <w:r>
              <w:rPr>
                <w:rFonts w:hint="eastAsia"/>
                <w:szCs w:val="24"/>
              </w:rPr>
              <w:t>社会扶贫</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43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8.3</w:t>
            </w:r>
            <w:r>
              <w:rPr>
                <w:rFonts w:hint="eastAsia"/>
                <w:szCs w:val="24"/>
              </w:rPr>
              <w:t>扶贫公益基金投入金额</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万元</w:t>
            </w:r>
          </w:p>
        </w:tc>
        <w:tc>
          <w:tcPr>
            <w:tcW w:w="4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w:t>
            </w:r>
          </w:p>
        </w:tc>
      </w:tr>
      <w:tr>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9.</w:t>
            </w:r>
            <w:r>
              <w:rPr>
                <w:rFonts w:hint="eastAsia"/>
                <w:szCs w:val="24"/>
              </w:rPr>
              <w:t>其他项目</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43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9.2.</w:t>
            </w:r>
            <w:r>
              <w:rPr>
                <w:rFonts w:hint="eastAsia"/>
                <w:szCs w:val="24"/>
              </w:rPr>
              <w:t>投入金额</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万元</w:t>
            </w:r>
          </w:p>
        </w:tc>
        <w:tc>
          <w:tcPr>
            <w:tcW w:w="4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w:t>
            </w:r>
          </w:p>
        </w:tc>
      </w:tr>
      <w:tr>
        <w:tc>
          <w:tcPr>
            <w:tcW w:w="36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三、所获奖项（内容、级别）</w:t>
            </w:r>
          </w:p>
        </w:tc>
        <w:tc>
          <w:tcPr>
            <w:tcW w:w="15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43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pStyle w:val="14"/>
        <w:outlineLvl w:val="3"/>
        <w:rPr>
          <w:bCs w:val="0"/>
          <w:szCs w:val="24"/>
        </w:rPr>
      </w:pPr>
      <w:r>
        <w:rPr>
          <w:rFonts w:hint="eastAsia"/>
          <w:bCs w:val="0"/>
          <w:szCs w:val="24"/>
        </w:rPr>
        <w:t>（</w:t>
      </w:r>
      <w:r>
        <w:rPr>
          <w:bCs w:val="0"/>
          <w:szCs w:val="24"/>
        </w:rPr>
        <w:t>4</w:t>
      </w:r>
      <w:r>
        <w:rPr>
          <w:rFonts w:hint="eastAsia"/>
          <w:bCs w:val="0"/>
          <w:szCs w:val="24"/>
        </w:rPr>
        <w:t>）后续精准扶贫计划</w:t>
      </w:r>
    </w:p>
    <w:p>
      <w:pPr>
        <w:autoSpaceDE w:val="0"/>
        <w:autoSpaceDN w:val="0"/>
        <w:adjustRightInd w:val="0"/>
        <w:spacing w:before="0" w:after="0"/>
        <w:ind w:firstLine="420"/>
        <w:jc w:val="left"/>
        <w:rPr>
          <w:rFonts w:eastAsiaTheme="minorEastAsia"/>
          <w:kern w:val="0"/>
          <w:szCs w:val="24"/>
          <w:lang w:val="zh-CN"/>
        </w:rPr>
      </w:pPr>
      <w:r>
        <w:rPr>
          <w:rFonts w:hint="eastAsia" w:ascii="宋体" w:hAnsi="宋体" w:cs="宋体"/>
          <w:kern w:val="0"/>
          <w:szCs w:val="24"/>
          <w:lang w:val="zh-CN"/>
        </w:rPr>
        <w:t>结合本公司实际情况，配合协助当地政府部门的扶贫工作，继续在医疗卫生事业项目方面履行社会责任。</w:t>
      </w:r>
    </w:p>
    <w:p>
      <w:pPr>
        <w:pStyle w:val="14"/>
        <w:outlineLvl w:val="2"/>
        <w:rPr>
          <w:bCs w:val="0"/>
          <w:szCs w:val="24"/>
        </w:rPr>
      </w:pPr>
      <w:r>
        <w:rPr>
          <w:bCs w:val="0"/>
          <w:szCs w:val="24"/>
        </w:rPr>
        <w:t>3</w:t>
      </w:r>
      <w:r>
        <w:rPr>
          <w:rFonts w:hint="eastAsia"/>
          <w:bCs w:val="0"/>
          <w:szCs w:val="24"/>
        </w:rPr>
        <w:t>、环境保护相关的情况</w:t>
      </w:r>
    </w:p>
    <w:p>
      <w:pPr>
        <w:jc w:val="left"/>
        <w:rPr>
          <w:szCs w:val="24"/>
        </w:rPr>
      </w:pPr>
      <w:r>
        <w:rPr>
          <w:rFonts w:hint="eastAsia"/>
          <w:szCs w:val="24"/>
        </w:rPr>
        <w:t>上市公司及其子公司是否属于环境保护部门公布的重点排污单位</w:t>
      </w:r>
    </w:p>
    <w:p>
      <w:pPr>
        <w:jc w:val="left"/>
        <w:rPr>
          <w:szCs w:val="24"/>
        </w:rPr>
      </w:pPr>
      <w:r>
        <w:rPr>
          <w:rFonts w:hint="eastAsia"/>
          <w:szCs w:val="24"/>
        </w:rPr>
        <w:t>否</w:t>
      </w:r>
    </w:p>
    <w:p>
      <w:pPr>
        <w:autoSpaceDE w:val="0"/>
        <w:autoSpaceDN w:val="0"/>
        <w:adjustRightInd w:val="0"/>
        <w:spacing w:before="0" w:after="0"/>
        <w:ind w:firstLine="420"/>
        <w:jc w:val="left"/>
        <w:rPr>
          <w:rFonts w:ascii="宋体" w:cs="宋体"/>
          <w:kern w:val="0"/>
          <w:szCs w:val="24"/>
          <w:lang w:val="zh-CN"/>
        </w:rPr>
      </w:pPr>
      <w:r>
        <w:rPr>
          <w:rFonts w:hint="eastAsia" w:ascii="宋体" w:hAnsi="宋体" w:cs="宋体"/>
          <w:kern w:val="0"/>
          <w:szCs w:val="24"/>
          <w:lang w:val="zh-CN"/>
        </w:rPr>
        <w:t>公司及其子公司在日常生产经营中认真执行国家有关环境保护方面的法律法规，重视产品和运营中给社会带来的环境保护、节能降耗、安全生产、产品安全等方面的不良影响及潜在隐患，实施并通过</w:t>
      </w:r>
      <w:r>
        <w:rPr>
          <w:rFonts w:eastAsia="Times New Roman"/>
          <w:kern w:val="0"/>
          <w:szCs w:val="24"/>
          <w:lang w:val="zh-CN"/>
        </w:rPr>
        <w:t>ISO14001</w:t>
      </w:r>
      <w:r>
        <w:rPr>
          <w:rFonts w:hint="eastAsia" w:ascii="宋体" w:hAnsi="宋体" w:cs="宋体"/>
          <w:kern w:val="0"/>
          <w:szCs w:val="24"/>
          <w:lang w:val="zh-CN"/>
        </w:rPr>
        <w:t>体系认证，每年进行环境因素、危险源的识别，确定重大环境因素和危险源，设立目标指标和管理方案，严格遵守法律法规相关要求。因公司的行业特点，基本无废气、废渣及噪音产生，故在生产、经营过程中主要致力于控制废水和医疗废弃物。建立污水处理池，废水经处理无危害后排入城市污水管道；与医疗垃圾收运中心签订处理协议，对生产中产生的医疗废弃物统一收运并无害化处理。</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报告期内未出现因违反环境保护相关法律法规而受到重大处罚的情况。</w:t>
      </w:r>
    </w:p>
    <w:p>
      <w:pPr>
        <w:pStyle w:val="13"/>
        <w:outlineLvl w:val="1"/>
        <w:rPr>
          <w:bCs w:val="0"/>
        </w:rPr>
      </w:pPr>
      <w:r>
        <w:rPr>
          <w:rFonts w:hint="eastAsia"/>
          <w:bCs w:val="0"/>
        </w:rPr>
        <w:t>十八、其他重大事项的说明</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1</w:t>
      </w:r>
      <w:r>
        <w:rPr>
          <w:rFonts w:hint="eastAsia" w:ascii="宋体" w:hAnsi="宋体" w:cs="宋体"/>
          <w:kern w:val="0"/>
          <w:szCs w:val="24"/>
          <w:lang w:val="zh-CN"/>
        </w:rPr>
        <w:t>）江西省美康医疗器械有限公司和上饶美康盛德医学检验所有限公司股权转让事项：</w:t>
      </w:r>
    </w:p>
    <w:p>
      <w:pPr>
        <w:autoSpaceDE w:val="0"/>
        <w:autoSpaceDN w:val="0"/>
        <w:adjustRightInd w:val="0"/>
        <w:spacing w:before="0" w:after="0"/>
        <w:ind w:firstLine="420"/>
        <w:jc w:val="left"/>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w:t>
      </w:r>
      <w:r>
        <w:rPr>
          <w:rFonts w:hint="eastAsia" w:ascii="宋体" w:hAnsi="宋体" w:cs="宋体"/>
          <w:kern w:val="0"/>
          <w:szCs w:val="24"/>
          <w:lang w:val="zh-CN"/>
        </w:rPr>
        <w:t>月</w:t>
      </w:r>
      <w:r>
        <w:rPr>
          <w:rFonts w:eastAsia="Times New Roman"/>
          <w:kern w:val="0"/>
          <w:szCs w:val="24"/>
          <w:lang w:val="zh-CN"/>
        </w:rPr>
        <w:t>25</w:t>
      </w:r>
      <w:r>
        <w:rPr>
          <w:rFonts w:hint="eastAsia" w:ascii="宋体" w:hAnsi="宋体" w:cs="宋体"/>
          <w:kern w:val="0"/>
          <w:szCs w:val="24"/>
          <w:lang w:val="zh-CN"/>
        </w:rPr>
        <w:t>日，公司与江西省美康医疗器械有限公司、上饶美康盛德医学检验所有限公司、郑绍军、胡容花共同签署了《关于终止履行</w:t>
      </w:r>
      <w:r>
        <w:rPr>
          <w:rFonts w:eastAsia="Times New Roman"/>
          <w:kern w:val="0"/>
          <w:szCs w:val="24"/>
          <w:lang w:val="zh-CN"/>
        </w:rPr>
        <w:t>&lt;</w:t>
      </w:r>
      <w:r>
        <w:rPr>
          <w:rFonts w:hint="eastAsia" w:ascii="宋体" w:hAnsi="宋体" w:cs="宋体"/>
          <w:kern w:val="0"/>
          <w:szCs w:val="24"/>
          <w:lang w:val="zh-CN"/>
        </w:rPr>
        <w:t>投资合作协议</w:t>
      </w:r>
      <w:r>
        <w:rPr>
          <w:rFonts w:eastAsia="Times New Roman"/>
          <w:kern w:val="0"/>
          <w:szCs w:val="24"/>
          <w:lang w:val="zh-CN"/>
        </w:rPr>
        <w:t>&gt;</w:t>
      </w:r>
      <w:r>
        <w:rPr>
          <w:rFonts w:hint="eastAsia" w:ascii="宋体" w:hAnsi="宋体" w:cs="宋体"/>
          <w:kern w:val="0"/>
          <w:szCs w:val="24"/>
          <w:lang w:val="zh-CN"/>
        </w:rPr>
        <w:t>之协议》，各方一致同意公司将所持有的江西美康</w:t>
      </w:r>
      <w:r>
        <w:rPr>
          <w:rFonts w:eastAsia="Times New Roman"/>
          <w:kern w:val="0"/>
          <w:szCs w:val="24"/>
          <w:lang w:val="zh-CN"/>
        </w:rPr>
        <w:t>31%</w:t>
      </w:r>
      <w:r>
        <w:rPr>
          <w:rFonts w:hint="eastAsia" w:ascii="宋体" w:hAnsi="宋体" w:cs="宋体"/>
          <w:kern w:val="0"/>
          <w:szCs w:val="24"/>
          <w:lang w:val="zh-CN"/>
        </w:rPr>
        <w:t>的股权作价人民币</w:t>
      </w:r>
      <w:r>
        <w:rPr>
          <w:rFonts w:eastAsia="Times New Roman"/>
          <w:kern w:val="0"/>
          <w:szCs w:val="24"/>
          <w:lang w:val="zh-CN"/>
        </w:rPr>
        <w:t>358.00</w:t>
      </w:r>
      <w:r>
        <w:rPr>
          <w:rFonts w:hint="eastAsia" w:ascii="宋体" w:hAnsi="宋体" w:cs="宋体"/>
          <w:kern w:val="0"/>
          <w:szCs w:val="24"/>
          <w:lang w:val="zh-CN"/>
        </w:rPr>
        <w:t>万元转让给郑绍军；将所持有的江西美康</w:t>
      </w:r>
      <w:r>
        <w:rPr>
          <w:rFonts w:eastAsia="Times New Roman"/>
          <w:kern w:val="0"/>
          <w:szCs w:val="24"/>
          <w:lang w:val="zh-CN"/>
        </w:rPr>
        <w:t>21%</w:t>
      </w:r>
      <w:r>
        <w:rPr>
          <w:rFonts w:hint="eastAsia" w:ascii="宋体" w:hAnsi="宋体" w:cs="宋体"/>
          <w:kern w:val="0"/>
          <w:szCs w:val="24"/>
          <w:lang w:val="zh-CN"/>
        </w:rPr>
        <w:t>的股权作价人民币</w:t>
      </w:r>
      <w:r>
        <w:rPr>
          <w:rFonts w:eastAsia="Times New Roman"/>
          <w:kern w:val="0"/>
          <w:szCs w:val="24"/>
          <w:lang w:val="zh-CN"/>
        </w:rPr>
        <w:t>242.00</w:t>
      </w:r>
      <w:r>
        <w:rPr>
          <w:rFonts w:hint="eastAsia" w:ascii="宋体" w:hAnsi="宋体" w:cs="宋体"/>
          <w:kern w:val="0"/>
          <w:szCs w:val="24"/>
          <w:lang w:val="zh-CN"/>
        </w:rPr>
        <w:t>万元转让给胡容花；公司将所持有的上饶医检所</w:t>
      </w:r>
      <w:r>
        <w:rPr>
          <w:rFonts w:eastAsia="Times New Roman"/>
          <w:kern w:val="0"/>
          <w:szCs w:val="24"/>
          <w:lang w:val="zh-CN"/>
        </w:rPr>
        <w:t>31%</w:t>
      </w:r>
      <w:r>
        <w:rPr>
          <w:rFonts w:hint="eastAsia" w:ascii="宋体" w:hAnsi="宋体" w:cs="宋体"/>
          <w:kern w:val="0"/>
          <w:szCs w:val="24"/>
          <w:lang w:val="zh-CN"/>
        </w:rPr>
        <w:t>的股权作价人民币</w:t>
      </w:r>
      <w:r>
        <w:rPr>
          <w:rFonts w:eastAsia="Times New Roman"/>
          <w:kern w:val="0"/>
          <w:szCs w:val="24"/>
          <w:lang w:val="zh-CN"/>
        </w:rPr>
        <w:t>656.00</w:t>
      </w:r>
      <w:r>
        <w:rPr>
          <w:rFonts w:hint="eastAsia" w:ascii="宋体" w:hAnsi="宋体" w:cs="宋体"/>
          <w:kern w:val="0"/>
          <w:szCs w:val="24"/>
          <w:lang w:val="zh-CN"/>
        </w:rPr>
        <w:t>万元转让给郑绍军；将所持有的上饶医检所</w:t>
      </w:r>
      <w:r>
        <w:rPr>
          <w:rFonts w:eastAsia="Times New Roman"/>
          <w:kern w:val="0"/>
          <w:szCs w:val="24"/>
          <w:lang w:val="zh-CN"/>
        </w:rPr>
        <w:t>21%</w:t>
      </w:r>
      <w:r>
        <w:rPr>
          <w:rFonts w:hint="eastAsia" w:ascii="宋体" w:hAnsi="宋体" w:cs="宋体"/>
          <w:kern w:val="0"/>
          <w:szCs w:val="24"/>
          <w:lang w:val="zh-CN"/>
        </w:rPr>
        <w:t>的股权作价人民币</w:t>
      </w:r>
      <w:r>
        <w:rPr>
          <w:rFonts w:eastAsia="Times New Roman"/>
          <w:kern w:val="0"/>
          <w:szCs w:val="24"/>
          <w:lang w:val="zh-CN"/>
        </w:rPr>
        <w:t>444.00</w:t>
      </w:r>
      <w:r>
        <w:rPr>
          <w:rFonts w:hint="eastAsia" w:ascii="宋体" w:hAnsi="宋体" w:cs="宋体"/>
          <w:kern w:val="0"/>
          <w:szCs w:val="24"/>
          <w:lang w:val="zh-CN"/>
        </w:rPr>
        <w:t>万元转让给胡容花。上述股权转让款价格合计</w:t>
      </w:r>
      <w:r>
        <w:rPr>
          <w:rFonts w:eastAsia="Times New Roman"/>
          <w:kern w:val="0"/>
          <w:szCs w:val="24"/>
          <w:lang w:val="zh-CN"/>
        </w:rPr>
        <w:t>1,700.00</w:t>
      </w:r>
      <w:r>
        <w:rPr>
          <w:rFonts w:hint="eastAsia" w:ascii="宋体" w:hAnsi="宋体" w:cs="宋体"/>
          <w:kern w:val="0"/>
          <w:szCs w:val="24"/>
          <w:lang w:val="zh-CN"/>
        </w:rPr>
        <w:t>万元，股权转让完成后，公司将不再持有江西美康和上饶医检所的股权。截止</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31</w:t>
      </w:r>
      <w:r>
        <w:rPr>
          <w:rFonts w:hint="eastAsia" w:ascii="宋体" w:hAnsi="宋体" w:cs="宋体"/>
          <w:kern w:val="0"/>
          <w:szCs w:val="24"/>
          <w:lang w:val="zh-CN"/>
        </w:rPr>
        <w:t>日，公司已收到郑绍军、胡容花支付的股权转让款共计</w:t>
      </w:r>
      <w:r>
        <w:rPr>
          <w:rFonts w:eastAsia="Times New Roman"/>
          <w:kern w:val="0"/>
          <w:szCs w:val="24"/>
          <w:lang w:val="zh-CN"/>
        </w:rPr>
        <w:t>1,700</w:t>
      </w:r>
      <w:r>
        <w:rPr>
          <w:rFonts w:hint="eastAsia" w:ascii="宋体" w:hAnsi="宋体" w:cs="宋体"/>
          <w:kern w:val="0"/>
          <w:szCs w:val="24"/>
          <w:lang w:val="zh-CN"/>
        </w:rPr>
        <w:t>万元，上述股权转让事项已于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2</w:t>
      </w:r>
      <w:r>
        <w:rPr>
          <w:rFonts w:hint="eastAsia" w:ascii="宋体" w:hAnsi="宋体" w:cs="宋体"/>
          <w:kern w:val="0"/>
          <w:szCs w:val="24"/>
          <w:lang w:val="zh-CN"/>
        </w:rPr>
        <w:t>月</w:t>
      </w:r>
      <w:r>
        <w:rPr>
          <w:rFonts w:eastAsia="Times New Roman"/>
          <w:kern w:val="0"/>
          <w:szCs w:val="24"/>
          <w:lang w:val="zh-CN"/>
        </w:rPr>
        <w:t>21</w:t>
      </w:r>
      <w:r>
        <w:rPr>
          <w:rFonts w:hint="eastAsia" w:ascii="宋体" w:hAnsi="宋体" w:cs="宋体"/>
          <w:kern w:val="0"/>
          <w:szCs w:val="24"/>
          <w:lang w:val="zh-CN"/>
        </w:rPr>
        <w:t>日办妥工商变更手续。</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2</w:t>
      </w:r>
      <w:r>
        <w:rPr>
          <w:rFonts w:hint="eastAsia" w:ascii="宋体" w:hAnsi="宋体" w:cs="宋体"/>
          <w:kern w:val="0"/>
          <w:szCs w:val="24"/>
          <w:lang w:val="zh-CN"/>
        </w:rPr>
        <w:t>）美康生物科技</w:t>
      </w:r>
      <w:r>
        <w:rPr>
          <w:rFonts w:eastAsia="Times New Roman"/>
          <w:kern w:val="0"/>
          <w:szCs w:val="24"/>
          <w:lang w:val="zh-CN"/>
        </w:rPr>
        <w:t>(</w:t>
      </w:r>
      <w:r>
        <w:rPr>
          <w:rFonts w:hint="eastAsia" w:ascii="宋体" w:hAnsi="宋体" w:cs="宋体"/>
          <w:kern w:val="0"/>
          <w:szCs w:val="24"/>
          <w:lang w:val="zh-CN"/>
        </w:rPr>
        <w:t>陕西</w:t>
      </w:r>
      <w:r>
        <w:rPr>
          <w:rFonts w:eastAsia="Times New Roman"/>
          <w:kern w:val="0"/>
          <w:szCs w:val="24"/>
          <w:lang w:val="zh-CN"/>
        </w:rPr>
        <w:t>)</w:t>
      </w:r>
      <w:r>
        <w:rPr>
          <w:rFonts w:hint="eastAsia" w:ascii="宋体" w:hAnsi="宋体" w:cs="宋体"/>
          <w:kern w:val="0"/>
          <w:szCs w:val="24"/>
          <w:lang w:val="zh-CN"/>
        </w:rPr>
        <w:t>有限公司股权转让事项：</w:t>
      </w:r>
    </w:p>
    <w:p>
      <w:pPr>
        <w:autoSpaceDE w:val="0"/>
        <w:autoSpaceDN w:val="0"/>
        <w:adjustRightInd w:val="0"/>
        <w:spacing w:before="0" w:after="0"/>
        <w:ind w:firstLine="420"/>
        <w:jc w:val="left"/>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4</w:t>
      </w:r>
      <w:r>
        <w:rPr>
          <w:rFonts w:hint="eastAsia" w:ascii="宋体" w:hAnsi="宋体" w:cs="宋体"/>
          <w:kern w:val="0"/>
          <w:szCs w:val="24"/>
          <w:lang w:val="zh-CN"/>
        </w:rPr>
        <w:t>月</w:t>
      </w:r>
      <w:r>
        <w:rPr>
          <w:rFonts w:eastAsia="Times New Roman"/>
          <w:kern w:val="0"/>
          <w:szCs w:val="24"/>
          <w:lang w:val="zh-CN"/>
        </w:rPr>
        <w:t>22</w:t>
      </w:r>
      <w:r>
        <w:rPr>
          <w:rFonts w:hint="eastAsia" w:ascii="宋体" w:hAnsi="宋体" w:cs="宋体"/>
          <w:kern w:val="0"/>
          <w:szCs w:val="24"/>
          <w:lang w:val="zh-CN"/>
        </w:rPr>
        <w:t>日，公司与罗念庆签署了《股权转让协议》，公司将所持有的陕西美康</w:t>
      </w:r>
      <w:r>
        <w:rPr>
          <w:rFonts w:eastAsia="Times New Roman"/>
          <w:kern w:val="0"/>
          <w:szCs w:val="24"/>
          <w:lang w:val="zh-CN"/>
        </w:rPr>
        <w:t>100%</w:t>
      </w:r>
      <w:r>
        <w:rPr>
          <w:rFonts w:hint="eastAsia" w:ascii="宋体" w:hAnsi="宋体" w:cs="宋体"/>
          <w:kern w:val="0"/>
          <w:szCs w:val="24"/>
          <w:lang w:val="zh-CN"/>
        </w:rPr>
        <w:t>的股权作价人民币</w:t>
      </w:r>
      <w:r>
        <w:rPr>
          <w:rFonts w:eastAsia="Times New Roman"/>
          <w:kern w:val="0"/>
          <w:szCs w:val="24"/>
          <w:lang w:val="zh-CN"/>
        </w:rPr>
        <w:t>672.00</w:t>
      </w:r>
      <w:r>
        <w:rPr>
          <w:rFonts w:hint="eastAsia" w:ascii="宋体" w:hAnsi="宋体" w:cs="宋体"/>
          <w:kern w:val="0"/>
          <w:szCs w:val="24"/>
          <w:lang w:val="zh-CN"/>
        </w:rPr>
        <w:t>万元转让给罗念庆。股权转让完成后，公司将不再持有陕西美康的股权。具体内容详见</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4</w:t>
      </w:r>
      <w:r>
        <w:rPr>
          <w:rFonts w:hint="eastAsia" w:ascii="宋体" w:hAnsi="宋体" w:cs="宋体"/>
          <w:kern w:val="0"/>
          <w:szCs w:val="24"/>
          <w:lang w:val="zh-CN"/>
        </w:rPr>
        <w:t>月</w:t>
      </w:r>
      <w:r>
        <w:rPr>
          <w:rFonts w:eastAsia="Times New Roman"/>
          <w:kern w:val="0"/>
          <w:szCs w:val="24"/>
          <w:lang w:val="zh-CN"/>
        </w:rPr>
        <w:t>27</w:t>
      </w:r>
      <w:r>
        <w:rPr>
          <w:rFonts w:hint="eastAsia" w:ascii="宋体" w:hAnsi="宋体" w:cs="宋体"/>
          <w:kern w:val="0"/>
          <w:szCs w:val="24"/>
          <w:lang w:val="zh-CN"/>
        </w:rPr>
        <w:t>日刊登在中国证监会指定的创业板信息披露网站上的相关公告（公告编号</w:t>
      </w:r>
      <w:r>
        <w:rPr>
          <w:rFonts w:eastAsia="Times New Roman"/>
          <w:kern w:val="0"/>
          <w:szCs w:val="24"/>
          <w:lang w:val="zh-CN"/>
        </w:rPr>
        <w:t>2019-049</w:t>
      </w:r>
      <w:r>
        <w:rPr>
          <w:rFonts w:hint="eastAsia" w:ascii="宋体" w:hAnsi="宋体" w:cs="宋体"/>
          <w:kern w:val="0"/>
          <w:szCs w:val="24"/>
          <w:lang w:val="zh-CN"/>
        </w:rPr>
        <w:t>）。截至</w:t>
      </w:r>
      <w:r>
        <w:rPr>
          <w:rFonts w:ascii="宋体" w:hAnsi="宋体" w:cs="宋体"/>
          <w:kern w:val="0"/>
          <w:szCs w:val="24"/>
          <w:lang w:val="zh-CN"/>
        </w:rPr>
        <w:t>2020</w:t>
      </w:r>
      <w:r>
        <w:rPr>
          <w:rFonts w:hint="eastAsia" w:ascii="宋体" w:hAnsi="宋体" w:cs="宋体"/>
          <w:kern w:val="0"/>
          <w:szCs w:val="24"/>
          <w:lang w:val="zh-CN"/>
        </w:rPr>
        <w:t>年</w:t>
      </w:r>
      <w:r>
        <w:rPr>
          <w:rFonts w:ascii="宋体" w:hAnsi="宋体" w:cs="宋体"/>
          <w:kern w:val="0"/>
          <w:szCs w:val="24"/>
          <w:lang w:val="zh-CN"/>
        </w:rPr>
        <w:t>4</w:t>
      </w:r>
      <w:r>
        <w:rPr>
          <w:rFonts w:hint="eastAsia" w:ascii="宋体" w:hAnsi="宋体" w:cs="宋体"/>
          <w:kern w:val="0"/>
          <w:szCs w:val="24"/>
          <w:lang w:val="zh-CN"/>
        </w:rPr>
        <w:t>月</w:t>
      </w:r>
      <w:r>
        <w:rPr>
          <w:rFonts w:ascii="宋体" w:hAnsi="宋体" w:cs="宋体"/>
          <w:kern w:val="0"/>
          <w:szCs w:val="24"/>
          <w:lang w:val="zh-CN"/>
        </w:rPr>
        <w:t>27</w:t>
      </w:r>
      <w:r>
        <w:rPr>
          <w:rFonts w:hint="eastAsia" w:ascii="宋体" w:hAnsi="宋体" w:cs="宋体"/>
          <w:kern w:val="0"/>
          <w:szCs w:val="24"/>
          <w:lang w:val="zh-CN"/>
        </w:rPr>
        <w:t>日，公司已收到罗念庆支付的股权转让款共计</w:t>
      </w:r>
      <w:r>
        <w:rPr>
          <w:rFonts w:ascii="宋体" w:hAnsi="宋体" w:cs="宋体"/>
          <w:kern w:val="0"/>
          <w:szCs w:val="24"/>
          <w:lang w:val="zh-CN"/>
        </w:rPr>
        <w:t>672</w:t>
      </w:r>
      <w:r>
        <w:rPr>
          <w:rFonts w:hint="eastAsia" w:ascii="宋体" w:hAnsi="宋体" w:cs="宋体"/>
          <w:kern w:val="0"/>
          <w:szCs w:val="24"/>
          <w:lang w:val="zh-CN"/>
        </w:rPr>
        <w:t>万元，</w:t>
      </w:r>
      <w:r>
        <w:rPr>
          <w:rFonts w:hint="eastAsia" w:ascii="宋体" w:hAnsi="宋体" w:cs="宋体"/>
          <w:kern w:val="0"/>
          <w:highlight w:val="white"/>
          <w:lang w:val="zh-CN"/>
        </w:rPr>
        <w:t>已全部收回</w:t>
      </w:r>
      <w:r>
        <w:rPr>
          <w:rFonts w:hint="eastAsia" w:ascii="宋体" w:hAnsi="宋体" w:cs="宋体"/>
          <w:kern w:val="0"/>
          <w:szCs w:val="24"/>
          <w:lang w:val="zh-CN"/>
        </w:rPr>
        <w:t>。上述股权转让事项已于</w:t>
      </w:r>
      <w:r>
        <w:rPr>
          <w:rFonts w:ascii="宋体" w:hAnsi="宋体" w:cs="宋体"/>
          <w:kern w:val="0"/>
          <w:szCs w:val="24"/>
          <w:lang w:val="zh-CN"/>
        </w:rPr>
        <w:t>2019</w:t>
      </w:r>
      <w:r>
        <w:rPr>
          <w:rFonts w:hint="eastAsia" w:ascii="宋体" w:hAnsi="宋体" w:cs="宋体"/>
          <w:kern w:val="0"/>
          <w:szCs w:val="24"/>
          <w:lang w:val="zh-CN"/>
        </w:rPr>
        <w:t>年</w:t>
      </w:r>
      <w:r>
        <w:rPr>
          <w:rFonts w:ascii="宋体" w:hAnsi="宋体" w:cs="宋体"/>
          <w:kern w:val="0"/>
          <w:szCs w:val="24"/>
          <w:lang w:val="zh-CN"/>
        </w:rPr>
        <w:t>4</w:t>
      </w:r>
      <w:r>
        <w:rPr>
          <w:rFonts w:hint="eastAsia" w:ascii="宋体" w:hAnsi="宋体" w:cs="宋体"/>
          <w:kern w:val="0"/>
          <w:szCs w:val="24"/>
          <w:lang w:val="zh-CN"/>
        </w:rPr>
        <w:t>月</w:t>
      </w:r>
      <w:r>
        <w:rPr>
          <w:rFonts w:ascii="宋体" w:hAnsi="宋体" w:cs="宋体"/>
          <w:kern w:val="0"/>
          <w:szCs w:val="24"/>
          <w:lang w:val="zh-CN"/>
        </w:rPr>
        <w:t>28</w:t>
      </w:r>
      <w:r>
        <w:rPr>
          <w:rFonts w:hint="eastAsia" w:ascii="宋体" w:hAnsi="宋体" w:cs="宋体"/>
          <w:kern w:val="0"/>
          <w:szCs w:val="24"/>
          <w:lang w:val="zh-CN"/>
        </w:rPr>
        <w:t>日办妥工商变更手续。</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3</w:t>
      </w:r>
      <w:r>
        <w:rPr>
          <w:rFonts w:hint="eastAsia" w:ascii="宋体" w:hAnsi="宋体" w:cs="宋体"/>
          <w:kern w:val="0"/>
          <w:szCs w:val="24"/>
          <w:lang w:val="zh-CN"/>
        </w:rPr>
        <w:t>）宁波美康股权投资基金合伙企业</w:t>
      </w:r>
      <w:r>
        <w:rPr>
          <w:rFonts w:eastAsia="Times New Roman"/>
          <w:kern w:val="0"/>
          <w:szCs w:val="24"/>
          <w:lang w:val="zh-CN"/>
        </w:rPr>
        <w:t>(</w:t>
      </w:r>
      <w:r>
        <w:rPr>
          <w:rFonts w:hint="eastAsia" w:ascii="宋体" w:hAnsi="宋体" w:cs="宋体"/>
          <w:kern w:val="0"/>
          <w:szCs w:val="24"/>
          <w:lang w:val="zh-CN"/>
        </w:rPr>
        <w:t>有限合伙</w:t>
      </w:r>
      <w:r>
        <w:rPr>
          <w:rFonts w:eastAsia="Times New Roman"/>
          <w:kern w:val="0"/>
          <w:szCs w:val="24"/>
          <w:lang w:val="zh-CN"/>
        </w:rPr>
        <w:t>)</w:t>
      </w:r>
      <w:r>
        <w:rPr>
          <w:rFonts w:hint="eastAsia" w:ascii="宋体" w:hAnsi="宋体" w:cs="宋体"/>
          <w:kern w:val="0"/>
          <w:szCs w:val="24"/>
          <w:lang w:val="zh-CN"/>
        </w:rPr>
        <w:t>退伙及收购杭州倚天剩余股权事项：</w:t>
      </w:r>
    </w:p>
    <w:p>
      <w:pPr>
        <w:autoSpaceDE w:val="0"/>
        <w:autoSpaceDN w:val="0"/>
        <w:adjustRightInd w:val="0"/>
        <w:spacing w:before="0" w:after="0"/>
        <w:ind w:firstLine="420"/>
        <w:jc w:val="left"/>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3</w:t>
      </w:r>
      <w:r>
        <w:rPr>
          <w:rFonts w:hint="eastAsia" w:ascii="宋体" w:hAnsi="宋体" w:cs="宋体"/>
          <w:kern w:val="0"/>
          <w:szCs w:val="24"/>
          <w:lang w:val="zh-CN"/>
        </w:rPr>
        <w:t>月</w:t>
      </w:r>
      <w:r>
        <w:rPr>
          <w:rFonts w:eastAsia="Times New Roman"/>
          <w:kern w:val="0"/>
          <w:szCs w:val="24"/>
          <w:lang w:val="zh-CN"/>
        </w:rPr>
        <w:t>4</w:t>
      </w:r>
      <w:r>
        <w:rPr>
          <w:rFonts w:hint="eastAsia" w:ascii="宋体" w:hAnsi="宋体" w:cs="宋体"/>
          <w:kern w:val="0"/>
          <w:szCs w:val="24"/>
          <w:lang w:val="zh-CN"/>
        </w:rPr>
        <w:t>日，公司召开第三届董事会第十四次会议，审议通过《关于公司退出宁波美康股权投资基金合伙企业（有限合伙）、现金收购杭州倚天技术有限公司剩余股权暨关联交易的议案》，公司拟从宁波美康股权投资基金合伙企业（有限合伙）（以下简称</w:t>
      </w:r>
      <w:r>
        <w:rPr>
          <w:rFonts w:eastAsia="Times New Roman"/>
          <w:kern w:val="0"/>
          <w:szCs w:val="24"/>
          <w:lang w:val="zh-CN"/>
        </w:rPr>
        <w:t>“</w:t>
      </w:r>
      <w:r>
        <w:rPr>
          <w:rFonts w:hint="eastAsia" w:ascii="宋体" w:hAnsi="宋体" w:cs="宋体"/>
          <w:kern w:val="0"/>
          <w:szCs w:val="24"/>
          <w:lang w:val="zh-CN"/>
        </w:rPr>
        <w:t>美康基金</w:t>
      </w:r>
      <w:r>
        <w:rPr>
          <w:rFonts w:eastAsia="Times New Roman"/>
          <w:kern w:val="0"/>
          <w:szCs w:val="24"/>
          <w:lang w:val="zh-CN"/>
        </w:rPr>
        <w:t>”</w:t>
      </w:r>
      <w:r>
        <w:rPr>
          <w:rFonts w:hint="eastAsia" w:ascii="宋体" w:hAnsi="宋体" w:cs="宋体"/>
          <w:kern w:val="0"/>
          <w:szCs w:val="24"/>
          <w:lang w:val="zh-CN"/>
        </w:rPr>
        <w:t>）退伙并按照全体合伙人的实缴出资比例取得美康基金的部分资产及负债，其中包括杭州倚天</w:t>
      </w:r>
      <w:r>
        <w:rPr>
          <w:rFonts w:eastAsia="Times New Roman"/>
          <w:kern w:val="0"/>
          <w:szCs w:val="24"/>
          <w:lang w:val="zh-CN"/>
        </w:rPr>
        <w:t>66.89%</w:t>
      </w:r>
      <w:r>
        <w:rPr>
          <w:rFonts w:hint="eastAsia" w:ascii="宋体" w:hAnsi="宋体" w:cs="宋体"/>
          <w:kern w:val="0"/>
          <w:szCs w:val="24"/>
          <w:lang w:val="zh-CN"/>
        </w:rPr>
        <w:t>的股权。退伙后公司拟向美康基金收购其持有的杭州倚天剩余</w:t>
      </w:r>
      <w:r>
        <w:rPr>
          <w:rFonts w:eastAsia="Times New Roman"/>
          <w:kern w:val="0"/>
          <w:szCs w:val="24"/>
          <w:lang w:val="zh-CN"/>
        </w:rPr>
        <w:t>32.11%</w:t>
      </w:r>
      <w:r>
        <w:rPr>
          <w:rFonts w:hint="eastAsia" w:ascii="宋体" w:hAnsi="宋体" w:cs="宋体"/>
          <w:kern w:val="0"/>
          <w:szCs w:val="24"/>
          <w:lang w:val="zh-CN"/>
        </w:rPr>
        <w:t>股权。本次退伙及股权转让完成后，公司不再持有美康基金的股份，公司将由原来直接持有杭州倚天</w:t>
      </w:r>
      <w:r>
        <w:rPr>
          <w:rFonts w:eastAsia="Times New Roman"/>
          <w:kern w:val="0"/>
          <w:szCs w:val="24"/>
          <w:lang w:val="zh-CN"/>
        </w:rPr>
        <w:t>1%</w:t>
      </w:r>
      <w:r>
        <w:rPr>
          <w:rFonts w:hint="eastAsia" w:ascii="宋体" w:hAnsi="宋体" w:cs="宋体"/>
          <w:kern w:val="0"/>
          <w:szCs w:val="24"/>
          <w:lang w:val="zh-CN"/>
        </w:rPr>
        <w:t>股权变更为直接持有</w:t>
      </w:r>
      <w:r>
        <w:rPr>
          <w:rFonts w:eastAsia="Times New Roman"/>
          <w:kern w:val="0"/>
          <w:szCs w:val="24"/>
          <w:lang w:val="zh-CN"/>
        </w:rPr>
        <w:t>100%</w:t>
      </w:r>
      <w:r>
        <w:rPr>
          <w:rFonts w:hint="eastAsia" w:ascii="宋体" w:hAnsi="宋体" w:cs="宋体"/>
          <w:kern w:val="0"/>
          <w:szCs w:val="24"/>
          <w:lang w:val="zh-CN"/>
        </w:rPr>
        <w:t>股权，具体内容详见</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3</w:t>
      </w:r>
      <w:r>
        <w:rPr>
          <w:rFonts w:hint="eastAsia" w:ascii="宋体" w:hAnsi="宋体" w:cs="宋体"/>
          <w:kern w:val="0"/>
          <w:szCs w:val="24"/>
          <w:lang w:val="zh-CN"/>
        </w:rPr>
        <w:t>月</w:t>
      </w:r>
      <w:r>
        <w:rPr>
          <w:rFonts w:eastAsia="Times New Roman"/>
          <w:kern w:val="0"/>
          <w:szCs w:val="24"/>
          <w:lang w:val="zh-CN"/>
        </w:rPr>
        <w:t>5</w:t>
      </w:r>
      <w:r>
        <w:rPr>
          <w:rFonts w:hint="eastAsia" w:ascii="宋体" w:hAnsi="宋体" w:cs="宋体"/>
          <w:kern w:val="0"/>
          <w:szCs w:val="24"/>
          <w:lang w:val="zh-CN"/>
        </w:rPr>
        <w:t>日刊登在中国证监会指定的创业板信息披露网站上的相关公告（公告编号</w:t>
      </w:r>
      <w:r>
        <w:rPr>
          <w:rFonts w:eastAsia="Times New Roman"/>
          <w:kern w:val="0"/>
          <w:szCs w:val="24"/>
          <w:lang w:val="zh-CN"/>
        </w:rPr>
        <w:t>2019-015</w:t>
      </w:r>
      <w:r>
        <w:rPr>
          <w:rFonts w:hint="eastAsia" w:ascii="宋体" w:hAnsi="宋体" w:cs="宋体"/>
          <w:kern w:val="0"/>
          <w:szCs w:val="24"/>
          <w:lang w:val="zh-CN"/>
        </w:rPr>
        <w:t>）。上述事项已经公司</w:t>
      </w:r>
      <w:r>
        <w:rPr>
          <w:rFonts w:eastAsia="Times New Roman"/>
          <w:kern w:val="0"/>
          <w:szCs w:val="24"/>
          <w:lang w:val="zh-CN"/>
        </w:rPr>
        <w:t>2019</w:t>
      </w:r>
      <w:r>
        <w:rPr>
          <w:rFonts w:hint="eastAsia" w:ascii="宋体" w:hAnsi="宋体" w:cs="宋体"/>
          <w:kern w:val="0"/>
          <w:szCs w:val="24"/>
          <w:lang w:val="zh-CN"/>
        </w:rPr>
        <w:t>年第一次临时股东大会审议通过，并于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3</w:t>
      </w:r>
      <w:r>
        <w:rPr>
          <w:rFonts w:hint="eastAsia" w:ascii="宋体" w:hAnsi="宋体" w:cs="宋体"/>
          <w:kern w:val="0"/>
          <w:szCs w:val="24"/>
          <w:lang w:val="zh-CN"/>
        </w:rPr>
        <w:t>月</w:t>
      </w:r>
      <w:r>
        <w:rPr>
          <w:rFonts w:eastAsia="Times New Roman"/>
          <w:kern w:val="0"/>
          <w:szCs w:val="24"/>
          <w:lang w:val="zh-CN"/>
        </w:rPr>
        <w:t>22</w:t>
      </w:r>
      <w:r>
        <w:rPr>
          <w:rFonts w:hint="eastAsia" w:ascii="宋体" w:hAnsi="宋体" w:cs="宋体"/>
          <w:kern w:val="0"/>
          <w:szCs w:val="24"/>
          <w:lang w:val="zh-CN"/>
        </w:rPr>
        <w:t>日办妥从宁波美康股权投资基金合伙企业</w:t>
      </w:r>
      <w:r>
        <w:rPr>
          <w:rFonts w:eastAsia="Times New Roman"/>
          <w:kern w:val="0"/>
          <w:szCs w:val="24"/>
          <w:lang w:val="zh-CN"/>
        </w:rPr>
        <w:t>(</w:t>
      </w:r>
      <w:r>
        <w:rPr>
          <w:rFonts w:hint="eastAsia" w:ascii="宋体" w:hAnsi="宋体" w:cs="宋体"/>
          <w:kern w:val="0"/>
          <w:szCs w:val="24"/>
          <w:lang w:val="zh-CN"/>
        </w:rPr>
        <w:t>有限合伙</w:t>
      </w:r>
      <w:r>
        <w:rPr>
          <w:rFonts w:eastAsia="Times New Roman"/>
          <w:kern w:val="0"/>
          <w:szCs w:val="24"/>
          <w:lang w:val="zh-CN"/>
        </w:rPr>
        <w:t>)</w:t>
      </w:r>
      <w:r>
        <w:rPr>
          <w:rFonts w:hint="eastAsia" w:ascii="宋体" w:hAnsi="宋体" w:cs="宋体"/>
          <w:kern w:val="0"/>
          <w:szCs w:val="24"/>
          <w:lang w:val="zh-CN"/>
        </w:rPr>
        <w:t>退伙的工商变更事项；于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4</w:t>
      </w:r>
      <w:r>
        <w:rPr>
          <w:rFonts w:hint="eastAsia" w:ascii="宋体" w:hAnsi="宋体" w:cs="宋体"/>
          <w:kern w:val="0"/>
          <w:szCs w:val="24"/>
          <w:lang w:val="zh-CN"/>
        </w:rPr>
        <w:t>月</w:t>
      </w:r>
      <w:r>
        <w:rPr>
          <w:rFonts w:eastAsia="Times New Roman"/>
          <w:kern w:val="0"/>
          <w:szCs w:val="24"/>
          <w:lang w:val="zh-CN"/>
        </w:rPr>
        <w:t>11</w:t>
      </w:r>
      <w:r>
        <w:rPr>
          <w:rFonts w:hint="eastAsia" w:ascii="宋体" w:hAnsi="宋体" w:cs="宋体"/>
          <w:kern w:val="0"/>
          <w:szCs w:val="24"/>
          <w:lang w:val="zh-CN"/>
        </w:rPr>
        <w:t>日办妥杭州倚天股权变更的工商事项。</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该退伙及购买杭州倚天剩余股权事项，公司需要支付美康基金股权转让款</w:t>
      </w:r>
      <w:r>
        <w:rPr>
          <w:rFonts w:eastAsia="Times New Roman"/>
          <w:kern w:val="0"/>
          <w:szCs w:val="24"/>
          <w:lang w:val="zh-CN"/>
        </w:rPr>
        <w:t>222,436,185.70</w:t>
      </w:r>
      <w:r>
        <w:rPr>
          <w:rFonts w:hint="eastAsia" w:ascii="宋体" w:hAnsi="宋体" w:cs="宋体"/>
          <w:kern w:val="0"/>
          <w:szCs w:val="24"/>
          <w:lang w:val="zh-CN"/>
        </w:rPr>
        <w:t>元，截止</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6</w:t>
      </w:r>
      <w:r>
        <w:rPr>
          <w:rFonts w:hint="eastAsia" w:ascii="宋体" w:hAnsi="宋体" w:cs="宋体"/>
          <w:kern w:val="0"/>
          <w:szCs w:val="24"/>
          <w:lang w:val="zh-CN"/>
        </w:rPr>
        <w:t>月</w:t>
      </w:r>
      <w:r>
        <w:rPr>
          <w:rFonts w:eastAsia="Times New Roman"/>
          <w:kern w:val="0"/>
          <w:szCs w:val="24"/>
          <w:lang w:val="zh-CN"/>
        </w:rPr>
        <w:t>30</w:t>
      </w:r>
      <w:r>
        <w:rPr>
          <w:rFonts w:hint="eastAsia" w:ascii="宋体" w:hAnsi="宋体" w:cs="宋体"/>
          <w:kern w:val="0"/>
          <w:szCs w:val="24"/>
          <w:lang w:val="zh-CN"/>
        </w:rPr>
        <w:t>日，公司已全部支付；该退伙及购买杭州倚天剩余股权事项，公司原需要支付杭州昆贺投资合伙企业（有限合伙）股权转让款</w:t>
      </w:r>
      <w:r>
        <w:rPr>
          <w:rFonts w:eastAsia="Times New Roman"/>
          <w:kern w:val="0"/>
          <w:szCs w:val="24"/>
          <w:lang w:val="zh-CN"/>
        </w:rPr>
        <w:t>178,635,600</w:t>
      </w:r>
      <w:r>
        <w:rPr>
          <w:rFonts w:hint="eastAsia" w:ascii="宋体" w:hAnsi="宋体" w:cs="宋体"/>
          <w:kern w:val="0"/>
          <w:szCs w:val="24"/>
          <w:lang w:val="zh-CN"/>
        </w:rPr>
        <w:t>元，后于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30</w:t>
      </w:r>
      <w:r>
        <w:rPr>
          <w:rFonts w:hint="eastAsia" w:ascii="宋体" w:hAnsi="宋体" w:cs="宋体"/>
          <w:kern w:val="0"/>
          <w:szCs w:val="24"/>
          <w:lang w:val="zh-CN"/>
        </w:rPr>
        <w:t>日公司与姚丹华、高俊顺、许志良、陈敬、杭州昆贺投资合伙企业（有限合伙）、杭州倚天共同签署《</w:t>
      </w:r>
      <w:r>
        <w:rPr>
          <w:rFonts w:eastAsia="Times New Roman"/>
          <w:kern w:val="0"/>
          <w:szCs w:val="24"/>
          <w:lang w:val="zh-CN"/>
        </w:rPr>
        <w:t>&lt;</w:t>
      </w:r>
      <w:r>
        <w:rPr>
          <w:rFonts w:hint="eastAsia" w:ascii="宋体" w:hAnsi="宋体" w:cs="宋体"/>
          <w:kern w:val="0"/>
          <w:szCs w:val="24"/>
          <w:lang w:val="zh-CN"/>
        </w:rPr>
        <w:t>杭州倚天生物技术有限公司股权并购协议书</w:t>
      </w:r>
      <w:r>
        <w:rPr>
          <w:rFonts w:eastAsia="Times New Roman"/>
          <w:kern w:val="0"/>
          <w:szCs w:val="24"/>
          <w:lang w:val="zh-CN"/>
        </w:rPr>
        <w:t>&gt;</w:t>
      </w:r>
      <w:r>
        <w:rPr>
          <w:rFonts w:hint="eastAsia" w:ascii="宋体" w:hAnsi="宋体" w:cs="宋体"/>
          <w:kern w:val="0"/>
          <w:szCs w:val="24"/>
          <w:lang w:val="zh-CN"/>
        </w:rPr>
        <w:t>之补充协议（二）》，协议约定杭州倚天</w:t>
      </w:r>
      <w:r>
        <w:rPr>
          <w:rFonts w:eastAsia="Times New Roman"/>
          <w:kern w:val="0"/>
          <w:szCs w:val="24"/>
          <w:lang w:val="zh-CN"/>
        </w:rPr>
        <w:t>100%</w:t>
      </w:r>
      <w:r>
        <w:rPr>
          <w:rFonts w:hint="eastAsia" w:ascii="宋体" w:hAnsi="宋体" w:cs="宋体"/>
          <w:kern w:val="0"/>
          <w:szCs w:val="24"/>
          <w:lang w:val="zh-CN"/>
        </w:rPr>
        <w:t>股权转让价格由人民币</w:t>
      </w:r>
      <w:r>
        <w:rPr>
          <w:rFonts w:eastAsia="Times New Roman"/>
          <w:kern w:val="0"/>
          <w:szCs w:val="24"/>
          <w:lang w:val="zh-CN"/>
        </w:rPr>
        <w:t>902,200,000</w:t>
      </w:r>
      <w:r>
        <w:rPr>
          <w:rFonts w:hint="eastAsia" w:ascii="宋体" w:hAnsi="宋体" w:cs="宋体"/>
          <w:kern w:val="0"/>
          <w:szCs w:val="24"/>
          <w:lang w:val="zh-CN"/>
        </w:rPr>
        <w:t>元变更为人民币</w:t>
      </w:r>
      <w:r>
        <w:rPr>
          <w:rFonts w:eastAsia="Times New Roman"/>
          <w:kern w:val="0"/>
          <w:szCs w:val="24"/>
          <w:lang w:val="zh-CN"/>
        </w:rPr>
        <w:t>723,564,400</w:t>
      </w:r>
      <w:r>
        <w:rPr>
          <w:rFonts w:hint="eastAsia" w:ascii="宋体" w:hAnsi="宋体" w:cs="宋体"/>
          <w:kern w:val="0"/>
          <w:szCs w:val="24"/>
          <w:lang w:val="zh-CN"/>
        </w:rPr>
        <w:t>元。由此，公司受让杭州倚天</w:t>
      </w:r>
      <w:r>
        <w:rPr>
          <w:rFonts w:eastAsia="Times New Roman"/>
          <w:kern w:val="0"/>
          <w:szCs w:val="24"/>
          <w:lang w:val="zh-CN"/>
        </w:rPr>
        <w:t>100%</w:t>
      </w:r>
      <w:r>
        <w:rPr>
          <w:rFonts w:hint="eastAsia" w:ascii="宋体" w:hAnsi="宋体" w:cs="宋体"/>
          <w:kern w:val="0"/>
          <w:szCs w:val="24"/>
          <w:lang w:val="zh-CN"/>
        </w:rPr>
        <w:t>股权的股权转让款全部按时付清，公司的支付义务已完成，具体内容详见</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31</w:t>
      </w:r>
      <w:r>
        <w:rPr>
          <w:rFonts w:hint="eastAsia" w:ascii="宋体" w:hAnsi="宋体" w:cs="宋体"/>
          <w:kern w:val="0"/>
          <w:szCs w:val="24"/>
          <w:lang w:val="zh-CN"/>
        </w:rPr>
        <w:t>日刊登在中国证监会指定的创业板信息披露网站上的相关公告（公告编号</w:t>
      </w:r>
      <w:r>
        <w:rPr>
          <w:rFonts w:eastAsia="Times New Roman"/>
          <w:kern w:val="0"/>
          <w:szCs w:val="24"/>
          <w:lang w:val="zh-CN"/>
        </w:rPr>
        <w:t>2019-141</w:t>
      </w:r>
      <w:r>
        <w:rPr>
          <w:rFonts w:hint="eastAsia" w:ascii="宋体" w:hAnsi="宋体" w:cs="宋体"/>
          <w:kern w:val="0"/>
          <w:szCs w:val="24"/>
          <w:lang w:val="zh-CN"/>
        </w:rPr>
        <w:t>）。该事项已经公司第三届董事会第二十三次会议及</w:t>
      </w:r>
      <w:r>
        <w:rPr>
          <w:rFonts w:eastAsia="Times New Roman"/>
          <w:kern w:val="0"/>
          <w:szCs w:val="24"/>
          <w:lang w:val="zh-CN"/>
        </w:rPr>
        <w:t>2020</w:t>
      </w:r>
      <w:r>
        <w:rPr>
          <w:rFonts w:hint="eastAsia" w:ascii="宋体" w:hAnsi="宋体" w:cs="宋体"/>
          <w:kern w:val="0"/>
          <w:szCs w:val="24"/>
          <w:lang w:val="zh-CN"/>
        </w:rPr>
        <w:t>年第一次临时股东大会审议通过。</w:t>
      </w:r>
    </w:p>
    <w:p>
      <w:pPr>
        <w:autoSpaceDE w:val="0"/>
        <w:autoSpaceDN w:val="0"/>
        <w:adjustRightInd w:val="0"/>
        <w:spacing w:before="0" w:after="0"/>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4</w:t>
      </w:r>
      <w:r>
        <w:rPr>
          <w:rFonts w:hint="eastAsia" w:ascii="宋体" w:hAnsi="宋体" w:cs="宋体"/>
          <w:kern w:val="0"/>
          <w:szCs w:val="24"/>
          <w:lang w:val="zh-CN"/>
        </w:rPr>
        <w:t>）金华市美康盛德医学检验所有限公司股权转让事项：</w:t>
      </w:r>
    </w:p>
    <w:p>
      <w:pPr>
        <w:autoSpaceDE w:val="0"/>
        <w:autoSpaceDN w:val="0"/>
        <w:adjustRightInd w:val="0"/>
        <w:spacing w:before="0" w:after="0"/>
        <w:ind w:firstLine="420"/>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6</w:t>
      </w:r>
      <w:r>
        <w:rPr>
          <w:rFonts w:hint="eastAsia" w:ascii="宋体" w:hAnsi="宋体" w:cs="宋体"/>
          <w:kern w:val="0"/>
          <w:szCs w:val="24"/>
          <w:lang w:val="zh-CN"/>
        </w:rPr>
        <w:t>月</w:t>
      </w:r>
      <w:r>
        <w:rPr>
          <w:rFonts w:eastAsia="Times New Roman"/>
          <w:kern w:val="0"/>
          <w:szCs w:val="24"/>
          <w:lang w:val="zh-CN"/>
        </w:rPr>
        <w:t>21</w:t>
      </w:r>
      <w:r>
        <w:rPr>
          <w:rFonts w:hint="eastAsia" w:ascii="宋体" w:hAnsi="宋体" w:cs="宋体"/>
          <w:kern w:val="0"/>
          <w:szCs w:val="24"/>
          <w:lang w:val="zh-CN"/>
        </w:rPr>
        <w:t>日，公司与李丰、江怀昆、杭州普安基因工程有限公司及宁波华艺投资股份有限公司共同签署了股权转让协议及《关于终止履行</w:t>
      </w:r>
      <w:r>
        <w:rPr>
          <w:rFonts w:eastAsia="Times New Roman"/>
          <w:kern w:val="0"/>
          <w:szCs w:val="24"/>
          <w:lang w:val="zh-CN"/>
        </w:rPr>
        <w:t>&lt;</w:t>
      </w:r>
      <w:r>
        <w:rPr>
          <w:rFonts w:hint="eastAsia" w:ascii="宋体" w:hAnsi="宋体" w:cs="宋体"/>
          <w:kern w:val="0"/>
          <w:szCs w:val="24"/>
          <w:lang w:val="zh-CN"/>
        </w:rPr>
        <w:t>投资框架意向书</w:t>
      </w:r>
      <w:r>
        <w:rPr>
          <w:rFonts w:eastAsia="Times New Roman"/>
          <w:kern w:val="0"/>
          <w:szCs w:val="24"/>
          <w:lang w:val="zh-CN"/>
        </w:rPr>
        <w:t>&gt;</w:t>
      </w:r>
      <w:r>
        <w:rPr>
          <w:rFonts w:hint="eastAsia" w:ascii="宋体" w:hAnsi="宋体" w:cs="宋体"/>
          <w:kern w:val="0"/>
          <w:szCs w:val="24"/>
          <w:lang w:val="zh-CN"/>
        </w:rPr>
        <w:t>之协议》，各方一致同意公司将所持有的金华医检所</w:t>
      </w:r>
      <w:r>
        <w:rPr>
          <w:rFonts w:eastAsia="Times New Roman"/>
          <w:kern w:val="0"/>
          <w:szCs w:val="24"/>
          <w:lang w:val="zh-CN"/>
        </w:rPr>
        <w:t>41.10%</w:t>
      </w:r>
      <w:r>
        <w:rPr>
          <w:rFonts w:hint="eastAsia" w:ascii="宋体" w:hAnsi="宋体" w:cs="宋体"/>
          <w:kern w:val="0"/>
          <w:szCs w:val="24"/>
          <w:lang w:val="zh-CN"/>
        </w:rPr>
        <w:t>的股权作价人民币</w:t>
      </w:r>
      <w:r>
        <w:rPr>
          <w:rFonts w:eastAsia="Times New Roman"/>
          <w:kern w:val="0"/>
          <w:szCs w:val="24"/>
          <w:lang w:val="zh-CN"/>
        </w:rPr>
        <w:t>24.66</w:t>
      </w:r>
      <w:r>
        <w:rPr>
          <w:rFonts w:hint="eastAsia" w:ascii="宋体" w:hAnsi="宋体" w:cs="宋体"/>
          <w:kern w:val="0"/>
          <w:szCs w:val="24"/>
          <w:lang w:val="zh-CN"/>
        </w:rPr>
        <w:t>万元转让给李丰；将所持有的金华医检所</w:t>
      </w:r>
      <w:r>
        <w:rPr>
          <w:rFonts w:eastAsia="Times New Roman"/>
          <w:kern w:val="0"/>
          <w:szCs w:val="24"/>
          <w:lang w:val="zh-CN"/>
        </w:rPr>
        <w:t>6%</w:t>
      </w:r>
      <w:r>
        <w:rPr>
          <w:rFonts w:hint="eastAsia" w:ascii="宋体" w:hAnsi="宋体" w:cs="宋体"/>
          <w:kern w:val="0"/>
          <w:szCs w:val="24"/>
          <w:lang w:val="zh-CN"/>
        </w:rPr>
        <w:t>的股权作价人民币</w:t>
      </w:r>
      <w:r>
        <w:rPr>
          <w:rFonts w:eastAsia="Times New Roman"/>
          <w:kern w:val="0"/>
          <w:szCs w:val="24"/>
          <w:lang w:val="zh-CN"/>
        </w:rPr>
        <w:t>3.60</w:t>
      </w:r>
      <w:r>
        <w:rPr>
          <w:rFonts w:hint="eastAsia" w:ascii="宋体" w:hAnsi="宋体" w:cs="宋体"/>
          <w:kern w:val="0"/>
          <w:szCs w:val="24"/>
          <w:lang w:val="zh-CN"/>
        </w:rPr>
        <w:t>万元转让给江怀昆；将所持有的金华医检所</w:t>
      </w:r>
      <w:r>
        <w:rPr>
          <w:rFonts w:eastAsia="Times New Roman"/>
          <w:kern w:val="0"/>
          <w:szCs w:val="24"/>
          <w:lang w:val="zh-CN"/>
        </w:rPr>
        <w:t>2.90%</w:t>
      </w:r>
      <w:r>
        <w:rPr>
          <w:rFonts w:hint="eastAsia" w:ascii="宋体" w:hAnsi="宋体" w:cs="宋体"/>
          <w:kern w:val="0"/>
          <w:szCs w:val="24"/>
          <w:lang w:val="zh-CN"/>
        </w:rPr>
        <w:t>的股权作价人民币</w:t>
      </w:r>
      <w:r>
        <w:rPr>
          <w:rFonts w:eastAsia="Times New Roman"/>
          <w:kern w:val="0"/>
          <w:szCs w:val="24"/>
          <w:lang w:val="zh-CN"/>
        </w:rPr>
        <w:t>1.74</w:t>
      </w:r>
      <w:r>
        <w:rPr>
          <w:rFonts w:hint="eastAsia" w:ascii="宋体" w:hAnsi="宋体" w:cs="宋体"/>
          <w:kern w:val="0"/>
          <w:szCs w:val="24"/>
          <w:lang w:val="zh-CN"/>
        </w:rPr>
        <w:t>万元转让给杭州普安基因工程有限公司。上述股权转让款价格合计</w:t>
      </w:r>
      <w:r>
        <w:rPr>
          <w:rFonts w:eastAsia="Times New Roman"/>
          <w:kern w:val="0"/>
          <w:szCs w:val="24"/>
          <w:lang w:val="zh-CN"/>
        </w:rPr>
        <w:t>30.00</w:t>
      </w:r>
      <w:r>
        <w:rPr>
          <w:rFonts w:hint="eastAsia" w:ascii="宋体" w:hAnsi="宋体" w:cs="宋体"/>
          <w:kern w:val="0"/>
          <w:szCs w:val="24"/>
          <w:lang w:val="zh-CN"/>
        </w:rPr>
        <w:t>万元，股权转让完成后，公司将持有金华医检所</w:t>
      </w:r>
      <w:r>
        <w:rPr>
          <w:rFonts w:eastAsia="Times New Roman"/>
          <w:kern w:val="0"/>
          <w:szCs w:val="24"/>
          <w:lang w:val="zh-CN"/>
        </w:rPr>
        <w:t>1.00%</w:t>
      </w:r>
      <w:r>
        <w:rPr>
          <w:rFonts w:hint="eastAsia" w:ascii="宋体" w:hAnsi="宋体" w:cs="宋体"/>
          <w:kern w:val="0"/>
          <w:szCs w:val="24"/>
          <w:lang w:val="zh-CN"/>
        </w:rPr>
        <w:t>的股权。截止</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31</w:t>
      </w:r>
      <w:r>
        <w:rPr>
          <w:rFonts w:hint="eastAsia" w:ascii="宋体" w:hAnsi="宋体" w:cs="宋体"/>
          <w:kern w:val="0"/>
          <w:szCs w:val="24"/>
          <w:lang w:val="zh-CN"/>
        </w:rPr>
        <w:t>日，公司已收到李丰、江怀昆和杭州普安基因工程有限公司支付的股权转让款共计</w:t>
      </w:r>
      <w:r>
        <w:rPr>
          <w:rFonts w:eastAsia="Times New Roman"/>
          <w:kern w:val="0"/>
          <w:szCs w:val="24"/>
          <w:lang w:val="zh-CN"/>
        </w:rPr>
        <w:t>30.00</w:t>
      </w:r>
      <w:r>
        <w:rPr>
          <w:rFonts w:hint="eastAsia" w:ascii="宋体" w:hAnsi="宋体" w:cs="宋体"/>
          <w:kern w:val="0"/>
          <w:szCs w:val="24"/>
          <w:lang w:val="zh-CN"/>
        </w:rPr>
        <w:t>万元，上述股权转让事项已于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7</w:t>
      </w:r>
      <w:r>
        <w:rPr>
          <w:rFonts w:hint="eastAsia" w:ascii="宋体" w:hAnsi="宋体" w:cs="宋体"/>
          <w:kern w:val="0"/>
          <w:szCs w:val="24"/>
          <w:lang w:val="zh-CN"/>
        </w:rPr>
        <w:t>月</w:t>
      </w:r>
      <w:r>
        <w:rPr>
          <w:rFonts w:eastAsia="Times New Roman"/>
          <w:kern w:val="0"/>
          <w:szCs w:val="24"/>
          <w:lang w:val="zh-CN"/>
        </w:rPr>
        <w:t>25</w:t>
      </w:r>
      <w:r>
        <w:rPr>
          <w:rFonts w:hint="eastAsia" w:ascii="宋体" w:hAnsi="宋体" w:cs="宋体"/>
          <w:kern w:val="0"/>
          <w:szCs w:val="24"/>
          <w:lang w:val="zh-CN"/>
        </w:rPr>
        <w:t>日办妥工商变更手续。具体内容详见</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6</w:t>
      </w:r>
      <w:r>
        <w:rPr>
          <w:rFonts w:hint="eastAsia" w:ascii="宋体" w:hAnsi="宋体" w:cs="宋体"/>
          <w:kern w:val="0"/>
          <w:szCs w:val="24"/>
          <w:lang w:val="zh-CN"/>
        </w:rPr>
        <w:t>月</w:t>
      </w:r>
      <w:r>
        <w:rPr>
          <w:rFonts w:eastAsia="Times New Roman"/>
          <w:kern w:val="0"/>
          <w:szCs w:val="24"/>
          <w:lang w:val="zh-CN"/>
        </w:rPr>
        <w:t>26</w:t>
      </w:r>
      <w:r>
        <w:rPr>
          <w:rFonts w:hint="eastAsia" w:ascii="宋体" w:hAnsi="宋体" w:cs="宋体"/>
          <w:kern w:val="0"/>
          <w:szCs w:val="24"/>
          <w:lang w:val="zh-CN"/>
        </w:rPr>
        <w:t>日刊登在中国证监会指定的创业板信息披露网站上的相关公告（公告编号</w:t>
      </w:r>
      <w:r>
        <w:rPr>
          <w:rFonts w:eastAsia="Times New Roman"/>
          <w:kern w:val="0"/>
          <w:szCs w:val="24"/>
          <w:lang w:val="zh-CN"/>
        </w:rPr>
        <w:t>2019-068</w:t>
      </w:r>
      <w:r>
        <w:rPr>
          <w:rFonts w:hint="eastAsia" w:ascii="宋体" w:hAnsi="宋体" w:cs="宋体"/>
          <w:kern w:val="0"/>
          <w:szCs w:val="24"/>
          <w:lang w:val="zh-CN"/>
        </w:rPr>
        <w:t>）。</w:t>
      </w:r>
    </w:p>
    <w:p>
      <w:pPr>
        <w:autoSpaceDE w:val="0"/>
        <w:autoSpaceDN w:val="0"/>
        <w:adjustRightInd w:val="0"/>
        <w:spacing w:before="0" w:after="0"/>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5</w:t>
      </w:r>
      <w:r>
        <w:rPr>
          <w:rFonts w:hint="eastAsia" w:ascii="宋体" w:hAnsi="宋体" w:cs="宋体"/>
          <w:kern w:val="0"/>
          <w:szCs w:val="24"/>
          <w:lang w:val="zh-CN"/>
        </w:rPr>
        <w:t>）重庆和盛医疗器械有限公司股权转让事项：</w:t>
      </w:r>
    </w:p>
    <w:p>
      <w:pPr>
        <w:autoSpaceDE w:val="0"/>
        <w:autoSpaceDN w:val="0"/>
        <w:adjustRightInd w:val="0"/>
        <w:spacing w:before="0" w:after="0"/>
        <w:ind w:firstLine="420"/>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9</w:t>
      </w:r>
      <w:r>
        <w:rPr>
          <w:rFonts w:hint="eastAsia" w:ascii="宋体" w:hAnsi="宋体" w:cs="宋体"/>
          <w:kern w:val="0"/>
          <w:szCs w:val="24"/>
          <w:lang w:val="zh-CN"/>
        </w:rPr>
        <w:t>月</w:t>
      </w:r>
      <w:r>
        <w:rPr>
          <w:rFonts w:eastAsia="Times New Roman"/>
          <w:kern w:val="0"/>
          <w:szCs w:val="24"/>
          <w:lang w:val="zh-CN"/>
        </w:rPr>
        <w:t>10</w:t>
      </w:r>
      <w:r>
        <w:rPr>
          <w:rFonts w:hint="eastAsia" w:ascii="宋体" w:hAnsi="宋体" w:cs="宋体"/>
          <w:kern w:val="0"/>
          <w:szCs w:val="24"/>
          <w:lang w:val="zh-CN"/>
        </w:rPr>
        <w:t>日，公司与刘二岗、刘培岗签署了《股权转让协议》，公司将所持有的重庆和盛医疗器械有限公司</w:t>
      </w:r>
      <w:r>
        <w:rPr>
          <w:rFonts w:eastAsia="Times New Roman"/>
          <w:kern w:val="0"/>
          <w:szCs w:val="24"/>
          <w:lang w:val="zh-CN"/>
        </w:rPr>
        <w:t>21%</w:t>
      </w:r>
      <w:r>
        <w:rPr>
          <w:rFonts w:hint="eastAsia" w:ascii="宋体" w:hAnsi="宋体" w:cs="宋体"/>
          <w:kern w:val="0"/>
          <w:szCs w:val="24"/>
          <w:lang w:val="zh-CN"/>
        </w:rPr>
        <w:t>的股权作价人民币</w:t>
      </w:r>
      <w:r>
        <w:rPr>
          <w:rFonts w:eastAsia="Times New Roman"/>
          <w:kern w:val="0"/>
          <w:szCs w:val="24"/>
          <w:lang w:val="zh-CN"/>
        </w:rPr>
        <w:t>3,780.00</w:t>
      </w:r>
      <w:r>
        <w:rPr>
          <w:rFonts w:hint="eastAsia" w:ascii="宋体" w:hAnsi="宋体" w:cs="宋体"/>
          <w:kern w:val="0"/>
          <w:szCs w:val="24"/>
          <w:lang w:val="zh-CN"/>
        </w:rPr>
        <w:t>万元转让给刘培岗。股权转让完成后，公司将持有重庆和盛医疗器械有限公司</w:t>
      </w:r>
      <w:r>
        <w:rPr>
          <w:rFonts w:eastAsia="Times New Roman"/>
          <w:kern w:val="0"/>
          <w:szCs w:val="24"/>
          <w:lang w:val="zh-CN"/>
        </w:rPr>
        <w:t>30%</w:t>
      </w:r>
      <w:r>
        <w:rPr>
          <w:rFonts w:hint="eastAsia" w:ascii="宋体" w:hAnsi="宋体" w:cs="宋体"/>
          <w:kern w:val="0"/>
          <w:szCs w:val="24"/>
          <w:lang w:val="zh-CN"/>
        </w:rPr>
        <w:t>的股权，不再将其纳入公司合并报表范围，而是作为联营企业转为权益法核算。具体内容详见</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9</w:t>
      </w:r>
      <w:r>
        <w:rPr>
          <w:rFonts w:hint="eastAsia" w:ascii="宋体" w:hAnsi="宋体" w:cs="宋体"/>
          <w:kern w:val="0"/>
          <w:szCs w:val="24"/>
          <w:lang w:val="zh-CN"/>
        </w:rPr>
        <w:t>月</w:t>
      </w:r>
      <w:r>
        <w:rPr>
          <w:rFonts w:eastAsia="Times New Roman"/>
          <w:kern w:val="0"/>
          <w:szCs w:val="24"/>
          <w:lang w:val="zh-CN"/>
        </w:rPr>
        <w:t>11</w:t>
      </w:r>
      <w:r>
        <w:rPr>
          <w:rFonts w:hint="eastAsia" w:ascii="宋体" w:hAnsi="宋体" w:cs="宋体"/>
          <w:kern w:val="0"/>
          <w:szCs w:val="24"/>
          <w:lang w:val="zh-CN"/>
        </w:rPr>
        <w:t>日刊登在中国证监会指定的创业板信息披露网站上的相关公告（公告编号</w:t>
      </w:r>
      <w:r>
        <w:rPr>
          <w:rFonts w:eastAsia="Times New Roman"/>
          <w:kern w:val="0"/>
          <w:szCs w:val="24"/>
          <w:lang w:val="zh-CN"/>
        </w:rPr>
        <w:t>2019-108</w:t>
      </w:r>
      <w:r>
        <w:rPr>
          <w:rFonts w:hint="eastAsia" w:ascii="宋体" w:hAnsi="宋体" w:cs="宋体"/>
          <w:kern w:val="0"/>
          <w:szCs w:val="24"/>
          <w:lang w:val="zh-CN"/>
        </w:rPr>
        <w:t>）。该事项已经公司第三届董事会第二十次会议审议通过。截止</w:t>
      </w:r>
      <w:r>
        <w:rPr>
          <w:rFonts w:eastAsia="Times New Roman"/>
          <w:kern w:val="0"/>
          <w:szCs w:val="24"/>
          <w:lang w:val="zh-CN"/>
        </w:rPr>
        <w:t>2020</w:t>
      </w:r>
      <w:r>
        <w:rPr>
          <w:rFonts w:hint="eastAsia" w:ascii="宋体" w:hAnsi="宋体" w:cs="宋体"/>
          <w:kern w:val="0"/>
          <w:szCs w:val="24"/>
          <w:lang w:val="zh-CN"/>
        </w:rPr>
        <w:t>年</w:t>
      </w:r>
      <w:r>
        <w:rPr>
          <w:rFonts w:eastAsia="Times New Roman"/>
          <w:kern w:val="0"/>
          <w:szCs w:val="24"/>
          <w:lang w:val="zh-CN"/>
        </w:rPr>
        <w:t>4</w:t>
      </w:r>
      <w:r>
        <w:rPr>
          <w:rFonts w:hint="eastAsia" w:ascii="宋体" w:hAnsi="宋体" w:cs="宋体"/>
          <w:kern w:val="0"/>
          <w:szCs w:val="24"/>
          <w:lang w:val="zh-CN"/>
        </w:rPr>
        <w:t>月</w:t>
      </w:r>
      <w:r>
        <w:rPr>
          <w:rFonts w:eastAsia="Times New Roman"/>
          <w:kern w:val="0"/>
          <w:szCs w:val="24"/>
          <w:lang w:val="zh-CN"/>
        </w:rPr>
        <w:t>27</w:t>
      </w:r>
      <w:r>
        <w:rPr>
          <w:rFonts w:hint="eastAsia" w:ascii="宋体" w:hAnsi="宋体" w:cs="宋体"/>
          <w:kern w:val="0"/>
          <w:szCs w:val="24"/>
          <w:lang w:val="zh-CN"/>
        </w:rPr>
        <w:t>日，公司已按协议要求收到刘培岗支付的股权转让款共计</w:t>
      </w:r>
      <w:r>
        <w:rPr>
          <w:rFonts w:eastAsia="Times New Roman"/>
          <w:kern w:val="0"/>
          <w:szCs w:val="24"/>
          <w:lang w:val="zh-CN"/>
        </w:rPr>
        <w:t>2,268</w:t>
      </w:r>
      <w:r>
        <w:rPr>
          <w:rFonts w:hint="eastAsia" w:ascii="宋体" w:hAnsi="宋体" w:cs="宋体"/>
          <w:kern w:val="0"/>
          <w:szCs w:val="24"/>
          <w:lang w:val="zh-CN"/>
        </w:rPr>
        <w:t>万元，剩余</w:t>
      </w:r>
      <w:r>
        <w:rPr>
          <w:rFonts w:eastAsia="Times New Roman"/>
          <w:kern w:val="0"/>
          <w:szCs w:val="24"/>
          <w:lang w:val="zh-CN"/>
        </w:rPr>
        <w:t>1,512.00</w:t>
      </w:r>
      <w:r>
        <w:rPr>
          <w:rFonts w:hint="eastAsia" w:ascii="宋体" w:hAnsi="宋体" w:cs="宋体"/>
          <w:kern w:val="0"/>
          <w:szCs w:val="24"/>
          <w:lang w:val="zh-CN"/>
        </w:rPr>
        <w:t>万股权转让款尚未收到。上述股权转让事项已于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9</w:t>
      </w:r>
      <w:r>
        <w:rPr>
          <w:rFonts w:hint="eastAsia" w:ascii="宋体" w:hAnsi="宋体" w:cs="宋体"/>
          <w:kern w:val="0"/>
          <w:szCs w:val="24"/>
          <w:lang w:val="zh-CN"/>
        </w:rPr>
        <w:t>月</w:t>
      </w:r>
      <w:r>
        <w:rPr>
          <w:rFonts w:eastAsia="Times New Roman"/>
          <w:kern w:val="0"/>
          <w:szCs w:val="24"/>
          <w:lang w:val="zh-CN"/>
        </w:rPr>
        <w:t>11</w:t>
      </w:r>
      <w:r>
        <w:rPr>
          <w:rFonts w:hint="eastAsia" w:ascii="宋体" w:hAnsi="宋体" w:cs="宋体"/>
          <w:kern w:val="0"/>
          <w:szCs w:val="24"/>
          <w:lang w:val="zh-CN"/>
        </w:rPr>
        <w:t>日办妥工商变更手续。</w:t>
      </w:r>
    </w:p>
    <w:p>
      <w:pPr>
        <w:autoSpaceDE w:val="0"/>
        <w:autoSpaceDN w:val="0"/>
        <w:adjustRightInd w:val="0"/>
        <w:spacing w:before="0" w:after="0"/>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6</w:t>
      </w:r>
      <w:r>
        <w:rPr>
          <w:rFonts w:hint="eastAsia" w:ascii="宋体" w:hAnsi="宋体" w:cs="宋体"/>
          <w:kern w:val="0"/>
          <w:szCs w:val="24"/>
          <w:lang w:val="zh-CN"/>
        </w:rPr>
        <w:t>）美康生物科技（舟山）有限公司股权转让事项：</w:t>
      </w:r>
    </w:p>
    <w:p>
      <w:pPr>
        <w:autoSpaceDE w:val="0"/>
        <w:autoSpaceDN w:val="0"/>
        <w:adjustRightInd w:val="0"/>
        <w:spacing w:before="0" w:after="0"/>
        <w:ind w:firstLine="420"/>
        <w:rPr>
          <w:rFonts w:eastAsiaTheme="minorEastAsia"/>
          <w:kern w:val="0"/>
          <w:szCs w:val="24"/>
          <w:lang w:val="zh-CN"/>
        </w:rPr>
      </w:pP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9</w:t>
      </w:r>
      <w:r>
        <w:rPr>
          <w:rFonts w:hint="eastAsia" w:ascii="宋体" w:hAnsi="宋体" w:cs="宋体"/>
          <w:kern w:val="0"/>
          <w:szCs w:val="24"/>
          <w:lang w:val="zh-CN"/>
        </w:rPr>
        <w:t>月</w:t>
      </w:r>
      <w:r>
        <w:rPr>
          <w:rFonts w:eastAsia="Times New Roman"/>
          <w:kern w:val="0"/>
          <w:szCs w:val="24"/>
          <w:lang w:val="zh-CN"/>
        </w:rPr>
        <w:t>10</w:t>
      </w:r>
      <w:r>
        <w:rPr>
          <w:rFonts w:hint="eastAsia" w:ascii="宋体" w:hAnsi="宋体" w:cs="宋体"/>
          <w:kern w:val="0"/>
          <w:szCs w:val="24"/>
          <w:lang w:val="zh-CN"/>
        </w:rPr>
        <w:t>日，公司与余颖娜签署了《股权转让协议》及补充协议，公司将所持有的美康生物科技（舟山）有限公司</w:t>
      </w:r>
      <w:r>
        <w:rPr>
          <w:rFonts w:eastAsia="Times New Roman"/>
          <w:kern w:val="0"/>
          <w:szCs w:val="24"/>
          <w:lang w:val="zh-CN"/>
        </w:rPr>
        <w:t>71%</w:t>
      </w:r>
      <w:r>
        <w:rPr>
          <w:rFonts w:hint="eastAsia" w:ascii="宋体" w:hAnsi="宋体" w:cs="宋体"/>
          <w:kern w:val="0"/>
          <w:szCs w:val="24"/>
          <w:lang w:val="zh-CN"/>
        </w:rPr>
        <w:t>的股权作价人民币</w:t>
      </w:r>
      <w:r>
        <w:rPr>
          <w:rFonts w:eastAsia="Times New Roman"/>
          <w:kern w:val="0"/>
          <w:szCs w:val="24"/>
          <w:lang w:val="zh-CN"/>
        </w:rPr>
        <w:t>3,550.00</w:t>
      </w:r>
      <w:r>
        <w:rPr>
          <w:rFonts w:hint="eastAsia" w:ascii="宋体" w:hAnsi="宋体" w:cs="宋体"/>
          <w:kern w:val="0"/>
          <w:szCs w:val="24"/>
          <w:lang w:val="zh-CN"/>
        </w:rPr>
        <w:t>万元转让给余颖娜。股权转让完成后，公司将持有美康生物科技（舟山）有限公司</w:t>
      </w:r>
      <w:r>
        <w:rPr>
          <w:rFonts w:eastAsia="Times New Roman"/>
          <w:kern w:val="0"/>
          <w:szCs w:val="24"/>
          <w:lang w:val="zh-CN"/>
        </w:rPr>
        <w:t>29%</w:t>
      </w:r>
      <w:r>
        <w:rPr>
          <w:rFonts w:hint="eastAsia" w:ascii="宋体" w:hAnsi="宋体" w:cs="宋体"/>
          <w:kern w:val="0"/>
          <w:szCs w:val="24"/>
          <w:lang w:val="zh-CN"/>
        </w:rPr>
        <w:t>的股权，不再将其纳入公司合并报表范围，而是作为联营企业转为权益法核算。具体内容详见</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9</w:t>
      </w:r>
      <w:r>
        <w:rPr>
          <w:rFonts w:hint="eastAsia" w:ascii="宋体" w:hAnsi="宋体" w:cs="宋体"/>
          <w:kern w:val="0"/>
          <w:szCs w:val="24"/>
          <w:lang w:val="zh-CN"/>
        </w:rPr>
        <w:t>月</w:t>
      </w:r>
      <w:r>
        <w:rPr>
          <w:rFonts w:eastAsia="Times New Roman"/>
          <w:kern w:val="0"/>
          <w:szCs w:val="24"/>
          <w:lang w:val="zh-CN"/>
        </w:rPr>
        <w:t>11</w:t>
      </w:r>
      <w:r>
        <w:rPr>
          <w:rFonts w:hint="eastAsia" w:ascii="宋体" w:hAnsi="宋体" w:cs="宋体"/>
          <w:kern w:val="0"/>
          <w:szCs w:val="24"/>
          <w:lang w:val="zh-CN"/>
        </w:rPr>
        <w:t>日刊登在中国证监会指定的创业板信息披露网站上的相关公告（公告编号</w:t>
      </w:r>
      <w:r>
        <w:rPr>
          <w:rFonts w:eastAsia="Times New Roman"/>
          <w:kern w:val="0"/>
          <w:szCs w:val="24"/>
          <w:lang w:val="zh-CN"/>
        </w:rPr>
        <w:t>2019-109</w:t>
      </w:r>
      <w:r>
        <w:rPr>
          <w:rFonts w:hint="eastAsia" w:ascii="宋体" w:hAnsi="宋体" w:cs="宋体"/>
          <w:kern w:val="0"/>
          <w:szCs w:val="24"/>
          <w:lang w:val="zh-CN"/>
        </w:rPr>
        <w:t>）。该事项已经公司第三届董事会第二十次会议审议通过。截止</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31</w:t>
      </w:r>
      <w:r>
        <w:rPr>
          <w:rFonts w:hint="eastAsia" w:ascii="宋体" w:hAnsi="宋体" w:cs="宋体"/>
          <w:kern w:val="0"/>
          <w:szCs w:val="24"/>
          <w:lang w:val="zh-CN"/>
        </w:rPr>
        <w:t>日，公司已收到股权转让款</w:t>
      </w:r>
      <w:r>
        <w:rPr>
          <w:rFonts w:eastAsia="Times New Roman"/>
          <w:kern w:val="0"/>
          <w:szCs w:val="24"/>
          <w:lang w:val="zh-CN"/>
        </w:rPr>
        <w:t>3,550.00</w:t>
      </w:r>
      <w:r>
        <w:rPr>
          <w:rFonts w:hint="eastAsia" w:ascii="宋体" w:hAnsi="宋体" w:cs="宋体"/>
          <w:kern w:val="0"/>
          <w:szCs w:val="24"/>
          <w:lang w:val="zh-CN"/>
        </w:rPr>
        <w:t>万元。上述股权转让事项已于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10</w:t>
      </w:r>
      <w:r>
        <w:rPr>
          <w:rFonts w:hint="eastAsia" w:ascii="宋体" w:hAnsi="宋体" w:cs="宋体"/>
          <w:kern w:val="0"/>
          <w:szCs w:val="24"/>
          <w:lang w:val="zh-CN"/>
        </w:rPr>
        <w:t>月</w:t>
      </w:r>
      <w:r>
        <w:rPr>
          <w:rFonts w:eastAsia="Times New Roman"/>
          <w:kern w:val="0"/>
          <w:szCs w:val="24"/>
          <w:lang w:val="zh-CN"/>
        </w:rPr>
        <w:t>18</w:t>
      </w:r>
      <w:r>
        <w:rPr>
          <w:rFonts w:hint="eastAsia" w:ascii="宋体" w:hAnsi="宋体" w:cs="宋体"/>
          <w:kern w:val="0"/>
          <w:szCs w:val="24"/>
          <w:lang w:val="zh-CN"/>
        </w:rPr>
        <w:t>日办妥工商变更手续。</w:t>
      </w:r>
    </w:p>
    <w:p>
      <w:pPr>
        <w:pStyle w:val="13"/>
        <w:outlineLvl w:val="1"/>
        <w:rPr>
          <w:bCs w:val="0"/>
        </w:rPr>
      </w:pPr>
      <w:r>
        <w:rPr>
          <w:rFonts w:hint="eastAsia"/>
          <w:bCs w:val="0"/>
        </w:rPr>
        <w:t>十九、公司子公司重大事项</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1</w:t>
      </w:r>
      <w:r>
        <w:rPr>
          <w:rFonts w:hint="eastAsia" w:ascii="宋体" w:hAnsi="宋体" w:cs="宋体"/>
          <w:kern w:val="0"/>
          <w:szCs w:val="24"/>
          <w:lang w:val="zh-CN"/>
        </w:rPr>
        <w:t>）</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4</w:t>
      </w:r>
      <w:r>
        <w:rPr>
          <w:rFonts w:hint="eastAsia" w:ascii="宋体" w:hAnsi="宋体" w:cs="宋体"/>
          <w:kern w:val="0"/>
          <w:szCs w:val="24"/>
          <w:lang w:val="zh-CN"/>
        </w:rPr>
        <w:t>月，公司与北京天羔医疗科技有限公司签订《股权转让协议》，公司将持有的赣州医检所</w:t>
      </w:r>
      <w:r>
        <w:rPr>
          <w:rFonts w:eastAsia="Times New Roman"/>
          <w:kern w:val="0"/>
          <w:szCs w:val="24"/>
          <w:lang w:val="zh-CN"/>
        </w:rPr>
        <w:t>35%</w:t>
      </w:r>
      <w:r>
        <w:rPr>
          <w:rFonts w:hint="eastAsia" w:ascii="宋体" w:hAnsi="宋体" w:cs="宋体"/>
          <w:kern w:val="0"/>
          <w:szCs w:val="24"/>
          <w:lang w:val="zh-CN"/>
        </w:rPr>
        <w:t>的股权转让给北京天羔医疗科技有限公司，由于实缴出资额为</w:t>
      </w:r>
      <w:r>
        <w:rPr>
          <w:rFonts w:eastAsia="Times New Roman"/>
          <w:kern w:val="0"/>
          <w:szCs w:val="24"/>
          <w:lang w:val="zh-CN"/>
        </w:rPr>
        <w:t>0</w:t>
      </w:r>
      <w:r>
        <w:rPr>
          <w:rFonts w:hint="eastAsia" w:ascii="宋体" w:hAnsi="宋体" w:cs="宋体"/>
          <w:kern w:val="0"/>
          <w:szCs w:val="24"/>
          <w:lang w:val="zh-CN"/>
        </w:rPr>
        <w:t>，双方同意转让价格为</w:t>
      </w:r>
      <w:r>
        <w:rPr>
          <w:rFonts w:eastAsia="Times New Roman"/>
          <w:kern w:val="0"/>
          <w:szCs w:val="24"/>
          <w:lang w:val="zh-CN"/>
        </w:rPr>
        <w:t>0</w:t>
      </w:r>
      <w:r>
        <w:rPr>
          <w:rFonts w:hint="eastAsia" w:ascii="宋体" w:hAnsi="宋体" w:cs="宋体"/>
          <w:kern w:val="0"/>
          <w:szCs w:val="24"/>
          <w:lang w:val="zh-CN"/>
        </w:rPr>
        <w:t>元，转让完成后，公司仍然持有赣州医检所</w:t>
      </w:r>
      <w:r>
        <w:rPr>
          <w:rFonts w:eastAsia="Times New Roman"/>
          <w:kern w:val="0"/>
          <w:szCs w:val="24"/>
          <w:lang w:val="zh-CN"/>
        </w:rPr>
        <w:t>20%</w:t>
      </w:r>
      <w:r>
        <w:rPr>
          <w:rFonts w:hint="eastAsia" w:ascii="宋体" w:hAnsi="宋体" w:cs="宋体"/>
          <w:kern w:val="0"/>
          <w:szCs w:val="24"/>
          <w:lang w:val="zh-CN"/>
        </w:rPr>
        <w:t>的股权。同月，公司与子公司盛德医检所签订《股权转让协议》，公司将持有的赣州医检所剩余</w:t>
      </w:r>
      <w:r>
        <w:rPr>
          <w:rFonts w:eastAsia="Times New Roman"/>
          <w:kern w:val="0"/>
          <w:szCs w:val="24"/>
          <w:lang w:val="zh-CN"/>
        </w:rPr>
        <w:t>20%</w:t>
      </w:r>
      <w:r>
        <w:rPr>
          <w:rFonts w:hint="eastAsia" w:ascii="宋体" w:hAnsi="宋体" w:cs="宋体"/>
          <w:kern w:val="0"/>
          <w:szCs w:val="24"/>
          <w:lang w:val="zh-CN"/>
        </w:rPr>
        <w:t>的股权转让给盛德医检所，由于实缴出资额为</w:t>
      </w:r>
      <w:r>
        <w:rPr>
          <w:rFonts w:eastAsia="Times New Roman"/>
          <w:kern w:val="0"/>
          <w:szCs w:val="24"/>
          <w:lang w:val="zh-CN"/>
        </w:rPr>
        <w:t>0</w:t>
      </w:r>
      <w:r>
        <w:rPr>
          <w:rFonts w:hint="eastAsia" w:ascii="宋体" w:hAnsi="宋体" w:cs="宋体"/>
          <w:kern w:val="0"/>
          <w:szCs w:val="24"/>
          <w:lang w:val="zh-CN"/>
        </w:rPr>
        <w:t>，双方同意转让价格为</w:t>
      </w:r>
      <w:r>
        <w:rPr>
          <w:rFonts w:eastAsia="Times New Roman"/>
          <w:kern w:val="0"/>
          <w:szCs w:val="24"/>
          <w:lang w:val="zh-CN"/>
        </w:rPr>
        <w:t>0</w:t>
      </w:r>
      <w:r>
        <w:rPr>
          <w:rFonts w:hint="eastAsia" w:ascii="宋体" w:hAnsi="宋体" w:cs="宋体"/>
          <w:kern w:val="0"/>
          <w:szCs w:val="24"/>
          <w:lang w:val="zh-CN"/>
        </w:rPr>
        <w:t>元，转让完成后，公司不再持有赣州医检所的股权，由子公司盛德医检所持有赣州医检所</w:t>
      </w:r>
      <w:r>
        <w:rPr>
          <w:rFonts w:eastAsia="Times New Roman"/>
          <w:kern w:val="0"/>
          <w:szCs w:val="24"/>
          <w:lang w:val="zh-CN"/>
        </w:rPr>
        <w:t>20%</w:t>
      </w:r>
      <w:r>
        <w:rPr>
          <w:rFonts w:hint="eastAsia" w:ascii="宋体" w:hAnsi="宋体" w:cs="宋体"/>
          <w:kern w:val="0"/>
          <w:szCs w:val="24"/>
          <w:lang w:val="zh-CN"/>
        </w:rPr>
        <w:t>的股权。上述事项已于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4</w:t>
      </w:r>
      <w:r>
        <w:rPr>
          <w:rFonts w:hint="eastAsia" w:ascii="宋体" w:hAnsi="宋体" w:cs="宋体"/>
          <w:kern w:val="0"/>
          <w:szCs w:val="24"/>
          <w:lang w:val="zh-CN"/>
        </w:rPr>
        <w:t>月</w:t>
      </w:r>
      <w:r>
        <w:rPr>
          <w:rFonts w:eastAsia="Times New Roman"/>
          <w:kern w:val="0"/>
          <w:szCs w:val="24"/>
          <w:lang w:val="zh-CN"/>
        </w:rPr>
        <w:t>16</w:t>
      </w:r>
      <w:r>
        <w:rPr>
          <w:rFonts w:hint="eastAsia" w:ascii="宋体" w:hAnsi="宋体" w:cs="宋体"/>
          <w:kern w:val="0"/>
          <w:szCs w:val="24"/>
          <w:lang w:val="zh-CN"/>
        </w:rPr>
        <w:t>日办妥工商变更手续。</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2</w:t>
      </w:r>
      <w:r>
        <w:rPr>
          <w:rFonts w:hint="eastAsia" w:ascii="宋体" w:hAnsi="宋体" w:cs="宋体"/>
          <w:kern w:val="0"/>
          <w:szCs w:val="24"/>
          <w:lang w:val="zh-CN"/>
        </w:rPr>
        <w:t>）</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7</w:t>
      </w:r>
      <w:r>
        <w:rPr>
          <w:rFonts w:hint="eastAsia" w:ascii="宋体" w:hAnsi="宋体" w:cs="宋体"/>
          <w:kern w:val="0"/>
          <w:szCs w:val="24"/>
          <w:lang w:val="zh-CN"/>
        </w:rPr>
        <w:t>月</w:t>
      </w:r>
      <w:r>
        <w:rPr>
          <w:rFonts w:eastAsia="Times New Roman"/>
          <w:kern w:val="0"/>
          <w:szCs w:val="24"/>
          <w:lang w:val="zh-CN"/>
        </w:rPr>
        <w:t>31</w:t>
      </w:r>
      <w:r>
        <w:rPr>
          <w:rFonts w:hint="eastAsia" w:ascii="宋体" w:hAnsi="宋体" w:cs="宋体"/>
          <w:kern w:val="0"/>
          <w:szCs w:val="24"/>
          <w:lang w:val="zh-CN"/>
        </w:rPr>
        <w:t>日，原公司全资子美康盛达生物科技泰州有限公司、美康盛医生物科技泰州有限公司完成工商注销登记手续。具体内容详见</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8</w:t>
      </w:r>
      <w:r>
        <w:rPr>
          <w:rFonts w:hint="eastAsia" w:ascii="宋体" w:hAnsi="宋体" w:cs="宋体"/>
          <w:kern w:val="0"/>
          <w:szCs w:val="24"/>
          <w:lang w:val="zh-CN"/>
        </w:rPr>
        <w:t>月</w:t>
      </w:r>
      <w:r>
        <w:rPr>
          <w:rFonts w:eastAsia="Times New Roman"/>
          <w:kern w:val="0"/>
          <w:szCs w:val="24"/>
          <w:lang w:val="zh-CN"/>
        </w:rPr>
        <w:t>13</w:t>
      </w:r>
      <w:r>
        <w:rPr>
          <w:rFonts w:hint="eastAsia" w:ascii="宋体" w:hAnsi="宋体" w:cs="宋体"/>
          <w:kern w:val="0"/>
          <w:szCs w:val="24"/>
          <w:lang w:val="zh-CN"/>
        </w:rPr>
        <w:t>日刊登在中国证监会指定的创业板信息披露网站上的相关公告（公告编号</w:t>
      </w:r>
      <w:r>
        <w:rPr>
          <w:rFonts w:eastAsia="Times New Roman"/>
          <w:kern w:val="0"/>
          <w:szCs w:val="24"/>
          <w:lang w:val="zh-CN"/>
        </w:rPr>
        <w:t>2019-089</w:t>
      </w:r>
      <w:r>
        <w:rPr>
          <w:rFonts w:hint="eastAsia" w:ascii="宋体" w:hAnsi="宋体" w:cs="宋体"/>
          <w:kern w:val="0"/>
          <w:szCs w:val="24"/>
          <w:lang w:val="zh-CN"/>
        </w:rPr>
        <w:t>）。</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3</w:t>
      </w:r>
      <w:r>
        <w:rPr>
          <w:rFonts w:hint="eastAsia" w:ascii="宋体" w:hAnsi="宋体" w:cs="宋体"/>
          <w:kern w:val="0"/>
          <w:szCs w:val="24"/>
          <w:lang w:val="zh-CN"/>
        </w:rPr>
        <w:t>）</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11</w:t>
      </w:r>
      <w:r>
        <w:rPr>
          <w:rFonts w:hint="eastAsia" w:ascii="宋体" w:hAnsi="宋体" w:cs="宋体"/>
          <w:kern w:val="0"/>
          <w:szCs w:val="24"/>
          <w:lang w:val="zh-CN"/>
        </w:rPr>
        <w:t>月，公司原全资子公司江西广盛源医疗科技有限公司完成工商注销登记手续。具体内容详见</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11</w:t>
      </w:r>
      <w:r>
        <w:rPr>
          <w:rFonts w:hint="eastAsia" w:ascii="宋体" w:hAnsi="宋体" w:cs="宋体"/>
          <w:kern w:val="0"/>
          <w:szCs w:val="24"/>
          <w:lang w:val="zh-CN"/>
        </w:rPr>
        <w:t>月</w:t>
      </w:r>
      <w:r>
        <w:rPr>
          <w:rFonts w:eastAsia="Times New Roman"/>
          <w:kern w:val="0"/>
          <w:szCs w:val="24"/>
          <w:lang w:val="zh-CN"/>
        </w:rPr>
        <w:t>21</w:t>
      </w:r>
      <w:r>
        <w:rPr>
          <w:rFonts w:hint="eastAsia" w:ascii="宋体" w:hAnsi="宋体" w:cs="宋体"/>
          <w:kern w:val="0"/>
          <w:szCs w:val="24"/>
          <w:lang w:val="zh-CN"/>
        </w:rPr>
        <w:t>日刊登在中国证监会指定的创业板信息披露网站上的相关公告（公告编号</w:t>
      </w:r>
      <w:r>
        <w:rPr>
          <w:rFonts w:eastAsia="Times New Roman"/>
          <w:kern w:val="0"/>
          <w:szCs w:val="24"/>
          <w:lang w:val="zh-CN"/>
        </w:rPr>
        <w:t>2019-126</w:t>
      </w:r>
      <w:r>
        <w:rPr>
          <w:rFonts w:hint="eastAsia" w:ascii="宋体" w:hAnsi="宋体" w:cs="宋体"/>
          <w:kern w:val="0"/>
          <w:szCs w:val="24"/>
          <w:lang w:val="zh-CN"/>
        </w:rPr>
        <w:t>）。</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4</w:t>
      </w:r>
      <w:r>
        <w:rPr>
          <w:rFonts w:hint="eastAsia" w:ascii="宋体" w:hAnsi="宋体" w:cs="宋体"/>
          <w:kern w:val="0"/>
          <w:szCs w:val="24"/>
          <w:lang w:val="zh-CN"/>
        </w:rPr>
        <w:t>）</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月，公司将持有的浙江汉库健康科技有限公司</w:t>
      </w:r>
      <w:r>
        <w:rPr>
          <w:rFonts w:eastAsia="Times New Roman"/>
          <w:kern w:val="0"/>
          <w:szCs w:val="24"/>
          <w:lang w:val="zh-CN"/>
        </w:rPr>
        <w:t>8%</w:t>
      </w:r>
      <w:r>
        <w:rPr>
          <w:rFonts w:hint="eastAsia" w:ascii="宋体" w:hAnsi="宋体" w:cs="宋体"/>
          <w:kern w:val="0"/>
          <w:szCs w:val="24"/>
          <w:lang w:val="zh-CN"/>
        </w:rPr>
        <w:t>股权作价</w:t>
      </w:r>
      <w:r>
        <w:rPr>
          <w:rFonts w:eastAsia="Times New Roman"/>
          <w:kern w:val="0"/>
          <w:szCs w:val="24"/>
          <w:lang w:val="zh-CN"/>
        </w:rPr>
        <w:t>200</w:t>
      </w:r>
      <w:r>
        <w:rPr>
          <w:rFonts w:hint="eastAsia" w:ascii="宋体" w:hAnsi="宋体" w:cs="宋体"/>
          <w:kern w:val="0"/>
          <w:szCs w:val="24"/>
          <w:lang w:val="zh-CN"/>
        </w:rPr>
        <w:t>万元，转让给宁波梅山保税港区千堂投资合伙企业（有限合伙），转让完成后公司不再持有浙江汉库的股权。截止</w:t>
      </w:r>
      <w:r>
        <w:rPr>
          <w:rFonts w:eastAsia="Times New Roman"/>
          <w:kern w:val="0"/>
          <w:szCs w:val="24"/>
          <w:lang w:val="zh-CN"/>
        </w:rPr>
        <w:t>2020</w:t>
      </w:r>
      <w:r>
        <w:rPr>
          <w:rFonts w:hint="eastAsia" w:ascii="宋体" w:hAnsi="宋体" w:cs="宋体"/>
          <w:kern w:val="0"/>
          <w:szCs w:val="24"/>
          <w:lang w:val="zh-CN"/>
        </w:rPr>
        <w:t>年</w:t>
      </w:r>
      <w:r>
        <w:rPr>
          <w:rFonts w:eastAsia="Times New Roman"/>
          <w:kern w:val="0"/>
          <w:szCs w:val="24"/>
          <w:lang w:val="zh-CN"/>
        </w:rPr>
        <w:t>4</w:t>
      </w:r>
      <w:r>
        <w:rPr>
          <w:rFonts w:hint="eastAsia" w:ascii="宋体" w:hAnsi="宋体" w:cs="宋体"/>
          <w:kern w:val="0"/>
          <w:szCs w:val="24"/>
          <w:lang w:val="zh-CN"/>
        </w:rPr>
        <w:t>月</w:t>
      </w:r>
      <w:r>
        <w:rPr>
          <w:rFonts w:eastAsia="Times New Roman"/>
          <w:kern w:val="0"/>
          <w:szCs w:val="24"/>
          <w:lang w:val="zh-CN"/>
        </w:rPr>
        <w:t>27</w:t>
      </w:r>
      <w:r>
        <w:rPr>
          <w:rFonts w:hint="eastAsia" w:ascii="宋体" w:hAnsi="宋体" w:cs="宋体"/>
          <w:kern w:val="0"/>
          <w:szCs w:val="24"/>
          <w:lang w:val="zh-CN"/>
        </w:rPr>
        <w:t>日，公司已收到股权转让款</w:t>
      </w:r>
      <w:r>
        <w:rPr>
          <w:rFonts w:eastAsia="Times New Roman"/>
          <w:kern w:val="0"/>
          <w:szCs w:val="24"/>
          <w:lang w:val="zh-CN"/>
        </w:rPr>
        <w:t>200</w:t>
      </w:r>
      <w:r>
        <w:rPr>
          <w:rFonts w:hint="eastAsia" w:ascii="宋体" w:hAnsi="宋体" w:cs="宋体"/>
          <w:kern w:val="0"/>
          <w:szCs w:val="24"/>
          <w:lang w:val="zh-CN"/>
        </w:rPr>
        <w:t>万元。该股权转让事项已于</w:t>
      </w:r>
      <w:r>
        <w:rPr>
          <w:rFonts w:eastAsia="Times New Roman"/>
          <w:kern w:val="0"/>
          <w:szCs w:val="24"/>
          <w:lang w:val="zh-CN"/>
        </w:rPr>
        <w:t>2020</w:t>
      </w:r>
      <w:r>
        <w:rPr>
          <w:rFonts w:hint="eastAsia" w:ascii="宋体" w:hAnsi="宋体" w:cs="宋体"/>
          <w:kern w:val="0"/>
          <w:szCs w:val="24"/>
          <w:lang w:val="zh-CN"/>
        </w:rPr>
        <w:t>年</w:t>
      </w:r>
      <w:r>
        <w:rPr>
          <w:rFonts w:eastAsia="Times New Roman"/>
          <w:kern w:val="0"/>
          <w:szCs w:val="24"/>
          <w:lang w:val="zh-CN"/>
        </w:rPr>
        <w:t>1</w:t>
      </w:r>
      <w:r>
        <w:rPr>
          <w:rFonts w:hint="eastAsia" w:ascii="宋体" w:hAnsi="宋体" w:cs="宋体"/>
          <w:kern w:val="0"/>
          <w:szCs w:val="24"/>
          <w:lang w:val="zh-CN"/>
        </w:rPr>
        <w:t>月</w:t>
      </w:r>
      <w:r>
        <w:rPr>
          <w:rFonts w:eastAsia="Times New Roman"/>
          <w:kern w:val="0"/>
          <w:szCs w:val="24"/>
          <w:lang w:val="zh-CN"/>
        </w:rPr>
        <w:t>17</w:t>
      </w:r>
      <w:r>
        <w:rPr>
          <w:rFonts w:hint="eastAsia" w:ascii="宋体" w:hAnsi="宋体" w:cs="宋体"/>
          <w:kern w:val="0"/>
          <w:szCs w:val="24"/>
          <w:lang w:val="zh-CN"/>
        </w:rPr>
        <w:t>日办妥工商变更手续。</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5</w:t>
      </w:r>
      <w:r>
        <w:rPr>
          <w:rFonts w:hint="eastAsia" w:ascii="宋体" w:hAnsi="宋体" w:cs="宋体"/>
          <w:kern w:val="0"/>
          <w:szCs w:val="24"/>
          <w:lang w:val="zh-CN"/>
        </w:rPr>
        <w:t>）</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17</w:t>
      </w:r>
      <w:r>
        <w:rPr>
          <w:rFonts w:hint="eastAsia" w:ascii="宋体" w:hAnsi="宋体" w:cs="宋体"/>
          <w:kern w:val="0"/>
          <w:szCs w:val="24"/>
          <w:lang w:val="zh-CN"/>
        </w:rPr>
        <w:t>日，子公司江西美康盛德生物科技有限公司完成了股权转让工商变更登记手续，本次变更后，公司持有江西美康盛德</w:t>
      </w:r>
      <w:r>
        <w:rPr>
          <w:rFonts w:eastAsia="Times New Roman"/>
          <w:kern w:val="0"/>
          <w:szCs w:val="24"/>
          <w:lang w:val="zh-CN"/>
        </w:rPr>
        <w:t>75%</w:t>
      </w:r>
      <w:r>
        <w:rPr>
          <w:rFonts w:hint="eastAsia" w:ascii="宋体" w:hAnsi="宋体" w:cs="宋体"/>
          <w:kern w:val="0"/>
          <w:szCs w:val="24"/>
          <w:lang w:val="zh-CN"/>
        </w:rPr>
        <w:t>股权，公司子公司香港美康持有江西美康盛德</w:t>
      </w:r>
      <w:r>
        <w:rPr>
          <w:rFonts w:eastAsia="Times New Roman"/>
          <w:kern w:val="0"/>
          <w:szCs w:val="24"/>
          <w:lang w:val="zh-CN"/>
        </w:rPr>
        <w:t>25%</w:t>
      </w:r>
      <w:r>
        <w:rPr>
          <w:rFonts w:hint="eastAsia" w:ascii="宋体" w:hAnsi="宋体" w:cs="宋体"/>
          <w:kern w:val="0"/>
          <w:szCs w:val="24"/>
          <w:lang w:val="zh-CN"/>
        </w:rPr>
        <w:t>股权。</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w:t>
      </w:r>
      <w:r>
        <w:rPr>
          <w:rFonts w:eastAsia="Times New Roman"/>
          <w:kern w:val="0"/>
          <w:szCs w:val="24"/>
          <w:lang w:val="zh-CN"/>
        </w:rPr>
        <w:t>6</w:t>
      </w:r>
      <w:r>
        <w:rPr>
          <w:rFonts w:hint="eastAsia" w:ascii="宋体" w:hAnsi="宋体" w:cs="宋体"/>
          <w:kern w:val="0"/>
          <w:szCs w:val="24"/>
          <w:lang w:val="zh-CN"/>
        </w:rPr>
        <w:t>）</w:t>
      </w:r>
      <w:r>
        <w:rPr>
          <w:rFonts w:eastAsia="Times New Roman"/>
          <w:kern w:val="0"/>
          <w:szCs w:val="24"/>
          <w:lang w:val="zh-CN"/>
        </w:rPr>
        <w:t>2018</w:t>
      </w:r>
      <w:r>
        <w:rPr>
          <w:rFonts w:hint="eastAsia" w:ascii="宋体" w:hAnsi="宋体" w:cs="宋体"/>
          <w:kern w:val="0"/>
          <w:szCs w:val="24"/>
          <w:lang w:val="zh-CN"/>
        </w:rPr>
        <w:t>年</w:t>
      </w:r>
      <w:r>
        <w:rPr>
          <w:rFonts w:eastAsia="Times New Roman"/>
          <w:kern w:val="0"/>
          <w:szCs w:val="24"/>
          <w:lang w:val="zh-CN"/>
        </w:rPr>
        <w:t>9</w:t>
      </w:r>
      <w:r>
        <w:rPr>
          <w:rFonts w:hint="eastAsia" w:ascii="宋体" w:hAnsi="宋体" w:cs="宋体"/>
          <w:kern w:val="0"/>
          <w:szCs w:val="24"/>
          <w:lang w:val="zh-CN"/>
        </w:rPr>
        <w:t>月，公司与美国赛默飞签订了《许可与供应协议》，赛默飞及其关联公司为公司及全资子公司美康盛德医疗科技（苏州）有限公司提供产品，并授权公司进一步开发其自身产品并将其整合到医疗器械中，共同推进产品在国内的研发、注册、生产和销售。</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月，全资子公司美康盛德医疗科技（苏州）有限公司取得液相色谱质谱联用仪</w:t>
      </w:r>
      <w:r>
        <w:rPr>
          <w:rFonts w:eastAsia="Times New Roman"/>
          <w:kern w:val="0"/>
          <w:szCs w:val="24"/>
          <w:lang w:val="zh-CN"/>
        </w:rPr>
        <w:t>MS-S900</w:t>
      </w:r>
      <w:r>
        <w:rPr>
          <w:rFonts w:hint="eastAsia" w:ascii="宋体" w:hAnsi="宋体" w:cs="宋体"/>
          <w:kern w:val="0"/>
          <w:szCs w:val="24"/>
          <w:lang w:val="zh-CN"/>
        </w:rPr>
        <w:t>的注册证，丰富和完善了公司产品线的种类，有利于增强公司在维生素、药物浓度、激素、氨基酸等临床质谱检测领域的市场拓展能力，进一步提高公司的综合竞争能力。具体内容详见</w:t>
      </w:r>
      <w:r>
        <w:rPr>
          <w:rFonts w:eastAsia="Times New Roman"/>
          <w:kern w:val="0"/>
          <w:szCs w:val="24"/>
          <w:lang w:val="zh-CN"/>
        </w:rPr>
        <w:t>2018</w:t>
      </w:r>
      <w:r>
        <w:rPr>
          <w:rFonts w:hint="eastAsia" w:ascii="宋体" w:hAnsi="宋体" w:cs="宋体"/>
          <w:kern w:val="0"/>
          <w:szCs w:val="24"/>
          <w:lang w:val="zh-CN"/>
        </w:rPr>
        <w:t>年</w:t>
      </w:r>
      <w:r>
        <w:rPr>
          <w:rFonts w:eastAsia="Times New Roman"/>
          <w:kern w:val="0"/>
          <w:szCs w:val="24"/>
          <w:lang w:val="zh-CN"/>
        </w:rPr>
        <w:t>9</w:t>
      </w:r>
      <w:r>
        <w:rPr>
          <w:rFonts w:hint="eastAsia" w:ascii="宋体" w:hAnsi="宋体" w:cs="宋体"/>
          <w:kern w:val="0"/>
          <w:szCs w:val="24"/>
          <w:lang w:val="zh-CN"/>
        </w:rPr>
        <w:t>月</w:t>
      </w:r>
      <w:r>
        <w:rPr>
          <w:rFonts w:eastAsia="Times New Roman"/>
          <w:kern w:val="0"/>
          <w:szCs w:val="24"/>
          <w:lang w:val="zh-CN"/>
        </w:rPr>
        <w:t>14</w:t>
      </w:r>
      <w:r>
        <w:rPr>
          <w:rFonts w:hint="eastAsia" w:ascii="宋体" w:hAnsi="宋体" w:cs="宋体"/>
          <w:kern w:val="0"/>
          <w:szCs w:val="24"/>
          <w:lang w:val="zh-CN"/>
        </w:rPr>
        <w:t>日、</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19</w:t>
      </w:r>
      <w:r>
        <w:rPr>
          <w:rFonts w:hint="eastAsia" w:ascii="宋体" w:hAnsi="宋体" w:cs="宋体"/>
          <w:kern w:val="0"/>
          <w:szCs w:val="24"/>
          <w:lang w:val="zh-CN"/>
        </w:rPr>
        <w:t>日刊登在中国证监会指定的创业板信息披露网站上的相关公告（公告编号</w:t>
      </w:r>
      <w:r>
        <w:rPr>
          <w:rFonts w:eastAsia="Times New Roman"/>
          <w:kern w:val="0"/>
          <w:szCs w:val="24"/>
          <w:lang w:val="zh-CN"/>
        </w:rPr>
        <w:t>2018-090</w:t>
      </w:r>
      <w:r>
        <w:rPr>
          <w:rFonts w:hint="eastAsia" w:ascii="宋体" w:hAnsi="宋体" w:cs="宋体"/>
          <w:kern w:val="0"/>
          <w:szCs w:val="24"/>
          <w:lang w:val="zh-CN"/>
        </w:rPr>
        <w:t>、公告编号</w:t>
      </w:r>
      <w:r>
        <w:rPr>
          <w:rFonts w:eastAsia="Times New Roman"/>
          <w:kern w:val="0"/>
          <w:szCs w:val="24"/>
          <w:lang w:val="zh-CN"/>
        </w:rPr>
        <w:t>2019-134</w:t>
      </w:r>
      <w:r>
        <w:rPr>
          <w:rFonts w:hint="eastAsia" w:ascii="宋体" w:hAnsi="宋体" w:cs="宋体"/>
          <w:kern w:val="0"/>
          <w:szCs w:val="24"/>
          <w:lang w:val="zh-CN"/>
        </w:rPr>
        <w:t>）。</w:t>
      </w:r>
    </w:p>
    <w:p>
      <w:pPr>
        <w:autoSpaceDE w:val="0"/>
        <w:autoSpaceDN w:val="0"/>
        <w:adjustRightInd w:val="0"/>
        <w:spacing w:before="0" w:after="0"/>
        <w:jc w:val="left"/>
        <w:rPr>
          <w:rFonts w:eastAsiaTheme="minorEastAsia"/>
          <w:kern w:val="0"/>
          <w:sz w:val="24"/>
          <w:szCs w:val="24"/>
        </w:rPr>
        <w:sectPr>
          <w:pgSz w:w="11906" w:h="16838"/>
          <w:pgMar w:top="1440" w:right="1134" w:bottom="1440" w:left="1134" w:header="851" w:footer="992" w:gutter="0"/>
          <w:cols w:space="425" w:num="1"/>
          <w:docGrid w:type="lines" w:linePitch="312" w:charSpace="0"/>
        </w:sectPr>
      </w:pPr>
    </w:p>
    <w:p>
      <w:pPr>
        <w:pStyle w:val="8"/>
        <w:outlineLvl w:val="0"/>
        <w:rPr>
          <w:bCs w:val="0"/>
          <w:szCs w:val="24"/>
        </w:rPr>
      </w:pPr>
      <w:bookmarkStart w:id="10" w:name="_Toc38911277"/>
      <w:r>
        <w:rPr>
          <w:rFonts w:hint="eastAsia"/>
          <w:bCs w:val="0"/>
          <w:szCs w:val="24"/>
        </w:rPr>
        <w:t>第六节股份变动及股东情况</w:t>
      </w:r>
      <w:bookmarkEnd w:id="10"/>
    </w:p>
    <w:p>
      <w:pPr>
        <w:pStyle w:val="13"/>
        <w:outlineLvl w:val="1"/>
        <w:rPr>
          <w:bCs w:val="0"/>
        </w:rPr>
      </w:pPr>
      <w:r>
        <w:rPr>
          <w:rFonts w:hint="eastAsia"/>
          <w:bCs w:val="0"/>
        </w:rPr>
        <w:t>一、股份变动情况</w:t>
      </w:r>
    </w:p>
    <w:p>
      <w:pPr>
        <w:pStyle w:val="14"/>
        <w:outlineLvl w:val="2"/>
        <w:rPr>
          <w:bCs w:val="0"/>
          <w:szCs w:val="24"/>
        </w:rPr>
      </w:pPr>
      <w:r>
        <w:rPr>
          <w:bCs w:val="0"/>
          <w:szCs w:val="24"/>
        </w:rPr>
        <w:t>1</w:t>
      </w:r>
      <w:r>
        <w:rPr>
          <w:rFonts w:hint="eastAsia"/>
          <w:bCs w:val="0"/>
          <w:szCs w:val="24"/>
        </w:rPr>
        <w:t>、股份变动情况</w:t>
      </w:r>
    </w:p>
    <w:p>
      <w:pPr>
        <w:jc w:val="right"/>
        <w:rPr>
          <w:szCs w:val="24"/>
        </w:rPr>
      </w:pPr>
      <w:r>
        <w:rPr>
          <w:rFonts w:hint="eastAsia"/>
          <w:szCs w:val="24"/>
        </w:rPr>
        <w:t>单位：股</w:t>
      </w:r>
    </w:p>
    <w:tbl>
      <w:tblPr>
        <w:tblStyle w:val="9"/>
        <w:tblW w:w="0" w:type="auto"/>
        <w:tblInd w:w="28" w:type="dxa"/>
        <w:tblLayout w:type="fixed"/>
        <w:tblCellMar>
          <w:top w:w="0" w:type="dxa"/>
          <w:left w:w="28" w:type="dxa"/>
          <w:bottom w:w="0" w:type="dxa"/>
          <w:right w:w="28" w:type="dxa"/>
        </w:tblCellMar>
      </w:tblPr>
      <w:tblGrid>
        <w:gridCol w:w="1952"/>
        <w:gridCol w:w="1098"/>
        <w:gridCol w:w="823"/>
        <w:gridCol w:w="772"/>
        <w:gridCol w:w="567"/>
        <w:gridCol w:w="709"/>
        <w:gridCol w:w="850"/>
        <w:gridCol w:w="993"/>
        <w:gridCol w:w="1014"/>
        <w:gridCol w:w="794"/>
      </w:tblGrid>
      <w:tr>
        <w:tc>
          <w:tcPr>
            <w:tcW w:w="195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1921"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本次变动前</w:t>
            </w:r>
          </w:p>
        </w:tc>
        <w:tc>
          <w:tcPr>
            <w:tcW w:w="3891" w:type="dxa"/>
            <w:gridSpan w:val="5"/>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本次变动增减（＋，－）</w:t>
            </w:r>
          </w:p>
        </w:tc>
        <w:tc>
          <w:tcPr>
            <w:tcW w:w="180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本次变动后</w:t>
            </w:r>
          </w:p>
        </w:tc>
      </w:tr>
      <w:tr>
        <w:tblPrEx>
          <w:tblCellMar>
            <w:top w:w="0" w:type="dxa"/>
            <w:left w:w="28" w:type="dxa"/>
            <w:bottom w:w="0" w:type="dxa"/>
            <w:right w:w="28" w:type="dxa"/>
          </w:tblCellMar>
        </w:tblPrEx>
        <w:tc>
          <w:tcPr>
            <w:tcW w:w="195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0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数量</w:t>
            </w:r>
          </w:p>
        </w:tc>
        <w:tc>
          <w:tcPr>
            <w:tcW w:w="82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比例</w:t>
            </w:r>
          </w:p>
        </w:tc>
        <w:tc>
          <w:tcPr>
            <w:tcW w:w="77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发行新股</w:t>
            </w:r>
          </w:p>
        </w:tc>
        <w:tc>
          <w:tcPr>
            <w:tcW w:w="5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送股</w:t>
            </w:r>
          </w:p>
        </w:tc>
        <w:tc>
          <w:tcPr>
            <w:tcW w:w="70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公积金转股</w:t>
            </w:r>
          </w:p>
        </w:tc>
        <w:tc>
          <w:tcPr>
            <w:tcW w:w="8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9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小计</w:t>
            </w:r>
          </w:p>
        </w:tc>
        <w:tc>
          <w:tcPr>
            <w:tcW w:w="10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数量</w:t>
            </w:r>
          </w:p>
        </w:tc>
        <w:tc>
          <w:tcPr>
            <w:tcW w:w="7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比例</w:t>
            </w:r>
          </w:p>
        </w:tc>
      </w:tr>
      <w:tr>
        <w:tblPrEx>
          <w:tblCellMar>
            <w:top w:w="0" w:type="dxa"/>
            <w:left w:w="28" w:type="dxa"/>
            <w:bottom w:w="0" w:type="dxa"/>
            <w:right w:w="28" w:type="dxa"/>
          </w:tblCellMar>
        </w:tblPrEx>
        <w:tc>
          <w:tcPr>
            <w:tcW w:w="195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一、有限售条件股份</w:t>
            </w:r>
          </w:p>
        </w:tc>
        <w:tc>
          <w:tcPr>
            <w:tcW w:w="10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146,188,812</w:t>
            </w:r>
          </w:p>
        </w:tc>
        <w:tc>
          <w:tcPr>
            <w:tcW w:w="82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42.20%</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-2,094,662</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-2,094,662</w:t>
            </w:r>
          </w:p>
        </w:tc>
        <w:tc>
          <w:tcPr>
            <w:tcW w:w="10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144,094,150</w:t>
            </w:r>
          </w:p>
        </w:tc>
        <w:tc>
          <w:tcPr>
            <w:tcW w:w="7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41.73%</w:t>
            </w:r>
          </w:p>
        </w:tc>
      </w:tr>
      <w:tr>
        <w:tblPrEx>
          <w:tblCellMar>
            <w:top w:w="0" w:type="dxa"/>
            <w:left w:w="28" w:type="dxa"/>
            <w:bottom w:w="0" w:type="dxa"/>
            <w:right w:w="28" w:type="dxa"/>
          </w:tblCellMar>
        </w:tblPrEx>
        <w:tc>
          <w:tcPr>
            <w:tcW w:w="195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其他内资持股</w:t>
            </w:r>
          </w:p>
        </w:tc>
        <w:tc>
          <w:tcPr>
            <w:tcW w:w="10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146,188,812</w:t>
            </w:r>
          </w:p>
        </w:tc>
        <w:tc>
          <w:tcPr>
            <w:tcW w:w="82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42.20%</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-2,094,662</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-2,094,662</w:t>
            </w:r>
          </w:p>
        </w:tc>
        <w:tc>
          <w:tcPr>
            <w:tcW w:w="10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144,094,150</w:t>
            </w:r>
          </w:p>
        </w:tc>
        <w:tc>
          <w:tcPr>
            <w:tcW w:w="7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41.73%</w:t>
            </w:r>
          </w:p>
        </w:tc>
      </w:tr>
      <w:tr>
        <w:tblPrEx>
          <w:tblCellMar>
            <w:top w:w="0" w:type="dxa"/>
            <w:left w:w="28" w:type="dxa"/>
            <w:bottom w:w="0" w:type="dxa"/>
            <w:right w:w="28" w:type="dxa"/>
          </w:tblCellMar>
        </w:tblPrEx>
        <w:tc>
          <w:tcPr>
            <w:tcW w:w="195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境内自然人持股</w:t>
            </w:r>
          </w:p>
        </w:tc>
        <w:tc>
          <w:tcPr>
            <w:tcW w:w="10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146,188,812</w:t>
            </w:r>
          </w:p>
        </w:tc>
        <w:tc>
          <w:tcPr>
            <w:tcW w:w="82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42.20%</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-2,094,662</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-2,094,662</w:t>
            </w:r>
          </w:p>
        </w:tc>
        <w:tc>
          <w:tcPr>
            <w:tcW w:w="10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144,094,150</w:t>
            </w:r>
          </w:p>
        </w:tc>
        <w:tc>
          <w:tcPr>
            <w:tcW w:w="7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41.73%</w:t>
            </w:r>
          </w:p>
        </w:tc>
      </w:tr>
      <w:tr>
        <w:tblPrEx>
          <w:tblCellMar>
            <w:top w:w="0" w:type="dxa"/>
            <w:left w:w="28" w:type="dxa"/>
            <w:bottom w:w="0" w:type="dxa"/>
            <w:right w:w="28" w:type="dxa"/>
          </w:tblCellMar>
        </w:tblPrEx>
        <w:tc>
          <w:tcPr>
            <w:tcW w:w="195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二、无限售条件股份</w:t>
            </w:r>
          </w:p>
        </w:tc>
        <w:tc>
          <w:tcPr>
            <w:tcW w:w="10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200,208,488</w:t>
            </w:r>
          </w:p>
        </w:tc>
        <w:tc>
          <w:tcPr>
            <w:tcW w:w="82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57.80%</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999,982</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999,982</w:t>
            </w:r>
          </w:p>
        </w:tc>
        <w:tc>
          <w:tcPr>
            <w:tcW w:w="10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201,208,470</w:t>
            </w:r>
          </w:p>
        </w:tc>
        <w:tc>
          <w:tcPr>
            <w:tcW w:w="7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58.27%</w:t>
            </w:r>
          </w:p>
        </w:tc>
      </w:tr>
      <w:tr>
        <w:tblPrEx>
          <w:tblCellMar>
            <w:top w:w="0" w:type="dxa"/>
            <w:left w:w="28" w:type="dxa"/>
            <w:bottom w:w="0" w:type="dxa"/>
            <w:right w:w="28" w:type="dxa"/>
          </w:tblCellMar>
        </w:tblPrEx>
        <w:tc>
          <w:tcPr>
            <w:tcW w:w="195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人民币普通股</w:t>
            </w:r>
          </w:p>
        </w:tc>
        <w:tc>
          <w:tcPr>
            <w:tcW w:w="10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200,208,488</w:t>
            </w:r>
          </w:p>
        </w:tc>
        <w:tc>
          <w:tcPr>
            <w:tcW w:w="82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57.80%</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999,982</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999,982</w:t>
            </w:r>
          </w:p>
        </w:tc>
        <w:tc>
          <w:tcPr>
            <w:tcW w:w="10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201,208,470</w:t>
            </w:r>
          </w:p>
        </w:tc>
        <w:tc>
          <w:tcPr>
            <w:tcW w:w="7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58.27%</w:t>
            </w:r>
          </w:p>
        </w:tc>
      </w:tr>
      <w:tr>
        <w:tblPrEx>
          <w:tblCellMar>
            <w:top w:w="0" w:type="dxa"/>
            <w:left w:w="28" w:type="dxa"/>
            <w:bottom w:w="0" w:type="dxa"/>
            <w:right w:w="28" w:type="dxa"/>
          </w:tblCellMar>
        </w:tblPrEx>
        <w:tc>
          <w:tcPr>
            <w:tcW w:w="195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三、股份总数</w:t>
            </w:r>
          </w:p>
        </w:tc>
        <w:tc>
          <w:tcPr>
            <w:tcW w:w="10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346,397,300</w:t>
            </w:r>
          </w:p>
        </w:tc>
        <w:tc>
          <w:tcPr>
            <w:tcW w:w="82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-1,094,680</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-1,094,680</w:t>
            </w:r>
          </w:p>
        </w:tc>
        <w:tc>
          <w:tcPr>
            <w:tcW w:w="10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345,302,620</w:t>
            </w:r>
          </w:p>
        </w:tc>
        <w:tc>
          <w:tcPr>
            <w:tcW w:w="7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r>
    </w:tbl>
    <w:p>
      <w:pPr>
        <w:jc w:val="left"/>
        <w:rPr>
          <w:szCs w:val="24"/>
        </w:rPr>
      </w:pPr>
      <w:r>
        <w:rPr>
          <w:rFonts w:hint="eastAsia"/>
          <w:szCs w:val="24"/>
        </w:rPr>
        <w:t>股份变动的原因</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autoSpaceDE w:val="0"/>
        <w:autoSpaceDN w:val="0"/>
        <w:adjustRightInd w:val="0"/>
        <w:spacing w:before="0" w:after="0"/>
        <w:ind w:firstLine="420"/>
        <w:jc w:val="left"/>
        <w:rPr>
          <w:rFonts w:eastAsia="Times New Roman"/>
          <w:kern w:val="0"/>
          <w:szCs w:val="24"/>
          <w:lang w:val="zh-CN"/>
        </w:rPr>
      </w:pPr>
      <w:r>
        <w:rPr>
          <w:rFonts w:eastAsia="Times New Roman"/>
          <w:kern w:val="0"/>
          <w:szCs w:val="24"/>
          <w:lang w:val="zh-CN"/>
        </w:rPr>
        <w:t>1</w:t>
      </w:r>
      <w:r>
        <w:rPr>
          <w:rFonts w:hint="eastAsia" w:ascii="宋体" w:hAnsi="宋体" w:cs="宋体"/>
          <w:kern w:val="0"/>
          <w:szCs w:val="24"/>
          <w:lang w:val="zh-CN"/>
        </w:rPr>
        <w:t>、公司于</w:t>
      </w:r>
      <w:r>
        <w:rPr>
          <w:rFonts w:eastAsia="Times New Roman"/>
          <w:kern w:val="0"/>
          <w:szCs w:val="24"/>
          <w:lang w:val="zh-CN"/>
        </w:rPr>
        <w:t>2018</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25</w:t>
      </w:r>
      <w:r>
        <w:rPr>
          <w:rFonts w:hint="eastAsia" w:ascii="宋体" w:hAnsi="宋体" w:cs="宋体"/>
          <w:kern w:val="0"/>
          <w:szCs w:val="24"/>
          <w:lang w:val="zh-CN"/>
        </w:rPr>
        <w:t>日召开的</w:t>
      </w:r>
      <w:r>
        <w:rPr>
          <w:rFonts w:eastAsia="Times New Roman"/>
          <w:kern w:val="0"/>
          <w:szCs w:val="24"/>
          <w:lang w:val="zh-CN"/>
        </w:rPr>
        <w:t>2018</w:t>
      </w:r>
      <w:r>
        <w:rPr>
          <w:rFonts w:hint="eastAsia" w:ascii="宋体" w:hAnsi="宋体" w:cs="宋体"/>
          <w:kern w:val="0"/>
          <w:szCs w:val="24"/>
          <w:lang w:val="zh-CN"/>
        </w:rPr>
        <w:t>年度第四次临时股东大会审议通过了公司《关于回购注销部分激励对象已获授但尚未解锁的限制性股票的议案》，同意公司对首次授予限制性股票部分激励对象已获授但尚未解锁的</w:t>
      </w:r>
      <w:r>
        <w:rPr>
          <w:rFonts w:eastAsia="Times New Roman"/>
          <w:kern w:val="0"/>
          <w:szCs w:val="24"/>
          <w:lang w:val="zh-CN"/>
        </w:rPr>
        <w:t>259,000</w:t>
      </w:r>
      <w:r>
        <w:rPr>
          <w:rFonts w:hint="eastAsia" w:ascii="宋体" w:hAnsi="宋体" w:cs="宋体"/>
          <w:kern w:val="0"/>
          <w:szCs w:val="24"/>
          <w:lang w:val="zh-CN"/>
        </w:rPr>
        <w:t>股限制性股票进行回购注销。变更后，公司总股本</w:t>
      </w:r>
      <w:r>
        <w:rPr>
          <w:rFonts w:eastAsia="Times New Roman"/>
          <w:kern w:val="0"/>
          <w:szCs w:val="24"/>
          <w:lang w:val="zh-CN"/>
        </w:rPr>
        <w:t>346,397,300</w:t>
      </w:r>
      <w:r>
        <w:rPr>
          <w:rFonts w:hint="eastAsia" w:ascii="宋体" w:hAnsi="宋体" w:cs="宋体"/>
          <w:kern w:val="0"/>
          <w:szCs w:val="24"/>
          <w:lang w:val="zh-CN"/>
        </w:rPr>
        <w:t>股，本次回购注销的限制性股票数量共计为</w:t>
      </w:r>
      <w:r>
        <w:rPr>
          <w:rFonts w:eastAsia="Times New Roman"/>
          <w:kern w:val="0"/>
          <w:szCs w:val="24"/>
          <w:lang w:val="zh-CN"/>
        </w:rPr>
        <w:t>259,000</w:t>
      </w:r>
      <w:r>
        <w:rPr>
          <w:rFonts w:hint="eastAsia" w:ascii="宋体" w:hAnsi="宋体" w:cs="宋体"/>
          <w:kern w:val="0"/>
          <w:szCs w:val="24"/>
          <w:lang w:val="zh-CN"/>
        </w:rPr>
        <w:t>股，占回购前公司总股本的</w:t>
      </w:r>
      <w:r>
        <w:rPr>
          <w:rFonts w:eastAsia="Times New Roman"/>
          <w:kern w:val="0"/>
          <w:szCs w:val="24"/>
          <w:lang w:val="zh-CN"/>
        </w:rPr>
        <w:t>0.0748%</w:t>
      </w:r>
      <w:r>
        <w:rPr>
          <w:rFonts w:hint="eastAsia" w:ascii="宋体" w:hAnsi="宋体" w:cs="宋体"/>
          <w:kern w:val="0"/>
          <w:szCs w:val="24"/>
          <w:lang w:val="zh-CN"/>
        </w:rPr>
        <w:t>。本次回购前，公司总股本</w:t>
      </w:r>
      <w:r>
        <w:rPr>
          <w:rFonts w:eastAsia="Times New Roman"/>
          <w:kern w:val="0"/>
          <w:szCs w:val="24"/>
          <w:lang w:val="zh-CN"/>
        </w:rPr>
        <w:t>346,397,300</w:t>
      </w:r>
      <w:r>
        <w:rPr>
          <w:rFonts w:hint="eastAsia" w:ascii="宋体" w:hAnsi="宋体" w:cs="宋体"/>
          <w:kern w:val="0"/>
          <w:szCs w:val="24"/>
          <w:lang w:val="zh-CN"/>
        </w:rPr>
        <w:t>股，本次回购注销的限制性股票数量共计为</w:t>
      </w:r>
      <w:r>
        <w:rPr>
          <w:rFonts w:eastAsia="Times New Roman"/>
          <w:kern w:val="0"/>
          <w:szCs w:val="24"/>
          <w:lang w:val="zh-CN"/>
        </w:rPr>
        <w:t>259,000</w:t>
      </w:r>
      <w:r>
        <w:rPr>
          <w:rFonts w:hint="eastAsia" w:ascii="宋体" w:hAnsi="宋体" w:cs="宋体"/>
          <w:kern w:val="0"/>
          <w:szCs w:val="24"/>
          <w:lang w:val="zh-CN"/>
        </w:rPr>
        <w:t>股，占回购前公司总股本的</w:t>
      </w:r>
      <w:r>
        <w:rPr>
          <w:rFonts w:eastAsia="Times New Roman"/>
          <w:kern w:val="0"/>
          <w:szCs w:val="24"/>
          <w:lang w:val="zh-CN"/>
        </w:rPr>
        <w:t>0.0748%</w:t>
      </w:r>
      <w:r>
        <w:rPr>
          <w:rFonts w:hint="eastAsia" w:ascii="宋体" w:hAnsi="宋体" w:cs="宋体"/>
          <w:kern w:val="0"/>
          <w:szCs w:val="24"/>
          <w:lang w:val="zh-CN"/>
        </w:rPr>
        <w:t>。本次回购注销完成后，公司股份总数将由</w:t>
      </w:r>
      <w:r>
        <w:rPr>
          <w:rFonts w:eastAsia="Times New Roman"/>
          <w:kern w:val="0"/>
          <w:szCs w:val="24"/>
          <w:lang w:val="zh-CN"/>
        </w:rPr>
        <w:t>34,639.73</w:t>
      </w:r>
      <w:r>
        <w:rPr>
          <w:rFonts w:hint="eastAsia" w:ascii="宋体" w:hAnsi="宋体" w:cs="宋体"/>
          <w:kern w:val="0"/>
          <w:szCs w:val="24"/>
          <w:lang w:val="zh-CN"/>
        </w:rPr>
        <w:t>万股变更为</w:t>
      </w:r>
      <w:r>
        <w:rPr>
          <w:rFonts w:eastAsia="Times New Roman"/>
          <w:kern w:val="0"/>
          <w:szCs w:val="24"/>
          <w:lang w:val="zh-CN"/>
        </w:rPr>
        <w:t>34,613.83</w:t>
      </w:r>
      <w:r>
        <w:rPr>
          <w:rFonts w:hint="eastAsia" w:ascii="宋体" w:hAnsi="宋体" w:cs="宋体"/>
          <w:kern w:val="0"/>
          <w:szCs w:val="24"/>
          <w:lang w:val="zh-CN"/>
        </w:rPr>
        <w:t>万股。本次回购注销不影响公司限制性股票激励计划实施。立信会计师事务所（特殊普通合伙）于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4</w:t>
      </w:r>
      <w:r>
        <w:rPr>
          <w:rFonts w:hint="eastAsia" w:ascii="宋体" w:hAnsi="宋体" w:cs="宋体"/>
          <w:kern w:val="0"/>
          <w:szCs w:val="24"/>
          <w:lang w:val="zh-CN"/>
        </w:rPr>
        <w:t>月</w:t>
      </w:r>
      <w:r>
        <w:rPr>
          <w:rFonts w:eastAsia="Times New Roman"/>
          <w:kern w:val="0"/>
          <w:szCs w:val="24"/>
          <w:lang w:val="zh-CN"/>
        </w:rPr>
        <w:t>23</w:t>
      </w:r>
      <w:r>
        <w:rPr>
          <w:rFonts w:hint="eastAsia" w:ascii="宋体" w:hAnsi="宋体" w:cs="宋体"/>
          <w:kern w:val="0"/>
          <w:szCs w:val="24"/>
          <w:lang w:val="zh-CN"/>
        </w:rPr>
        <w:t>日出具了《美康生物科技股份有限公司验资报告》（信会师报字【</w:t>
      </w:r>
      <w:r>
        <w:rPr>
          <w:rFonts w:eastAsia="Times New Roman"/>
          <w:kern w:val="0"/>
          <w:szCs w:val="24"/>
          <w:lang w:val="zh-CN"/>
        </w:rPr>
        <w:t>2019</w:t>
      </w:r>
      <w:r>
        <w:rPr>
          <w:rFonts w:hint="eastAsia" w:ascii="宋体" w:hAnsi="宋体" w:cs="宋体"/>
          <w:kern w:val="0"/>
          <w:szCs w:val="24"/>
          <w:lang w:val="zh-CN"/>
        </w:rPr>
        <w:t>】第</w:t>
      </w:r>
      <w:r>
        <w:rPr>
          <w:rFonts w:eastAsia="Times New Roman"/>
          <w:kern w:val="0"/>
          <w:szCs w:val="24"/>
          <w:lang w:val="zh-CN"/>
        </w:rPr>
        <w:t>ZF10345</w:t>
      </w:r>
      <w:r>
        <w:rPr>
          <w:rFonts w:hint="eastAsia" w:ascii="宋体" w:hAnsi="宋体" w:cs="宋体"/>
          <w:kern w:val="0"/>
          <w:szCs w:val="24"/>
          <w:lang w:val="zh-CN"/>
        </w:rPr>
        <w:t>号）。</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经中国证券登记结算有限责任公司深圳分公司审核确认，公司上述限制性股票注销事宜已于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5</w:t>
      </w:r>
      <w:r>
        <w:rPr>
          <w:rFonts w:hint="eastAsia" w:ascii="宋体" w:hAnsi="宋体" w:cs="宋体"/>
          <w:kern w:val="0"/>
          <w:szCs w:val="24"/>
          <w:lang w:val="zh-CN"/>
        </w:rPr>
        <w:t>月</w:t>
      </w:r>
      <w:r>
        <w:rPr>
          <w:rFonts w:eastAsia="Times New Roman"/>
          <w:kern w:val="0"/>
          <w:szCs w:val="24"/>
          <w:lang w:val="zh-CN"/>
        </w:rPr>
        <w:t>10</w:t>
      </w:r>
      <w:r>
        <w:rPr>
          <w:rFonts w:hint="eastAsia" w:ascii="宋体" w:hAnsi="宋体" w:cs="宋体"/>
          <w:kern w:val="0"/>
          <w:szCs w:val="24"/>
          <w:lang w:val="zh-CN"/>
        </w:rPr>
        <w:t>日完成。</w:t>
      </w:r>
    </w:p>
    <w:p>
      <w:pPr>
        <w:autoSpaceDE w:val="0"/>
        <w:autoSpaceDN w:val="0"/>
        <w:adjustRightInd w:val="0"/>
        <w:spacing w:before="0" w:after="0"/>
        <w:ind w:firstLine="420"/>
        <w:jc w:val="left"/>
        <w:rPr>
          <w:rFonts w:eastAsia="Times New Roman"/>
          <w:kern w:val="0"/>
          <w:szCs w:val="24"/>
          <w:lang w:val="zh-CN"/>
        </w:rPr>
      </w:pPr>
      <w:r>
        <w:rPr>
          <w:rFonts w:eastAsia="Times New Roman"/>
          <w:kern w:val="0"/>
          <w:szCs w:val="24"/>
          <w:lang w:val="zh-CN"/>
        </w:rPr>
        <w:t>2</w:t>
      </w:r>
      <w:r>
        <w:rPr>
          <w:rFonts w:hint="eastAsia" w:ascii="宋体" w:hAnsi="宋体" w:cs="宋体"/>
          <w:kern w:val="0"/>
          <w:szCs w:val="24"/>
          <w:lang w:val="zh-CN"/>
        </w:rPr>
        <w:t>、</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8</w:t>
      </w:r>
      <w:r>
        <w:rPr>
          <w:rFonts w:hint="eastAsia" w:ascii="宋体" w:hAnsi="宋体" w:cs="宋体"/>
          <w:kern w:val="0"/>
          <w:szCs w:val="24"/>
          <w:lang w:val="zh-CN"/>
        </w:rPr>
        <w:t>月</w:t>
      </w:r>
      <w:r>
        <w:rPr>
          <w:rFonts w:eastAsia="Times New Roman"/>
          <w:kern w:val="0"/>
          <w:szCs w:val="24"/>
          <w:lang w:val="zh-CN"/>
        </w:rPr>
        <w:t>2</w:t>
      </w:r>
      <w:r>
        <w:rPr>
          <w:rFonts w:hint="eastAsia" w:ascii="宋体" w:hAnsi="宋体" w:cs="宋体"/>
          <w:kern w:val="0"/>
          <w:szCs w:val="24"/>
          <w:lang w:val="zh-CN"/>
        </w:rPr>
        <w:t>日，公司</w:t>
      </w:r>
      <w:r>
        <w:rPr>
          <w:rFonts w:eastAsia="Times New Roman"/>
          <w:kern w:val="0"/>
          <w:szCs w:val="24"/>
          <w:lang w:val="zh-CN"/>
        </w:rPr>
        <w:t>2019</w:t>
      </w:r>
      <w:r>
        <w:rPr>
          <w:rFonts w:hint="eastAsia" w:ascii="宋体" w:hAnsi="宋体" w:cs="宋体"/>
          <w:kern w:val="0"/>
          <w:szCs w:val="24"/>
          <w:lang w:val="zh-CN"/>
        </w:rPr>
        <w:t>年第三次临时股东大会审议通过了《关于回购注销部分激励对象已获授但尚未解锁的限制性股票的议案》，同意公司回购注销部分激励对象已获授但尚未解锁的限制性股票共</w:t>
      </w:r>
      <w:r>
        <w:rPr>
          <w:rFonts w:eastAsia="Times New Roman"/>
          <w:kern w:val="0"/>
          <w:szCs w:val="24"/>
          <w:lang w:val="zh-CN"/>
        </w:rPr>
        <w:t>835,680</w:t>
      </w:r>
      <w:r>
        <w:rPr>
          <w:rFonts w:hint="eastAsia" w:ascii="宋体" w:hAnsi="宋体" w:cs="宋体"/>
          <w:kern w:val="0"/>
          <w:szCs w:val="24"/>
          <w:lang w:val="zh-CN"/>
        </w:rPr>
        <w:t>股。其中，首次授予部分因</w:t>
      </w:r>
      <w:r>
        <w:rPr>
          <w:rFonts w:eastAsia="Times New Roman"/>
          <w:kern w:val="0"/>
          <w:szCs w:val="24"/>
          <w:lang w:val="zh-CN"/>
        </w:rPr>
        <w:t>25</w:t>
      </w:r>
      <w:r>
        <w:rPr>
          <w:rFonts w:hint="eastAsia" w:ascii="宋体" w:hAnsi="宋体" w:cs="宋体"/>
          <w:kern w:val="0"/>
          <w:szCs w:val="24"/>
          <w:lang w:val="zh-CN"/>
        </w:rPr>
        <w:t>名激励对象离职应予回购注销股份</w:t>
      </w:r>
      <w:r>
        <w:rPr>
          <w:rFonts w:eastAsia="Times New Roman"/>
          <w:kern w:val="0"/>
          <w:szCs w:val="24"/>
          <w:lang w:val="zh-CN"/>
        </w:rPr>
        <w:t>720,300</w:t>
      </w:r>
      <w:r>
        <w:rPr>
          <w:rFonts w:hint="eastAsia" w:ascii="宋体" w:hAnsi="宋体" w:cs="宋体"/>
          <w:kern w:val="0"/>
          <w:szCs w:val="24"/>
          <w:lang w:val="zh-CN"/>
        </w:rPr>
        <w:t>股，</w:t>
      </w:r>
      <w:r>
        <w:rPr>
          <w:rFonts w:eastAsia="Times New Roman"/>
          <w:kern w:val="0"/>
          <w:szCs w:val="24"/>
          <w:lang w:val="zh-CN"/>
        </w:rPr>
        <w:t>3</w:t>
      </w:r>
      <w:r>
        <w:rPr>
          <w:rFonts w:hint="eastAsia" w:ascii="宋体" w:hAnsi="宋体" w:cs="宋体"/>
          <w:kern w:val="0"/>
          <w:szCs w:val="24"/>
          <w:lang w:val="zh-CN"/>
        </w:rPr>
        <w:t>名激励对象因</w:t>
      </w:r>
      <w:r>
        <w:rPr>
          <w:rFonts w:eastAsia="Times New Roman"/>
          <w:kern w:val="0"/>
          <w:szCs w:val="24"/>
          <w:lang w:val="zh-CN"/>
        </w:rPr>
        <w:t>2018</w:t>
      </w:r>
      <w:r>
        <w:rPr>
          <w:rFonts w:hint="eastAsia" w:ascii="宋体" w:hAnsi="宋体" w:cs="宋体"/>
          <w:kern w:val="0"/>
          <w:szCs w:val="24"/>
          <w:lang w:val="zh-CN"/>
        </w:rPr>
        <w:t>年度个人考核等级为</w:t>
      </w:r>
      <w:r>
        <w:rPr>
          <w:rFonts w:eastAsia="Times New Roman"/>
          <w:kern w:val="0"/>
          <w:szCs w:val="24"/>
          <w:lang w:val="zh-CN"/>
        </w:rPr>
        <w:t>B</w:t>
      </w:r>
      <w:r>
        <w:rPr>
          <w:rFonts w:hint="eastAsia" w:ascii="宋体" w:hAnsi="宋体" w:cs="宋体"/>
          <w:kern w:val="0"/>
          <w:szCs w:val="24"/>
          <w:lang w:val="zh-CN"/>
        </w:rPr>
        <w:t>（合格）或</w:t>
      </w:r>
      <w:r>
        <w:rPr>
          <w:rFonts w:eastAsia="Times New Roman"/>
          <w:kern w:val="0"/>
          <w:szCs w:val="24"/>
          <w:lang w:val="zh-CN"/>
        </w:rPr>
        <w:t>C</w:t>
      </w:r>
      <w:r>
        <w:rPr>
          <w:rFonts w:hint="eastAsia" w:ascii="宋体" w:hAnsi="宋体" w:cs="宋体"/>
          <w:kern w:val="0"/>
          <w:szCs w:val="24"/>
          <w:lang w:val="zh-CN"/>
        </w:rPr>
        <w:t>（不合格）应予回购注销股份</w:t>
      </w:r>
      <w:r>
        <w:rPr>
          <w:rFonts w:eastAsia="Times New Roman"/>
          <w:kern w:val="0"/>
          <w:szCs w:val="24"/>
          <w:lang w:val="zh-CN"/>
        </w:rPr>
        <w:t>25,380</w:t>
      </w:r>
      <w:r>
        <w:rPr>
          <w:rFonts w:hint="eastAsia" w:ascii="宋体" w:hAnsi="宋体" w:cs="宋体"/>
          <w:kern w:val="0"/>
          <w:szCs w:val="24"/>
          <w:lang w:val="zh-CN"/>
        </w:rPr>
        <w:t>股，回购价格为</w:t>
      </w:r>
      <w:r>
        <w:rPr>
          <w:rFonts w:eastAsia="Times New Roman"/>
          <w:kern w:val="0"/>
          <w:szCs w:val="24"/>
          <w:lang w:val="zh-CN"/>
        </w:rPr>
        <w:t>13.04</w:t>
      </w:r>
      <w:r>
        <w:rPr>
          <w:rFonts w:hint="eastAsia" w:ascii="宋体" w:hAnsi="宋体" w:cs="宋体"/>
          <w:kern w:val="0"/>
          <w:szCs w:val="24"/>
          <w:lang w:val="zh-CN"/>
        </w:rPr>
        <w:t>元</w:t>
      </w:r>
      <w:r>
        <w:rPr>
          <w:rFonts w:eastAsia="Times New Roman"/>
          <w:kern w:val="0"/>
          <w:szCs w:val="24"/>
          <w:lang w:val="zh-CN"/>
        </w:rPr>
        <w:t>/</w:t>
      </w:r>
      <w:r>
        <w:rPr>
          <w:rFonts w:hint="eastAsia" w:ascii="宋体" w:hAnsi="宋体" w:cs="宋体"/>
          <w:kern w:val="0"/>
          <w:szCs w:val="24"/>
          <w:lang w:val="zh-CN"/>
        </w:rPr>
        <w:t>股；预留部分因</w:t>
      </w:r>
      <w:r>
        <w:rPr>
          <w:rFonts w:eastAsia="Times New Roman"/>
          <w:kern w:val="0"/>
          <w:szCs w:val="24"/>
          <w:lang w:val="zh-CN"/>
        </w:rPr>
        <w:t>1</w:t>
      </w:r>
      <w:r>
        <w:rPr>
          <w:rFonts w:hint="eastAsia" w:ascii="宋体" w:hAnsi="宋体" w:cs="宋体"/>
          <w:kern w:val="0"/>
          <w:szCs w:val="24"/>
          <w:lang w:val="zh-CN"/>
        </w:rPr>
        <w:t>名激励对象离职应予回购注销股份</w:t>
      </w:r>
      <w:r>
        <w:rPr>
          <w:rFonts w:eastAsia="Times New Roman"/>
          <w:kern w:val="0"/>
          <w:szCs w:val="24"/>
          <w:lang w:val="zh-CN"/>
        </w:rPr>
        <w:t>90,000</w:t>
      </w:r>
      <w:r>
        <w:rPr>
          <w:rFonts w:hint="eastAsia" w:ascii="宋体" w:hAnsi="宋体" w:cs="宋体"/>
          <w:kern w:val="0"/>
          <w:szCs w:val="24"/>
          <w:lang w:val="zh-CN"/>
        </w:rPr>
        <w:t>股，回购价格为</w:t>
      </w:r>
      <w:r>
        <w:rPr>
          <w:rFonts w:eastAsia="Times New Roman"/>
          <w:kern w:val="0"/>
          <w:szCs w:val="24"/>
          <w:lang w:val="zh-CN"/>
        </w:rPr>
        <w:t>13.43</w:t>
      </w:r>
      <w:r>
        <w:rPr>
          <w:rFonts w:hint="eastAsia" w:ascii="宋体" w:hAnsi="宋体" w:cs="宋体"/>
          <w:kern w:val="0"/>
          <w:szCs w:val="24"/>
          <w:lang w:val="zh-CN"/>
        </w:rPr>
        <w:t>元</w:t>
      </w:r>
      <w:r>
        <w:rPr>
          <w:rFonts w:eastAsia="Times New Roman"/>
          <w:kern w:val="0"/>
          <w:szCs w:val="24"/>
          <w:lang w:val="zh-CN"/>
        </w:rPr>
        <w:t>/</w:t>
      </w:r>
      <w:r>
        <w:rPr>
          <w:rFonts w:hint="eastAsia" w:ascii="宋体" w:hAnsi="宋体" w:cs="宋体"/>
          <w:kern w:val="0"/>
          <w:szCs w:val="24"/>
          <w:lang w:val="zh-CN"/>
        </w:rPr>
        <w:t>股。本次回购注销股份数量共计为</w:t>
      </w:r>
      <w:r>
        <w:rPr>
          <w:rFonts w:eastAsia="Times New Roman"/>
          <w:kern w:val="0"/>
          <w:szCs w:val="24"/>
          <w:lang w:val="zh-CN"/>
        </w:rPr>
        <w:t>835,680</w:t>
      </w:r>
      <w:r>
        <w:rPr>
          <w:rFonts w:hint="eastAsia" w:ascii="宋体" w:hAnsi="宋体" w:cs="宋体"/>
          <w:kern w:val="0"/>
          <w:szCs w:val="24"/>
          <w:lang w:val="zh-CN"/>
        </w:rPr>
        <w:t>股，占目前公司股本的</w:t>
      </w:r>
      <w:r>
        <w:rPr>
          <w:rFonts w:eastAsia="Times New Roman"/>
          <w:kern w:val="0"/>
          <w:szCs w:val="24"/>
          <w:lang w:val="zh-CN"/>
        </w:rPr>
        <w:t>0.2414%</w:t>
      </w:r>
      <w:r>
        <w:rPr>
          <w:rFonts w:hint="eastAsia" w:ascii="宋体" w:hAnsi="宋体" w:cs="宋体"/>
          <w:kern w:val="0"/>
          <w:szCs w:val="24"/>
          <w:lang w:val="zh-CN"/>
        </w:rPr>
        <w:t>。本次回购前，公司总股本</w:t>
      </w:r>
      <w:r>
        <w:rPr>
          <w:rFonts w:eastAsia="Times New Roman"/>
          <w:kern w:val="0"/>
          <w:szCs w:val="24"/>
          <w:lang w:val="zh-CN"/>
        </w:rPr>
        <w:t>346,138,300</w:t>
      </w:r>
      <w:r>
        <w:rPr>
          <w:rFonts w:hint="eastAsia" w:ascii="宋体" w:hAnsi="宋体" w:cs="宋体"/>
          <w:kern w:val="0"/>
          <w:szCs w:val="24"/>
          <w:lang w:val="zh-CN"/>
        </w:rPr>
        <w:t>股，本次回购注销的限制性股票数量共计为</w:t>
      </w:r>
      <w:r>
        <w:rPr>
          <w:rFonts w:eastAsia="Times New Roman"/>
          <w:kern w:val="0"/>
          <w:szCs w:val="24"/>
          <w:lang w:val="zh-CN"/>
        </w:rPr>
        <w:t>835,680</w:t>
      </w:r>
      <w:r>
        <w:rPr>
          <w:rFonts w:hint="eastAsia" w:ascii="宋体" w:hAnsi="宋体" w:cs="宋体"/>
          <w:kern w:val="0"/>
          <w:szCs w:val="24"/>
          <w:lang w:val="zh-CN"/>
        </w:rPr>
        <w:t>股，占回购前公司总股本的</w:t>
      </w:r>
      <w:r>
        <w:rPr>
          <w:rFonts w:eastAsia="Times New Roman"/>
          <w:kern w:val="0"/>
          <w:szCs w:val="24"/>
          <w:lang w:val="zh-CN"/>
        </w:rPr>
        <w:t>0.2414%</w:t>
      </w:r>
      <w:r>
        <w:rPr>
          <w:rFonts w:hint="eastAsia" w:ascii="宋体" w:hAnsi="宋体" w:cs="宋体"/>
          <w:kern w:val="0"/>
          <w:szCs w:val="24"/>
          <w:lang w:val="zh-CN"/>
        </w:rPr>
        <w:t>。本次回购注销完成后，公司股份总数将由</w:t>
      </w:r>
      <w:r>
        <w:rPr>
          <w:rFonts w:eastAsia="Times New Roman"/>
          <w:kern w:val="0"/>
          <w:szCs w:val="24"/>
          <w:lang w:val="zh-CN"/>
        </w:rPr>
        <w:t>34,613.83</w:t>
      </w:r>
      <w:r>
        <w:rPr>
          <w:rFonts w:hint="eastAsia" w:ascii="宋体" w:hAnsi="宋体" w:cs="宋体"/>
          <w:kern w:val="0"/>
          <w:szCs w:val="24"/>
          <w:lang w:val="zh-CN"/>
        </w:rPr>
        <w:t>万股变更为</w:t>
      </w:r>
      <w:r>
        <w:rPr>
          <w:rFonts w:eastAsia="Times New Roman"/>
          <w:kern w:val="0"/>
          <w:szCs w:val="24"/>
          <w:lang w:val="zh-CN"/>
        </w:rPr>
        <w:t>34,530.262</w:t>
      </w:r>
      <w:r>
        <w:rPr>
          <w:rFonts w:hint="eastAsia" w:ascii="宋体" w:hAnsi="宋体" w:cs="宋体"/>
          <w:kern w:val="0"/>
          <w:szCs w:val="24"/>
          <w:lang w:val="zh-CN"/>
        </w:rPr>
        <w:t>万股。本次回购注销不影响公司限制性股票激励计划实施。立信会计师事务所（特殊普通合伙）于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11</w:t>
      </w:r>
      <w:r>
        <w:rPr>
          <w:rFonts w:hint="eastAsia" w:ascii="宋体" w:hAnsi="宋体" w:cs="宋体"/>
          <w:kern w:val="0"/>
          <w:szCs w:val="24"/>
          <w:lang w:val="zh-CN"/>
        </w:rPr>
        <w:t>月</w:t>
      </w:r>
      <w:r>
        <w:rPr>
          <w:rFonts w:eastAsia="Times New Roman"/>
          <w:kern w:val="0"/>
          <w:szCs w:val="24"/>
          <w:lang w:val="zh-CN"/>
        </w:rPr>
        <w:t>28</w:t>
      </w:r>
      <w:r>
        <w:rPr>
          <w:rFonts w:hint="eastAsia" w:ascii="宋体" w:hAnsi="宋体" w:cs="宋体"/>
          <w:kern w:val="0"/>
          <w:szCs w:val="24"/>
          <w:lang w:val="zh-CN"/>
        </w:rPr>
        <w:t>日出具了《美康生物科技股份有限公司验资报告》（信会师报字【</w:t>
      </w:r>
      <w:r>
        <w:rPr>
          <w:rFonts w:eastAsia="Times New Roman"/>
          <w:kern w:val="0"/>
          <w:szCs w:val="24"/>
          <w:lang w:val="zh-CN"/>
        </w:rPr>
        <w:t>2019</w:t>
      </w:r>
      <w:r>
        <w:rPr>
          <w:rFonts w:hint="eastAsia" w:ascii="宋体" w:hAnsi="宋体" w:cs="宋体"/>
          <w:kern w:val="0"/>
          <w:szCs w:val="24"/>
          <w:lang w:val="zh-CN"/>
        </w:rPr>
        <w:t>】第</w:t>
      </w:r>
      <w:r>
        <w:rPr>
          <w:rFonts w:eastAsia="Times New Roman"/>
          <w:kern w:val="0"/>
          <w:szCs w:val="24"/>
          <w:lang w:val="zh-CN"/>
        </w:rPr>
        <w:t>ZF10800</w:t>
      </w:r>
      <w:r>
        <w:rPr>
          <w:rFonts w:hint="eastAsia" w:ascii="宋体" w:hAnsi="宋体" w:cs="宋体"/>
          <w:kern w:val="0"/>
          <w:szCs w:val="24"/>
          <w:lang w:val="zh-CN"/>
        </w:rPr>
        <w:t>号）。</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经中国证券登记结算有限责任公司深圳分公司审核确认，公司上述限制性股票注销事宜已于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23</w:t>
      </w:r>
      <w:r>
        <w:rPr>
          <w:rFonts w:hint="eastAsia" w:ascii="宋体" w:hAnsi="宋体" w:cs="宋体"/>
          <w:kern w:val="0"/>
          <w:szCs w:val="24"/>
          <w:lang w:val="zh-CN"/>
        </w:rPr>
        <w:t>日完成。</w:t>
      </w:r>
    </w:p>
    <w:p>
      <w:pPr>
        <w:jc w:val="left"/>
        <w:rPr>
          <w:szCs w:val="24"/>
        </w:rPr>
      </w:pPr>
      <w:r>
        <w:rPr>
          <w:rFonts w:hint="eastAsia"/>
          <w:szCs w:val="24"/>
        </w:rPr>
        <w:t>股份变动的批准情况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公司限制性股票回购事宜均已获得批准。</w:t>
      </w:r>
    </w:p>
    <w:p>
      <w:pPr>
        <w:jc w:val="left"/>
        <w:rPr>
          <w:szCs w:val="24"/>
        </w:rPr>
      </w:pPr>
      <w:r>
        <w:rPr>
          <w:rFonts w:hint="eastAsia"/>
          <w:szCs w:val="24"/>
        </w:rPr>
        <w:t>股份变动的过户情况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公司限制性股票回购注销事宜均办理了相应手续。</w:t>
      </w:r>
    </w:p>
    <w:p>
      <w:pPr>
        <w:jc w:val="left"/>
        <w:rPr>
          <w:szCs w:val="24"/>
        </w:rPr>
      </w:pPr>
      <w:r>
        <w:rPr>
          <w:rFonts w:hint="eastAsia"/>
          <w:szCs w:val="24"/>
        </w:rPr>
        <w:t>股份回购的实施进展情况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采用集中竞价方式减持回购股份的实施进展情况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股份变动对最近一年和最近一期基本每股收益和稀释每股收益、归属于公司普通股股东的每股净资产等财务指标的影响</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报告期内，公司回购注销的限制性股票数量为共</w:t>
      </w:r>
      <w:r>
        <w:rPr>
          <w:rFonts w:eastAsia="Times New Roman"/>
          <w:kern w:val="0"/>
          <w:szCs w:val="24"/>
          <w:lang w:val="zh-CN"/>
        </w:rPr>
        <w:t>1,094,680</w:t>
      </w:r>
      <w:r>
        <w:rPr>
          <w:rFonts w:hint="eastAsia" w:ascii="宋体" w:hAnsi="宋体" w:cs="宋体"/>
          <w:kern w:val="0"/>
          <w:szCs w:val="24"/>
          <w:lang w:val="zh-CN"/>
        </w:rPr>
        <w:t>股，回购注销完成后，公司股份总数由</w:t>
      </w:r>
      <w:r>
        <w:rPr>
          <w:rFonts w:eastAsia="Times New Roman"/>
          <w:kern w:val="0"/>
          <w:szCs w:val="24"/>
          <w:lang w:val="zh-CN"/>
        </w:rPr>
        <w:t>346,397,300</w:t>
      </w:r>
      <w:r>
        <w:rPr>
          <w:rFonts w:hint="eastAsia" w:ascii="宋体" w:hAnsi="宋体" w:cs="宋体"/>
          <w:kern w:val="0"/>
          <w:szCs w:val="24"/>
          <w:lang w:val="zh-CN"/>
        </w:rPr>
        <w:t>股变更为</w:t>
      </w:r>
      <w:r>
        <w:rPr>
          <w:rFonts w:eastAsia="Times New Roman"/>
          <w:kern w:val="0"/>
          <w:szCs w:val="24"/>
          <w:lang w:val="zh-CN"/>
        </w:rPr>
        <w:t>345,302,620</w:t>
      </w:r>
      <w:r>
        <w:rPr>
          <w:rFonts w:hint="eastAsia" w:ascii="宋体" w:hAnsi="宋体" w:cs="宋体"/>
          <w:kern w:val="0"/>
          <w:szCs w:val="24"/>
          <w:lang w:val="zh-CN"/>
        </w:rPr>
        <w:t>股。</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基本每股收益、稀释每股收益、归属于公司普通股股东的每股净资产等各项数据按新股本</w:t>
      </w:r>
      <w:r>
        <w:rPr>
          <w:rFonts w:eastAsia="Times New Roman"/>
          <w:kern w:val="0"/>
          <w:szCs w:val="24"/>
          <w:lang w:val="zh-CN"/>
        </w:rPr>
        <w:t>345,302,620</w:t>
      </w:r>
      <w:r>
        <w:rPr>
          <w:rFonts w:hint="eastAsia" w:ascii="宋体" w:hAnsi="宋体" w:cs="宋体"/>
          <w:kern w:val="0"/>
          <w:szCs w:val="24"/>
          <w:lang w:val="zh-CN"/>
        </w:rPr>
        <w:t>股计算。</w:t>
      </w:r>
    </w:p>
    <w:p>
      <w:pPr>
        <w:jc w:val="left"/>
        <w:rPr>
          <w:szCs w:val="24"/>
        </w:rPr>
      </w:pPr>
      <w:r>
        <w:rPr>
          <w:rFonts w:hint="eastAsia"/>
          <w:szCs w:val="24"/>
        </w:rPr>
        <w:t>公司认为必要或证券监管机构要求披露的其他内容</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2"/>
        <w:rPr>
          <w:bCs w:val="0"/>
          <w:szCs w:val="24"/>
        </w:rPr>
      </w:pPr>
      <w:r>
        <w:rPr>
          <w:bCs w:val="0"/>
          <w:szCs w:val="24"/>
        </w:rPr>
        <w:t>2</w:t>
      </w:r>
      <w:r>
        <w:rPr>
          <w:rFonts w:hint="eastAsia"/>
          <w:bCs w:val="0"/>
          <w:szCs w:val="24"/>
        </w:rPr>
        <w:t>、限售股份变动情况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right"/>
        <w:rPr>
          <w:szCs w:val="24"/>
        </w:rPr>
      </w:pPr>
      <w:r>
        <w:rPr>
          <w:rFonts w:hint="eastAsia"/>
          <w:szCs w:val="24"/>
        </w:rPr>
        <w:t>单位：股</w:t>
      </w:r>
    </w:p>
    <w:tbl>
      <w:tblPr>
        <w:tblStyle w:val="9"/>
        <w:tblW w:w="0" w:type="auto"/>
        <w:tblInd w:w="28" w:type="dxa"/>
        <w:tblLayout w:type="fixed"/>
        <w:tblCellMar>
          <w:top w:w="0" w:type="dxa"/>
          <w:left w:w="28" w:type="dxa"/>
          <w:bottom w:w="0" w:type="dxa"/>
          <w:right w:w="28" w:type="dxa"/>
        </w:tblCellMar>
      </w:tblPr>
      <w:tblGrid>
        <w:gridCol w:w="1206"/>
        <w:gridCol w:w="1313"/>
        <w:gridCol w:w="1134"/>
        <w:gridCol w:w="1134"/>
        <w:gridCol w:w="1276"/>
        <w:gridCol w:w="1417"/>
        <w:gridCol w:w="2086"/>
      </w:tblGrid>
      <w:tr>
        <w:tblPrEx>
          <w:tblCellMar>
            <w:top w:w="0" w:type="dxa"/>
            <w:left w:w="28" w:type="dxa"/>
            <w:bottom w:w="0" w:type="dxa"/>
            <w:right w:w="28" w:type="dxa"/>
          </w:tblCellMar>
        </w:tblPrEx>
        <w:tc>
          <w:tcPr>
            <w:tcW w:w="1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股东名称</w:t>
            </w:r>
          </w:p>
        </w:tc>
        <w:tc>
          <w:tcPr>
            <w:tcW w:w="13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期初限售股数</w:t>
            </w:r>
          </w:p>
        </w:tc>
        <w:tc>
          <w:tcPr>
            <w:tcW w:w="113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本期增加限售股数</w:t>
            </w:r>
          </w:p>
        </w:tc>
        <w:tc>
          <w:tcPr>
            <w:tcW w:w="113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本期解除限售股数</w:t>
            </w:r>
          </w:p>
        </w:tc>
        <w:tc>
          <w:tcPr>
            <w:tcW w:w="127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期末限售股数</w:t>
            </w:r>
          </w:p>
        </w:tc>
        <w:tc>
          <w:tcPr>
            <w:tcW w:w="141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限售原因</w:t>
            </w:r>
          </w:p>
        </w:tc>
        <w:tc>
          <w:tcPr>
            <w:tcW w:w="208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拟解除限售日期</w:t>
            </w:r>
          </w:p>
        </w:tc>
      </w:tr>
      <w:tr>
        <w:tblPrEx>
          <w:tblCellMar>
            <w:top w:w="0" w:type="dxa"/>
            <w:left w:w="28" w:type="dxa"/>
            <w:bottom w:w="0" w:type="dxa"/>
            <w:right w:w="28" w:type="dxa"/>
          </w:tblCellMar>
        </w:tblPrEx>
        <w:tc>
          <w:tcPr>
            <w:tcW w:w="120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邹炳德</w:t>
            </w:r>
          </w:p>
        </w:tc>
        <w:tc>
          <w:tcPr>
            <w:tcW w:w="13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132,093,218</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132,093,218</w:t>
            </w: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高管锁定股</w:t>
            </w:r>
          </w:p>
        </w:tc>
        <w:tc>
          <w:tcPr>
            <w:tcW w:w="20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任职期间每年减持股份的数量不超过其所持股份总数的</w:t>
            </w:r>
            <w:r>
              <w:rPr>
                <w:szCs w:val="24"/>
              </w:rPr>
              <w:t>25%</w:t>
            </w:r>
          </w:p>
        </w:tc>
      </w:tr>
      <w:tr>
        <w:tblPrEx>
          <w:tblCellMar>
            <w:top w:w="0" w:type="dxa"/>
            <w:left w:w="28" w:type="dxa"/>
            <w:bottom w:w="0" w:type="dxa"/>
            <w:right w:w="28" w:type="dxa"/>
          </w:tblCellMar>
        </w:tblPrEx>
        <w:tc>
          <w:tcPr>
            <w:tcW w:w="120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邹继华</w:t>
            </w:r>
          </w:p>
        </w:tc>
        <w:tc>
          <w:tcPr>
            <w:tcW w:w="13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8,931,525</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8,931,525</w:t>
            </w: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高管锁定股</w:t>
            </w:r>
          </w:p>
        </w:tc>
        <w:tc>
          <w:tcPr>
            <w:tcW w:w="20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任职期间每年减持股份的数量不超过其所持股份总数的</w:t>
            </w:r>
            <w:r>
              <w:rPr>
                <w:szCs w:val="24"/>
              </w:rPr>
              <w:t>25%</w:t>
            </w:r>
          </w:p>
        </w:tc>
      </w:tr>
      <w:tr>
        <w:tblPrEx>
          <w:tblCellMar>
            <w:top w:w="0" w:type="dxa"/>
            <w:left w:w="28" w:type="dxa"/>
            <w:bottom w:w="0" w:type="dxa"/>
            <w:right w:w="28" w:type="dxa"/>
          </w:tblCellMar>
        </w:tblPrEx>
        <w:tc>
          <w:tcPr>
            <w:tcW w:w="120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熊慧萍</w:t>
            </w:r>
          </w:p>
        </w:tc>
        <w:tc>
          <w:tcPr>
            <w:tcW w:w="13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62,175</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525,963</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588,138</w:t>
            </w: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高管锁定股、股权激励限售股</w:t>
            </w:r>
          </w:p>
        </w:tc>
        <w:tc>
          <w:tcPr>
            <w:tcW w:w="20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任职期间每年减持股份的数量不超过其所持股份总数的</w:t>
            </w:r>
            <w:r>
              <w:rPr>
                <w:szCs w:val="24"/>
              </w:rPr>
              <w:t>25%</w:t>
            </w:r>
            <w:r>
              <w:rPr>
                <w:rFonts w:hint="eastAsia"/>
                <w:szCs w:val="24"/>
              </w:rPr>
              <w:t>、按照公司股权激励计划安排分四期解锁</w:t>
            </w:r>
          </w:p>
        </w:tc>
      </w:tr>
      <w:tr>
        <w:tblPrEx>
          <w:tblCellMar>
            <w:top w:w="0" w:type="dxa"/>
            <w:left w:w="28" w:type="dxa"/>
            <w:bottom w:w="0" w:type="dxa"/>
            <w:right w:w="28" w:type="dxa"/>
          </w:tblCellMar>
        </w:tblPrEx>
        <w:tc>
          <w:tcPr>
            <w:tcW w:w="120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卓红叶</w:t>
            </w:r>
          </w:p>
        </w:tc>
        <w:tc>
          <w:tcPr>
            <w:tcW w:w="13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129,694</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129,844</w:t>
            </w: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高管锁定股、股权激励限售股</w:t>
            </w:r>
          </w:p>
        </w:tc>
        <w:tc>
          <w:tcPr>
            <w:tcW w:w="20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任职期间每年减持股份的数量不超过其所持股份总数的</w:t>
            </w:r>
            <w:r>
              <w:rPr>
                <w:szCs w:val="24"/>
              </w:rPr>
              <w:t>25%</w:t>
            </w:r>
            <w:r>
              <w:rPr>
                <w:rFonts w:hint="eastAsia"/>
                <w:szCs w:val="24"/>
              </w:rPr>
              <w:t>、按照公司股权激励计划安排分四期解锁</w:t>
            </w:r>
          </w:p>
        </w:tc>
      </w:tr>
      <w:tr>
        <w:tblPrEx>
          <w:tblCellMar>
            <w:top w:w="0" w:type="dxa"/>
            <w:left w:w="28" w:type="dxa"/>
            <w:bottom w:w="0" w:type="dxa"/>
            <w:right w:w="28" w:type="dxa"/>
          </w:tblCellMar>
        </w:tblPrEx>
        <w:tc>
          <w:tcPr>
            <w:tcW w:w="120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吴立山</w:t>
            </w:r>
          </w:p>
        </w:tc>
        <w:tc>
          <w:tcPr>
            <w:tcW w:w="13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2,625</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2,625</w:t>
            </w: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高管锁定股</w:t>
            </w:r>
          </w:p>
        </w:tc>
        <w:tc>
          <w:tcPr>
            <w:tcW w:w="20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任职期间每年减持股份的数量不超过其所持股份总数的</w:t>
            </w:r>
            <w:r>
              <w:rPr>
                <w:szCs w:val="24"/>
              </w:rPr>
              <w:t>25%</w:t>
            </w:r>
          </w:p>
        </w:tc>
      </w:tr>
      <w:tr>
        <w:tblPrEx>
          <w:tblCellMar>
            <w:top w:w="0" w:type="dxa"/>
            <w:left w:w="28" w:type="dxa"/>
            <w:bottom w:w="0" w:type="dxa"/>
            <w:right w:w="28" w:type="dxa"/>
          </w:tblCellMar>
        </w:tblPrEx>
        <w:tc>
          <w:tcPr>
            <w:tcW w:w="120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方亮</w:t>
            </w:r>
          </w:p>
        </w:tc>
        <w:tc>
          <w:tcPr>
            <w:tcW w:w="13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105,000</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1,125</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103,875</w:t>
            </w: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高管锁定股、股权激励限售股</w:t>
            </w:r>
          </w:p>
        </w:tc>
        <w:tc>
          <w:tcPr>
            <w:tcW w:w="20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任职期间每年减持股份的数量不超过其所持股份总数的</w:t>
            </w:r>
            <w:r>
              <w:rPr>
                <w:szCs w:val="24"/>
              </w:rPr>
              <w:t>25%</w:t>
            </w:r>
            <w:r>
              <w:rPr>
                <w:rFonts w:hint="eastAsia"/>
                <w:szCs w:val="24"/>
              </w:rPr>
              <w:t>、按照公司股权激励计划安排分四期解锁</w:t>
            </w:r>
          </w:p>
        </w:tc>
      </w:tr>
      <w:tr>
        <w:tblPrEx>
          <w:tblCellMar>
            <w:top w:w="0" w:type="dxa"/>
            <w:left w:w="28" w:type="dxa"/>
            <w:bottom w:w="0" w:type="dxa"/>
            <w:right w:w="28" w:type="dxa"/>
          </w:tblCellMar>
        </w:tblPrEx>
        <w:tc>
          <w:tcPr>
            <w:tcW w:w="120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其他高管锁定股</w:t>
            </w:r>
          </w:p>
        </w:tc>
        <w:tc>
          <w:tcPr>
            <w:tcW w:w="13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22,125</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32,125</w:t>
            </w: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高管锁定股</w:t>
            </w:r>
          </w:p>
        </w:tc>
        <w:tc>
          <w:tcPr>
            <w:tcW w:w="20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任职期间每年减持股份的数量不超过其所持股份总数的</w:t>
            </w:r>
            <w:r>
              <w:rPr>
                <w:szCs w:val="24"/>
              </w:rPr>
              <w:t>25%</w:t>
            </w:r>
          </w:p>
        </w:tc>
      </w:tr>
      <w:tr>
        <w:tblPrEx>
          <w:tblCellMar>
            <w:top w:w="0" w:type="dxa"/>
            <w:left w:w="28" w:type="dxa"/>
            <w:bottom w:w="0" w:type="dxa"/>
            <w:right w:w="28" w:type="dxa"/>
          </w:tblCellMar>
        </w:tblPrEx>
        <w:tc>
          <w:tcPr>
            <w:tcW w:w="120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其他限售股股东</w:t>
            </w:r>
          </w:p>
        </w:tc>
        <w:tc>
          <w:tcPr>
            <w:tcW w:w="13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4,857,200</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2,644,400</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2,212,800</w:t>
            </w: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股权激励限售股</w:t>
            </w:r>
          </w:p>
        </w:tc>
        <w:tc>
          <w:tcPr>
            <w:tcW w:w="20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按照公司股权激励计划安排分四期解锁</w:t>
            </w:r>
          </w:p>
        </w:tc>
      </w:tr>
      <w:tr>
        <w:tblPrEx>
          <w:tblCellMar>
            <w:top w:w="0" w:type="dxa"/>
            <w:left w:w="28" w:type="dxa"/>
            <w:bottom w:w="0" w:type="dxa"/>
            <w:right w:w="28" w:type="dxa"/>
          </w:tblCellMar>
        </w:tblPrEx>
        <w:tc>
          <w:tcPr>
            <w:tcW w:w="1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3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146,188,812</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550,863</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2,645,525</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144,094,150</w:t>
            </w:r>
          </w:p>
        </w:tc>
        <w:tc>
          <w:tcPr>
            <w:tcW w:w="141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08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pStyle w:val="13"/>
        <w:outlineLvl w:val="1"/>
        <w:rPr>
          <w:bCs w:val="0"/>
        </w:rPr>
      </w:pPr>
      <w:r>
        <w:rPr>
          <w:rFonts w:hint="eastAsia"/>
          <w:bCs w:val="0"/>
        </w:rPr>
        <w:t>二、证券发行与上市情况</w:t>
      </w:r>
    </w:p>
    <w:p>
      <w:pPr>
        <w:pStyle w:val="14"/>
        <w:outlineLvl w:val="2"/>
        <w:rPr>
          <w:bCs w:val="0"/>
          <w:szCs w:val="24"/>
        </w:rPr>
      </w:pPr>
      <w:r>
        <w:rPr>
          <w:bCs w:val="0"/>
          <w:szCs w:val="24"/>
        </w:rPr>
        <w:t>1</w:t>
      </w:r>
      <w:r>
        <w:rPr>
          <w:rFonts w:hint="eastAsia"/>
          <w:bCs w:val="0"/>
          <w:szCs w:val="24"/>
        </w:rPr>
        <w:t>、报告期内证券发行（不含优先股）情况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2"/>
        <w:rPr>
          <w:bCs w:val="0"/>
          <w:szCs w:val="24"/>
        </w:rPr>
      </w:pPr>
      <w:r>
        <w:rPr>
          <w:bCs w:val="0"/>
          <w:szCs w:val="24"/>
        </w:rPr>
        <w:t>2</w:t>
      </w:r>
      <w:r>
        <w:rPr>
          <w:rFonts w:hint="eastAsia"/>
          <w:bCs w:val="0"/>
          <w:szCs w:val="24"/>
        </w:rPr>
        <w:t>、公司股份总数及股东结构的变动、公司资产和负债结构的变动情况说明</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公司于</w:t>
      </w:r>
      <w:r>
        <w:rPr>
          <w:rFonts w:eastAsia="Times New Roman"/>
          <w:kern w:val="0"/>
          <w:szCs w:val="24"/>
          <w:lang w:val="zh-CN"/>
        </w:rPr>
        <w:t>2018</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25</w:t>
      </w:r>
      <w:r>
        <w:rPr>
          <w:rFonts w:hint="eastAsia" w:ascii="宋体" w:hAnsi="宋体" w:cs="宋体"/>
          <w:kern w:val="0"/>
          <w:szCs w:val="24"/>
          <w:lang w:val="zh-CN"/>
        </w:rPr>
        <w:t>日召开的</w:t>
      </w:r>
      <w:r>
        <w:rPr>
          <w:rFonts w:eastAsia="Times New Roman"/>
          <w:kern w:val="0"/>
          <w:szCs w:val="24"/>
          <w:lang w:val="zh-CN"/>
        </w:rPr>
        <w:t>2018</w:t>
      </w:r>
      <w:r>
        <w:rPr>
          <w:rFonts w:hint="eastAsia" w:ascii="宋体" w:hAnsi="宋体" w:cs="宋体"/>
          <w:kern w:val="0"/>
          <w:szCs w:val="24"/>
          <w:lang w:val="zh-CN"/>
        </w:rPr>
        <w:t>年度第四次临时股东大会审议通过了公司《关于回购注销部分激励对象已获授但尚未解锁的限制性股票的议案》，同意公司对首次授予限制性股票部分激励对象已获授但尚未解锁的</w:t>
      </w:r>
      <w:r>
        <w:rPr>
          <w:rFonts w:eastAsia="Times New Roman"/>
          <w:kern w:val="0"/>
          <w:szCs w:val="24"/>
          <w:lang w:val="zh-CN"/>
        </w:rPr>
        <w:t>259,000</w:t>
      </w:r>
      <w:r>
        <w:rPr>
          <w:rFonts w:hint="eastAsia" w:ascii="宋体" w:hAnsi="宋体" w:cs="宋体"/>
          <w:kern w:val="0"/>
          <w:szCs w:val="24"/>
          <w:lang w:val="zh-CN"/>
        </w:rPr>
        <w:t>股限制性股票进行回购注销。变更后，公司总股本</w:t>
      </w:r>
      <w:r>
        <w:rPr>
          <w:rFonts w:eastAsia="Times New Roman"/>
          <w:kern w:val="0"/>
          <w:szCs w:val="24"/>
          <w:lang w:val="zh-CN"/>
        </w:rPr>
        <w:t>346,397,300</w:t>
      </w:r>
      <w:r>
        <w:rPr>
          <w:rFonts w:hint="eastAsia" w:ascii="宋体" w:hAnsi="宋体" w:cs="宋体"/>
          <w:kern w:val="0"/>
          <w:szCs w:val="24"/>
          <w:lang w:val="zh-CN"/>
        </w:rPr>
        <w:t>股，本次回购注销的限制性股票数量共计为</w:t>
      </w:r>
      <w:r>
        <w:rPr>
          <w:rFonts w:eastAsia="Times New Roman"/>
          <w:kern w:val="0"/>
          <w:szCs w:val="24"/>
          <w:lang w:val="zh-CN"/>
        </w:rPr>
        <w:t>259,000</w:t>
      </w:r>
      <w:r>
        <w:rPr>
          <w:rFonts w:hint="eastAsia" w:ascii="宋体" w:hAnsi="宋体" w:cs="宋体"/>
          <w:kern w:val="0"/>
          <w:szCs w:val="24"/>
          <w:lang w:val="zh-CN"/>
        </w:rPr>
        <w:t>股，占回购前公司总股本的</w:t>
      </w:r>
      <w:r>
        <w:rPr>
          <w:rFonts w:eastAsia="Times New Roman"/>
          <w:kern w:val="0"/>
          <w:szCs w:val="24"/>
          <w:lang w:val="zh-CN"/>
        </w:rPr>
        <w:t>0.0748%</w:t>
      </w:r>
      <w:r>
        <w:rPr>
          <w:rFonts w:hint="eastAsia" w:ascii="宋体" w:hAnsi="宋体" w:cs="宋体"/>
          <w:kern w:val="0"/>
          <w:szCs w:val="24"/>
          <w:lang w:val="zh-CN"/>
        </w:rPr>
        <w:t>。本次回购前，公司总股本</w:t>
      </w:r>
      <w:r>
        <w:rPr>
          <w:rFonts w:eastAsia="Times New Roman"/>
          <w:kern w:val="0"/>
          <w:szCs w:val="24"/>
          <w:lang w:val="zh-CN"/>
        </w:rPr>
        <w:t>346,397,300</w:t>
      </w:r>
      <w:r>
        <w:rPr>
          <w:rFonts w:hint="eastAsia" w:ascii="宋体" w:hAnsi="宋体" w:cs="宋体"/>
          <w:kern w:val="0"/>
          <w:szCs w:val="24"/>
          <w:lang w:val="zh-CN"/>
        </w:rPr>
        <w:t>股，本次回购注销的限制性股票数量共计为</w:t>
      </w:r>
      <w:r>
        <w:rPr>
          <w:rFonts w:eastAsia="Times New Roman"/>
          <w:kern w:val="0"/>
          <w:szCs w:val="24"/>
          <w:lang w:val="zh-CN"/>
        </w:rPr>
        <w:t>259,000</w:t>
      </w:r>
      <w:r>
        <w:rPr>
          <w:rFonts w:hint="eastAsia" w:ascii="宋体" w:hAnsi="宋体" w:cs="宋体"/>
          <w:kern w:val="0"/>
          <w:szCs w:val="24"/>
          <w:lang w:val="zh-CN"/>
        </w:rPr>
        <w:t>股，占回购前公司总股本的</w:t>
      </w:r>
      <w:r>
        <w:rPr>
          <w:rFonts w:eastAsia="Times New Roman"/>
          <w:kern w:val="0"/>
          <w:szCs w:val="24"/>
          <w:lang w:val="zh-CN"/>
        </w:rPr>
        <w:t>0.0748%</w:t>
      </w:r>
      <w:r>
        <w:rPr>
          <w:rFonts w:hint="eastAsia" w:ascii="宋体" w:hAnsi="宋体" w:cs="宋体"/>
          <w:kern w:val="0"/>
          <w:szCs w:val="24"/>
          <w:lang w:val="zh-CN"/>
        </w:rPr>
        <w:t>。本次回购注销完成后，公司股份总数将由</w:t>
      </w:r>
      <w:r>
        <w:rPr>
          <w:rFonts w:eastAsia="Times New Roman"/>
          <w:kern w:val="0"/>
          <w:szCs w:val="24"/>
          <w:lang w:val="zh-CN"/>
        </w:rPr>
        <w:t>34,639.73</w:t>
      </w:r>
      <w:r>
        <w:rPr>
          <w:rFonts w:hint="eastAsia" w:ascii="宋体" w:hAnsi="宋体" w:cs="宋体"/>
          <w:kern w:val="0"/>
          <w:szCs w:val="24"/>
          <w:lang w:val="zh-CN"/>
        </w:rPr>
        <w:t>万股变更为</w:t>
      </w:r>
      <w:r>
        <w:rPr>
          <w:rFonts w:eastAsia="Times New Roman"/>
          <w:kern w:val="0"/>
          <w:szCs w:val="24"/>
          <w:lang w:val="zh-CN"/>
        </w:rPr>
        <w:t>34,613.83</w:t>
      </w:r>
      <w:r>
        <w:rPr>
          <w:rFonts w:hint="eastAsia" w:ascii="宋体" w:hAnsi="宋体" w:cs="宋体"/>
          <w:kern w:val="0"/>
          <w:szCs w:val="24"/>
          <w:lang w:val="zh-CN"/>
        </w:rPr>
        <w:t>万股。本次回购注销不影响公司限制性股票激励计划实施。立信会计师事务所（特殊普通合伙）于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4</w:t>
      </w:r>
      <w:r>
        <w:rPr>
          <w:rFonts w:hint="eastAsia" w:ascii="宋体" w:hAnsi="宋体" w:cs="宋体"/>
          <w:kern w:val="0"/>
          <w:szCs w:val="24"/>
          <w:lang w:val="zh-CN"/>
        </w:rPr>
        <w:t>月</w:t>
      </w:r>
      <w:r>
        <w:rPr>
          <w:rFonts w:eastAsia="Times New Roman"/>
          <w:kern w:val="0"/>
          <w:szCs w:val="24"/>
          <w:lang w:val="zh-CN"/>
        </w:rPr>
        <w:t>23</w:t>
      </w:r>
      <w:r>
        <w:rPr>
          <w:rFonts w:hint="eastAsia" w:ascii="宋体" w:hAnsi="宋体" w:cs="宋体"/>
          <w:kern w:val="0"/>
          <w:szCs w:val="24"/>
          <w:lang w:val="zh-CN"/>
        </w:rPr>
        <w:t>日出具了《美康生物科技股份有限公司验资报告》（信会师报字【</w:t>
      </w:r>
      <w:r>
        <w:rPr>
          <w:rFonts w:eastAsia="Times New Roman"/>
          <w:kern w:val="0"/>
          <w:szCs w:val="24"/>
          <w:lang w:val="zh-CN"/>
        </w:rPr>
        <w:t>2019</w:t>
      </w:r>
      <w:r>
        <w:rPr>
          <w:rFonts w:hint="eastAsia" w:ascii="宋体" w:hAnsi="宋体" w:cs="宋体"/>
          <w:kern w:val="0"/>
          <w:szCs w:val="24"/>
          <w:lang w:val="zh-CN"/>
        </w:rPr>
        <w:t>】第</w:t>
      </w:r>
      <w:r>
        <w:rPr>
          <w:rFonts w:eastAsia="Times New Roman"/>
          <w:kern w:val="0"/>
          <w:szCs w:val="24"/>
          <w:lang w:val="zh-CN"/>
        </w:rPr>
        <w:t>ZF10345</w:t>
      </w:r>
      <w:r>
        <w:rPr>
          <w:rFonts w:hint="eastAsia" w:ascii="宋体" w:hAnsi="宋体" w:cs="宋体"/>
          <w:kern w:val="0"/>
          <w:szCs w:val="24"/>
          <w:lang w:val="zh-CN"/>
        </w:rPr>
        <w:t>号）。</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经中国证券登记结算有限责任公司深圳分公司审核确认，公司上述限制性股票注销事宜已于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5</w:t>
      </w:r>
      <w:r>
        <w:rPr>
          <w:rFonts w:hint="eastAsia" w:ascii="宋体" w:hAnsi="宋体" w:cs="宋体"/>
          <w:kern w:val="0"/>
          <w:szCs w:val="24"/>
          <w:lang w:val="zh-CN"/>
        </w:rPr>
        <w:t>月</w:t>
      </w:r>
      <w:r>
        <w:rPr>
          <w:rFonts w:eastAsia="Times New Roman"/>
          <w:kern w:val="0"/>
          <w:szCs w:val="24"/>
          <w:lang w:val="zh-CN"/>
        </w:rPr>
        <w:t>10</w:t>
      </w:r>
      <w:r>
        <w:rPr>
          <w:rFonts w:hint="eastAsia" w:ascii="宋体" w:hAnsi="宋体" w:cs="宋体"/>
          <w:kern w:val="0"/>
          <w:szCs w:val="24"/>
          <w:lang w:val="zh-CN"/>
        </w:rPr>
        <w:t>日完成。</w:t>
      </w:r>
    </w:p>
    <w:p>
      <w:pPr>
        <w:autoSpaceDE w:val="0"/>
        <w:autoSpaceDN w:val="0"/>
        <w:adjustRightInd w:val="0"/>
        <w:spacing w:before="0" w:after="0"/>
        <w:ind w:firstLine="420"/>
        <w:jc w:val="left"/>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8</w:t>
      </w:r>
      <w:r>
        <w:rPr>
          <w:rFonts w:hint="eastAsia" w:ascii="宋体" w:hAnsi="宋体" w:cs="宋体"/>
          <w:kern w:val="0"/>
          <w:szCs w:val="24"/>
          <w:lang w:val="zh-CN"/>
        </w:rPr>
        <w:t>月</w:t>
      </w:r>
      <w:r>
        <w:rPr>
          <w:rFonts w:eastAsia="Times New Roman"/>
          <w:kern w:val="0"/>
          <w:szCs w:val="24"/>
          <w:lang w:val="zh-CN"/>
        </w:rPr>
        <w:t>2</w:t>
      </w:r>
      <w:r>
        <w:rPr>
          <w:rFonts w:hint="eastAsia" w:ascii="宋体" w:hAnsi="宋体" w:cs="宋体"/>
          <w:kern w:val="0"/>
          <w:szCs w:val="24"/>
          <w:lang w:val="zh-CN"/>
        </w:rPr>
        <w:t>日，公司</w:t>
      </w:r>
      <w:r>
        <w:rPr>
          <w:rFonts w:eastAsia="Times New Roman"/>
          <w:kern w:val="0"/>
          <w:szCs w:val="24"/>
          <w:lang w:val="zh-CN"/>
        </w:rPr>
        <w:t>2019</w:t>
      </w:r>
      <w:r>
        <w:rPr>
          <w:rFonts w:hint="eastAsia" w:ascii="宋体" w:hAnsi="宋体" w:cs="宋体"/>
          <w:kern w:val="0"/>
          <w:szCs w:val="24"/>
          <w:lang w:val="zh-CN"/>
        </w:rPr>
        <w:t>年第三次临时股东大会审议通过了《关于回购注销部分激励对象已获授但尚未解锁的限制性股票的议案》，同意公司回购注销部分激励对象已获授但尚未解锁的限制性股票共</w:t>
      </w:r>
      <w:r>
        <w:rPr>
          <w:rFonts w:eastAsia="Times New Roman"/>
          <w:kern w:val="0"/>
          <w:szCs w:val="24"/>
          <w:lang w:val="zh-CN"/>
        </w:rPr>
        <w:t>835,680</w:t>
      </w:r>
      <w:r>
        <w:rPr>
          <w:rFonts w:hint="eastAsia" w:ascii="宋体" w:hAnsi="宋体" w:cs="宋体"/>
          <w:kern w:val="0"/>
          <w:szCs w:val="24"/>
          <w:lang w:val="zh-CN"/>
        </w:rPr>
        <w:t>股。其中，首次授予部分因</w:t>
      </w:r>
      <w:r>
        <w:rPr>
          <w:rFonts w:eastAsia="Times New Roman"/>
          <w:kern w:val="0"/>
          <w:szCs w:val="24"/>
          <w:lang w:val="zh-CN"/>
        </w:rPr>
        <w:t>25</w:t>
      </w:r>
      <w:r>
        <w:rPr>
          <w:rFonts w:hint="eastAsia" w:ascii="宋体" w:hAnsi="宋体" w:cs="宋体"/>
          <w:kern w:val="0"/>
          <w:szCs w:val="24"/>
          <w:lang w:val="zh-CN"/>
        </w:rPr>
        <w:t>名激励对象离职应予回购注销股份</w:t>
      </w:r>
      <w:r>
        <w:rPr>
          <w:rFonts w:eastAsia="Times New Roman"/>
          <w:kern w:val="0"/>
          <w:szCs w:val="24"/>
          <w:lang w:val="zh-CN"/>
        </w:rPr>
        <w:t>720,300</w:t>
      </w:r>
      <w:r>
        <w:rPr>
          <w:rFonts w:hint="eastAsia" w:ascii="宋体" w:hAnsi="宋体" w:cs="宋体"/>
          <w:kern w:val="0"/>
          <w:szCs w:val="24"/>
          <w:lang w:val="zh-CN"/>
        </w:rPr>
        <w:t>股，</w:t>
      </w:r>
      <w:r>
        <w:rPr>
          <w:rFonts w:eastAsia="Times New Roman"/>
          <w:kern w:val="0"/>
          <w:szCs w:val="24"/>
          <w:lang w:val="zh-CN"/>
        </w:rPr>
        <w:t>3</w:t>
      </w:r>
      <w:r>
        <w:rPr>
          <w:rFonts w:hint="eastAsia" w:ascii="宋体" w:hAnsi="宋体" w:cs="宋体"/>
          <w:kern w:val="0"/>
          <w:szCs w:val="24"/>
          <w:lang w:val="zh-CN"/>
        </w:rPr>
        <w:t>名激励对象因</w:t>
      </w:r>
      <w:r>
        <w:rPr>
          <w:rFonts w:eastAsia="Times New Roman"/>
          <w:kern w:val="0"/>
          <w:szCs w:val="24"/>
          <w:lang w:val="zh-CN"/>
        </w:rPr>
        <w:t>2018</w:t>
      </w:r>
      <w:r>
        <w:rPr>
          <w:rFonts w:hint="eastAsia" w:ascii="宋体" w:hAnsi="宋体" w:cs="宋体"/>
          <w:kern w:val="0"/>
          <w:szCs w:val="24"/>
          <w:lang w:val="zh-CN"/>
        </w:rPr>
        <w:t>年度个人考核等级为</w:t>
      </w:r>
      <w:r>
        <w:rPr>
          <w:rFonts w:eastAsia="Times New Roman"/>
          <w:kern w:val="0"/>
          <w:szCs w:val="24"/>
          <w:lang w:val="zh-CN"/>
        </w:rPr>
        <w:t>B</w:t>
      </w:r>
      <w:r>
        <w:rPr>
          <w:rFonts w:hint="eastAsia" w:ascii="宋体" w:hAnsi="宋体" w:cs="宋体"/>
          <w:kern w:val="0"/>
          <w:szCs w:val="24"/>
          <w:lang w:val="zh-CN"/>
        </w:rPr>
        <w:t>（合格）或</w:t>
      </w:r>
      <w:r>
        <w:rPr>
          <w:rFonts w:eastAsia="Times New Roman"/>
          <w:kern w:val="0"/>
          <w:szCs w:val="24"/>
          <w:lang w:val="zh-CN"/>
        </w:rPr>
        <w:t>C</w:t>
      </w:r>
      <w:r>
        <w:rPr>
          <w:rFonts w:hint="eastAsia" w:ascii="宋体" w:hAnsi="宋体" w:cs="宋体"/>
          <w:kern w:val="0"/>
          <w:szCs w:val="24"/>
          <w:lang w:val="zh-CN"/>
        </w:rPr>
        <w:t>（不合格）应予回购注销股份</w:t>
      </w:r>
      <w:r>
        <w:rPr>
          <w:rFonts w:eastAsia="Times New Roman"/>
          <w:kern w:val="0"/>
          <w:szCs w:val="24"/>
          <w:lang w:val="zh-CN"/>
        </w:rPr>
        <w:t>25,380</w:t>
      </w:r>
      <w:r>
        <w:rPr>
          <w:rFonts w:hint="eastAsia" w:ascii="宋体" w:hAnsi="宋体" w:cs="宋体"/>
          <w:kern w:val="0"/>
          <w:szCs w:val="24"/>
          <w:lang w:val="zh-CN"/>
        </w:rPr>
        <w:t>股，回购价格为</w:t>
      </w:r>
      <w:r>
        <w:rPr>
          <w:rFonts w:eastAsia="Times New Roman"/>
          <w:kern w:val="0"/>
          <w:szCs w:val="24"/>
          <w:lang w:val="zh-CN"/>
        </w:rPr>
        <w:t>13.04</w:t>
      </w:r>
      <w:r>
        <w:rPr>
          <w:rFonts w:hint="eastAsia" w:ascii="宋体" w:hAnsi="宋体" w:cs="宋体"/>
          <w:kern w:val="0"/>
          <w:szCs w:val="24"/>
          <w:lang w:val="zh-CN"/>
        </w:rPr>
        <w:t>元</w:t>
      </w:r>
      <w:r>
        <w:rPr>
          <w:rFonts w:eastAsia="Times New Roman"/>
          <w:kern w:val="0"/>
          <w:szCs w:val="24"/>
          <w:lang w:val="zh-CN"/>
        </w:rPr>
        <w:t>/</w:t>
      </w:r>
      <w:r>
        <w:rPr>
          <w:rFonts w:hint="eastAsia" w:ascii="宋体" w:hAnsi="宋体" w:cs="宋体"/>
          <w:kern w:val="0"/>
          <w:szCs w:val="24"/>
          <w:lang w:val="zh-CN"/>
        </w:rPr>
        <w:t>股；预留部分因</w:t>
      </w:r>
      <w:r>
        <w:rPr>
          <w:rFonts w:eastAsia="Times New Roman"/>
          <w:kern w:val="0"/>
          <w:szCs w:val="24"/>
          <w:lang w:val="zh-CN"/>
        </w:rPr>
        <w:t>1</w:t>
      </w:r>
      <w:r>
        <w:rPr>
          <w:rFonts w:hint="eastAsia" w:ascii="宋体" w:hAnsi="宋体" w:cs="宋体"/>
          <w:kern w:val="0"/>
          <w:szCs w:val="24"/>
          <w:lang w:val="zh-CN"/>
        </w:rPr>
        <w:t>名激励对象离职应予回购注销股份</w:t>
      </w:r>
      <w:r>
        <w:rPr>
          <w:rFonts w:eastAsia="Times New Roman"/>
          <w:kern w:val="0"/>
          <w:szCs w:val="24"/>
          <w:lang w:val="zh-CN"/>
        </w:rPr>
        <w:t>90,000</w:t>
      </w:r>
      <w:r>
        <w:rPr>
          <w:rFonts w:hint="eastAsia" w:ascii="宋体" w:hAnsi="宋体" w:cs="宋体"/>
          <w:kern w:val="0"/>
          <w:szCs w:val="24"/>
          <w:lang w:val="zh-CN"/>
        </w:rPr>
        <w:t>股，回购价格为</w:t>
      </w:r>
      <w:r>
        <w:rPr>
          <w:rFonts w:eastAsia="Times New Roman"/>
          <w:kern w:val="0"/>
          <w:szCs w:val="24"/>
          <w:lang w:val="zh-CN"/>
        </w:rPr>
        <w:t>13.43</w:t>
      </w:r>
      <w:r>
        <w:rPr>
          <w:rFonts w:hint="eastAsia" w:ascii="宋体" w:hAnsi="宋体" w:cs="宋体"/>
          <w:kern w:val="0"/>
          <w:szCs w:val="24"/>
          <w:lang w:val="zh-CN"/>
        </w:rPr>
        <w:t>元</w:t>
      </w:r>
      <w:r>
        <w:rPr>
          <w:rFonts w:eastAsia="Times New Roman"/>
          <w:kern w:val="0"/>
          <w:szCs w:val="24"/>
          <w:lang w:val="zh-CN"/>
        </w:rPr>
        <w:t>/</w:t>
      </w:r>
      <w:r>
        <w:rPr>
          <w:rFonts w:hint="eastAsia" w:ascii="宋体" w:hAnsi="宋体" w:cs="宋体"/>
          <w:kern w:val="0"/>
          <w:szCs w:val="24"/>
          <w:lang w:val="zh-CN"/>
        </w:rPr>
        <w:t>股。本次回购注销股份数量共计为</w:t>
      </w:r>
      <w:r>
        <w:rPr>
          <w:rFonts w:eastAsia="Times New Roman"/>
          <w:kern w:val="0"/>
          <w:szCs w:val="24"/>
          <w:lang w:val="zh-CN"/>
        </w:rPr>
        <w:t>835,680</w:t>
      </w:r>
      <w:r>
        <w:rPr>
          <w:rFonts w:hint="eastAsia" w:ascii="宋体" w:hAnsi="宋体" w:cs="宋体"/>
          <w:kern w:val="0"/>
          <w:szCs w:val="24"/>
          <w:lang w:val="zh-CN"/>
        </w:rPr>
        <w:t>股，占目前公司股本的</w:t>
      </w:r>
      <w:r>
        <w:rPr>
          <w:rFonts w:eastAsia="Times New Roman"/>
          <w:kern w:val="0"/>
          <w:szCs w:val="24"/>
          <w:lang w:val="zh-CN"/>
        </w:rPr>
        <w:t>0.2414%</w:t>
      </w:r>
      <w:r>
        <w:rPr>
          <w:rFonts w:hint="eastAsia" w:ascii="宋体" w:hAnsi="宋体" w:cs="宋体"/>
          <w:kern w:val="0"/>
          <w:szCs w:val="24"/>
          <w:lang w:val="zh-CN"/>
        </w:rPr>
        <w:t>。本次回购前，公司总股本</w:t>
      </w:r>
      <w:r>
        <w:rPr>
          <w:rFonts w:eastAsia="Times New Roman"/>
          <w:kern w:val="0"/>
          <w:szCs w:val="24"/>
          <w:lang w:val="zh-CN"/>
        </w:rPr>
        <w:t>346,138,300</w:t>
      </w:r>
      <w:r>
        <w:rPr>
          <w:rFonts w:hint="eastAsia" w:ascii="宋体" w:hAnsi="宋体" w:cs="宋体"/>
          <w:kern w:val="0"/>
          <w:szCs w:val="24"/>
          <w:lang w:val="zh-CN"/>
        </w:rPr>
        <w:t>股，本次回购注销的限制性股票数量共计为</w:t>
      </w:r>
      <w:r>
        <w:rPr>
          <w:rFonts w:eastAsia="Times New Roman"/>
          <w:kern w:val="0"/>
          <w:szCs w:val="24"/>
          <w:lang w:val="zh-CN"/>
        </w:rPr>
        <w:t>835,680</w:t>
      </w:r>
      <w:r>
        <w:rPr>
          <w:rFonts w:hint="eastAsia" w:ascii="宋体" w:hAnsi="宋体" w:cs="宋体"/>
          <w:kern w:val="0"/>
          <w:szCs w:val="24"/>
          <w:lang w:val="zh-CN"/>
        </w:rPr>
        <w:t>股，占回购前公司总股本的</w:t>
      </w:r>
      <w:r>
        <w:rPr>
          <w:rFonts w:eastAsia="Times New Roman"/>
          <w:kern w:val="0"/>
          <w:szCs w:val="24"/>
          <w:lang w:val="zh-CN"/>
        </w:rPr>
        <w:t>0.2414%</w:t>
      </w:r>
      <w:r>
        <w:rPr>
          <w:rFonts w:hint="eastAsia" w:ascii="宋体" w:hAnsi="宋体" w:cs="宋体"/>
          <w:kern w:val="0"/>
          <w:szCs w:val="24"/>
          <w:lang w:val="zh-CN"/>
        </w:rPr>
        <w:t>。本次回购注销完成后，公司股份总数将由</w:t>
      </w:r>
      <w:r>
        <w:rPr>
          <w:rFonts w:eastAsia="Times New Roman"/>
          <w:kern w:val="0"/>
          <w:szCs w:val="24"/>
          <w:lang w:val="zh-CN"/>
        </w:rPr>
        <w:t>34,613.83</w:t>
      </w:r>
      <w:r>
        <w:rPr>
          <w:rFonts w:hint="eastAsia" w:ascii="宋体" w:hAnsi="宋体" w:cs="宋体"/>
          <w:kern w:val="0"/>
          <w:szCs w:val="24"/>
          <w:lang w:val="zh-CN"/>
        </w:rPr>
        <w:t>万股变更为</w:t>
      </w:r>
      <w:r>
        <w:rPr>
          <w:rFonts w:eastAsia="Times New Roman"/>
          <w:kern w:val="0"/>
          <w:szCs w:val="24"/>
          <w:lang w:val="zh-CN"/>
        </w:rPr>
        <w:t>34,530.262</w:t>
      </w:r>
      <w:r>
        <w:rPr>
          <w:rFonts w:hint="eastAsia" w:ascii="宋体" w:hAnsi="宋体" w:cs="宋体"/>
          <w:kern w:val="0"/>
          <w:szCs w:val="24"/>
          <w:lang w:val="zh-CN"/>
        </w:rPr>
        <w:t>万股。本次回购注销不影响公司限制性股票激励计划实施。立信会计师事务所（特殊普通合伙）于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11</w:t>
      </w:r>
      <w:r>
        <w:rPr>
          <w:rFonts w:hint="eastAsia" w:ascii="宋体" w:hAnsi="宋体" w:cs="宋体"/>
          <w:kern w:val="0"/>
          <w:szCs w:val="24"/>
          <w:lang w:val="zh-CN"/>
        </w:rPr>
        <w:t>月</w:t>
      </w:r>
      <w:r>
        <w:rPr>
          <w:rFonts w:eastAsia="Times New Roman"/>
          <w:kern w:val="0"/>
          <w:szCs w:val="24"/>
          <w:lang w:val="zh-CN"/>
        </w:rPr>
        <w:t>28</w:t>
      </w:r>
      <w:r>
        <w:rPr>
          <w:rFonts w:hint="eastAsia" w:ascii="宋体" w:hAnsi="宋体" w:cs="宋体"/>
          <w:kern w:val="0"/>
          <w:szCs w:val="24"/>
          <w:lang w:val="zh-CN"/>
        </w:rPr>
        <w:t>日出具了《美康生物科技股份有限公司验资报告》（信会师报字【</w:t>
      </w:r>
      <w:r>
        <w:rPr>
          <w:rFonts w:eastAsia="Times New Roman"/>
          <w:kern w:val="0"/>
          <w:szCs w:val="24"/>
          <w:lang w:val="zh-CN"/>
        </w:rPr>
        <w:t>2019</w:t>
      </w:r>
      <w:r>
        <w:rPr>
          <w:rFonts w:hint="eastAsia" w:ascii="宋体" w:hAnsi="宋体" w:cs="宋体"/>
          <w:kern w:val="0"/>
          <w:szCs w:val="24"/>
          <w:lang w:val="zh-CN"/>
        </w:rPr>
        <w:t>】第</w:t>
      </w:r>
      <w:r>
        <w:rPr>
          <w:rFonts w:eastAsia="Times New Roman"/>
          <w:kern w:val="0"/>
          <w:szCs w:val="24"/>
          <w:lang w:val="zh-CN"/>
        </w:rPr>
        <w:t>ZF10800</w:t>
      </w:r>
      <w:r>
        <w:rPr>
          <w:rFonts w:hint="eastAsia" w:ascii="宋体" w:hAnsi="宋体" w:cs="宋体"/>
          <w:kern w:val="0"/>
          <w:szCs w:val="24"/>
          <w:lang w:val="zh-CN"/>
        </w:rPr>
        <w:t>号）。</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经中国证券登记结算有限责任公司深圳分公司审核确认，公司上述限制性股票注销事宜已于</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23</w:t>
      </w:r>
      <w:r>
        <w:rPr>
          <w:rFonts w:hint="eastAsia" w:ascii="宋体" w:hAnsi="宋体" w:cs="宋体"/>
          <w:kern w:val="0"/>
          <w:szCs w:val="24"/>
          <w:lang w:val="zh-CN"/>
        </w:rPr>
        <w:t>日完成。</w:t>
      </w:r>
    </w:p>
    <w:p>
      <w:pPr>
        <w:pStyle w:val="14"/>
        <w:outlineLvl w:val="2"/>
        <w:rPr>
          <w:bCs w:val="0"/>
          <w:szCs w:val="24"/>
        </w:rPr>
      </w:pPr>
      <w:r>
        <w:rPr>
          <w:bCs w:val="0"/>
          <w:szCs w:val="24"/>
        </w:rPr>
        <w:t>3</w:t>
      </w:r>
      <w:r>
        <w:rPr>
          <w:rFonts w:hint="eastAsia"/>
          <w:bCs w:val="0"/>
          <w:szCs w:val="24"/>
        </w:rPr>
        <w:t>、现存的内部职工股情况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3"/>
        <w:outlineLvl w:val="1"/>
        <w:rPr>
          <w:bCs w:val="0"/>
        </w:rPr>
      </w:pPr>
      <w:r>
        <w:rPr>
          <w:rFonts w:hint="eastAsia"/>
          <w:bCs w:val="0"/>
        </w:rPr>
        <w:t>三、股东和实际控制人情况</w:t>
      </w:r>
    </w:p>
    <w:p>
      <w:pPr>
        <w:pStyle w:val="14"/>
        <w:outlineLvl w:val="2"/>
        <w:rPr>
          <w:bCs w:val="0"/>
          <w:szCs w:val="24"/>
        </w:rPr>
      </w:pPr>
      <w:r>
        <w:rPr>
          <w:bCs w:val="0"/>
          <w:szCs w:val="24"/>
        </w:rPr>
        <w:t>1</w:t>
      </w:r>
      <w:r>
        <w:rPr>
          <w:rFonts w:hint="eastAsia"/>
          <w:bCs w:val="0"/>
          <w:szCs w:val="24"/>
        </w:rPr>
        <w:t>、公司股东数量及持股情况</w:t>
      </w:r>
    </w:p>
    <w:p>
      <w:pPr>
        <w:jc w:val="right"/>
        <w:rPr>
          <w:szCs w:val="24"/>
        </w:rPr>
      </w:pPr>
      <w:r>
        <w:rPr>
          <w:rFonts w:hint="eastAsia"/>
          <w:szCs w:val="24"/>
        </w:rPr>
        <w:t>单位：股</w:t>
      </w:r>
    </w:p>
    <w:tbl>
      <w:tblPr>
        <w:tblStyle w:val="9"/>
        <w:tblW w:w="0" w:type="auto"/>
        <w:tblInd w:w="28" w:type="dxa"/>
        <w:tblLayout w:type="fixed"/>
        <w:tblCellMar>
          <w:top w:w="0" w:type="dxa"/>
          <w:left w:w="28" w:type="dxa"/>
          <w:bottom w:w="0" w:type="dxa"/>
          <w:right w:w="28" w:type="dxa"/>
        </w:tblCellMar>
      </w:tblPr>
      <w:tblGrid>
        <w:gridCol w:w="1201"/>
        <w:gridCol w:w="1196"/>
        <w:gridCol w:w="930"/>
        <w:gridCol w:w="1063"/>
        <w:gridCol w:w="1063"/>
        <w:gridCol w:w="1063"/>
        <w:gridCol w:w="822"/>
        <w:gridCol w:w="1172"/>
        <w:gridCol w:w="1059"/>
      </w:tblGrid>
      <w:tr>
        <w:tblPrEx>
          <w:tblCellMar>
            <w:top w:w="0" w:type="dxa"/>
            <w:left w:w="28" w:type="dxa"/>
            <w:bottom w:w="0" w:type="dxa"/>
            <w:right w:w="28" w:type="dxa"/>
          </w:tblCellMar>
        </w:tblPrEx>
        <w:tc>
          <w:tcPr>
            <w:tcW w:w="12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报告期末普通股股东总数</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18,817</w:t>
            </w:r>
          </w:p>
        </w:tc>
        <w:tc>
          <w:tcPr>
            <w:tcW w:w="93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年度报告披露日前上一月末普通股股东总数</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18,284</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报告期末表决权恢复的优先股股东总数（如有）（参见注</w:t>
            </w:r>
            <w:r>
              <w:rPr>
                <w:szCs w:val="24"/>
              </w:rPr>
              <w:t>9</w:t>
            </w:r>
            <w:r>
              <w:rPr>
                <w:rFonts w:hint="eastAsia"/>
                <w:szCs w:val="24"/>
              </w:rPr>
              <w:t>）</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1994"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年度报告披露日前上一月末表决权恢复的优先股股东总数（如有）（参见注</w:t>
            </w:r>
            <w:r>
              <w:rPr>
                <w:szCs w:val="24"/>
              </w:rPr>
              <w:t>9</w:t>
            </w:r>
            <w:r>
              <w:rPr>
                <w:rFonts w:hint="eastAsia"/>
                <w:szCs w:val="24"/>
              </w:rPr>
              <w:t>）</w:t>
            </w: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r>
      <w:tr>
        <w:tblPrEx>
          <w:tblCellMar>
            <w:top w:w="0" w:type="dxa"/>
            <w:left w:w="28" w:type="dxa"/>
            <w:bottom w:w="0" w:type="dxa"/>
            <w:right w:w="28" w:type="dxa"/>
          </w:tblCellMar>
        </w:tblPrEx>
        <w:tc>
          <w:tcPr>
            <w:tcW w:w="9569" w:type="dxa"/>
            <w:gridSpan w:val="9"/>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持股</w:t>
            </w:r>
            <w:r>
              <w:rPr>
                <w:szCs w:val="24"/>
              </w:rPr>
              <w:t>5%</w:t>
            </w:r>
            <w:r>
              <w:rPr>
                <w:rFonts w:hint="eastAsia"/>
                <w:szCs w:val="24"/>
              </w:rPr>
              <w:t>以上的股东或前</w:t>
            </w:r>
            <w:r>
              <w:rPr>
                <w:szCs w:val="24"/>
              </w:rPr>
              <w:t>10</w:t>
            </w:r>
            <w:r>
              <w:rPr>
                <w:rFonts w:hint="eastAsia"/>
                <w:szCs w:val="24"/>
              </w:rPr>
              <w:t>名股东持股情况</w:t>
            </w:r>
          </w:p>
        </w:tc>
      </w:tr>
      <w:tr>
        <w:tblPrEx>
          <w:tblCellMar>
            <w:top w:w="0" w:type="dxa"/>
            <w:left w:w="28" w:type="dxa"/>
            <w:bottom w:w="0" w:type="dxa"/>
            <w:right w:w="28" w:type="dxa"/>
          </w:tblCellMar>
        </w:tblPrEx>
        <w:tc>
          <w:tcPr>
            <w:tcW w:w="1201"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股东名称</w:t>
            </w:r>
          </w:p>
        </w:tc>
        <w:tc>
          <w:tcPr>
            <w:tcW w:w="119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股东性质</w:t>
            </w:r>
          </w:p>
        </w:tc>
        <w:tc>
          <w:tcPr>
            <w:tcW w:w="930"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持股比例</w:t>
            </w:r>
          </w:p>
        </w:tc>
        <w:tc>
          <w:tcPr>
            <w:tcW w:w="106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报告期末持股数量</w:t>
            </w:r>
          </w:p>
        </w:tc>
        <w:tc>
          <w:tcPr>
            <w:tcW w:w="106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报告期内增减变动情况</w:t>
            </w:r>
          </w:p>
        </w:tc>
        <w:tc>
          <w:tcPr>
            <w:tcW w:w="106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持有有限售条件的股份数量</w:t>
            </w:r>
          </w:p>
        </w:tc>
        <w:tc>
          <w:tcPr>
            <w:tcW w:w="82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持有无限售条件的股份数量</w:t>
            </w:r>
          </w:p>
        </w:tc>
        <w:tc>
          <w:tcPr>
            <w:tcW w:w="2231"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质押或冻结情况</w:t>
            </w:r>
          </w:p>
        </w:tc>
      </w:tr>
      <w:tr>
        <w:tblPrEx>
          <w:tblCellMar>
            <w:top w:w="0" w:type="dxa"/>
            <w:left w:w="28" w:type="dxa"/>
            <w:bottom w:w="0" w:type="dxa"/>
            <w:right w:w="28" w:type="dxa"/>
          </w:tblCellMar>
        </w:tblPrEx>
        <w:tc>
          <w:tcPr>
            <w:tcW w:w="1201"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19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06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06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06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17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股份状态</w:t>
            </w:r>
          </w:p>
        </w:tc>
        <w:tc>
          <w:tcPr>
            <w:tcW w:w="105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数量</w:t>
            </w:r>
          </w:p>
        </w:tc>
      </w:tr>
      <w:tr>
        <w:tblPrEx>
          <w:tblCellMar>
            <w:top w:w="0" w:type="dxa"/>
            <w:left w:w="28" w:type="dxa"/>
            <w:bottom w:w="0" w:type="dxa"/>
            <w:right w:w="28" w:type="dxa"/>
          </w:tblCellMar>
        </w:tblPrEx>
        <w:tc>
          <w:tcPr>
            <w:tcW w:w="1201"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邹炳德</w:t>
            </w:r>
          </w:p>
        </w:tc>
        <w:tc>
          <w:tcPr>
            <w:tcW w:w="1196"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境内自然人</w:t>
            </w:r>
          </w:p>
        </w:tc>
        <w:tc>
          <w:tcPr>
            <w:tcW w:w="93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49.00%</w:t>
            </w: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169,201,526</w:t>
            </w:r>
          </w:p>
        </w:tc>
        <w:tc>
          <w:tcPr>
            <w:tcW w:w="1063"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szCs w:val="24"/>
              </w:rPr>
              <w:t>-6,922,765</w:t>
            </w: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132,093,218</w:t>
            </w:r>
          </w:p>
        </w:tc>
        <w:tc>
          <w:tcPr>
            <w:tcW w:w="82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37,108,308</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质押</w:t>
            </w: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81,710,000</w:t>
            </w:r>
          </w:p>
        </w:tc>
      </w:tr>
      <w:tr>
        <w:tblPrEx>
          <w:tblCellMar>
            <w:top w:w="0" w:type="dxa"/>
            <w:left w:w="28" w:type="dxa"/>
            <w:bottom w:w="0" w:type="dxa"/>
            <w:right w:w="28" w:type="dxa"/>
          </w:tblCellMar>
        </w:tblPrEx>
        <w:tc>
          <w:tcPr>
            <w:tcW w:w="1201"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宁波美康盛德投资咨询有限公司</w:t>
            </w:r>
          </w:p>
        </w:tc>
        <w:tc>
          <w:tcPr>
            <w:tcW w:w="1196"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境内非国有法人</w:t>
            </w:r>
          </w:p>
        </w:tc>
        <w:tc>
          <w:tcPr>
            <w:tcW w:w="93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11.58%</w:t>
            </w: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39,988,209</w:t>
            </w:r>
          </w:p>
        </w:tc>
        <w:tc>
          <w:tcPr>
            <w:tcW w:w="1063" w:type="dxa"/>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0</w:t>
            </w:r>
          </w:p>
        </w:tc>
        <w:tc>
          <w:tcPr>
            <w:tcW w:w="82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39,988,209</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01"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邹继华</w:t>
            </w:r>
          </w:p>
        </w:tc>
        <w:tc>
          <w:tcPr>
            <w:tcW w:w="1196"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境内自然人</w:t>
            </w:r>
          </w:p>
        </w:tc>
        <w:tc>
          <w:tcPr>
            <w:tcW w:w="93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3.45%</w:t>
            </w: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11,908,700</w:t>
            </w:r>
          </w:p>
        </w:tc>
        <w:tc>
          <w:tcPr>
            <w:tcW w:w="1063" w:type="dxa"/>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8,931,525</w:t>
            </w:r>
          </w:p>
        </w:tc>
        <w:tc>
          <w:tcPr>
            <w:tcW w:w="82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2,977,175</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01"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浙江优创创业投资有限公司</w:t>
            </w:r>
          </w:p>
        </w:tc>
        <w:tc>
          <w:tcPr>
            <w:tcW w:w="1196"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境内非国有法人</w:t>
            </w:r>
          </w:p>
        </w:tc>
        <w:tc>
          <w:tcPr>
            <w:tcW w:w="93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2.82%</w:t>
            </w: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9,750,200</w:t>
            </w:r>
          </w:p>
        </w:tc>
        <w:tc>
          <w:tcPr>
            <w:tcW w:w="1063" w:type="dxa"/>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0</w:t>
            </w:r>
          </w:p>
        </w:tc>
        <w:tc>
          <w:tcPr>
            <w:tcW w:w="82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9,750,200</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质押</w:t>
            </w: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6,250,000</w:t>
            </w:r>
          </w:p>
        </w:tc>
      </w:tr>
      <w:tr>
        <w:tblPrEx>
          <w:tblCellMar>
            <w:top w:w="0" w:type="dxa"/>
            <w:left w:w="28" w:type="dxa"/>
            <w:bottom w:w="0" w:type="dxa"/>
            <w:right w:w="28" w:type="dxa"/>
          </w:tblCellMar>
        </w:tblPrEx>
        <w:tc>
          <w:tcPr>
            <w:tcW w:w="1201"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深圳德威资本投资管理有限公司－德威资本云峰</w:t>
            </w:r>
            <w:r>
              <w:rPr>
                <w:szCs w:val="24"/>
              </w:rPr>
              <w:t>1</w:t>
            </w:r>
            <w:r>
              <w:rPr>
                <w:rFonts w:hint="eastAsia"/>
                <w:szCs w:val="24"/>
              </w:rPr>
              <w:t>号私募证券投资基金</w:t>
            </w:r>
          </w:p>
        </w:tc>
        <w:tc>
          <w:tcPr>
            <w:tcW w:w="1196"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境内非国有法人</w:t>
            </w:r>
          </w:p>
        </w:tc>
        <w:tc>
          <w:tcPr>
            <w:tcW w:w="93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2.00%</w:t>
            </w: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6,922,765</w:t>
            </w:r>
          </w:p>
        </w:tc>
        <w:tc>
          <w:tcPr>
            <w:tcW w:w="1063" w:type="dxa"/>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0</w:t>
            </w:r>
          </w:p>
        </w:tc>
        <w:tc>
          <w:tcPr>
            <w:tcW w:w="82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6,922,765</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01"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葛红金</w:t>
            </w:r>
          </w:p>
        </w:tc>
        <w:tc>
          <w:tcPr>
            <w:tcW w:w="1196"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境内自然人</w:t>
            </w:r>
          </w:p>
        </w:tc>
        <w:tc>
          <w:tcPr>
            <w:tcW w:w="93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1.13%</w:t>
            </w: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3,906,300</w:t>
            </w:r>
          </w:p>
        </w:tc>
        <w:tc>
          <w:tcPr>
            <w:tcW w:w="1063" w:type="dxa"/>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0</w:t>
            </w:r>
          </w:p>
        </w:tc>
        <w:tc>
          <w:tcPr>
            <w:tcW w:w="82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3,906,300</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01"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梁耀强</w:t>
            </w:r>
          </w:p>
        </w:tc>
        <w:tc>
          <w:tcPr>
            <w:tcW w:w="1196"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境内自然人</w:t>
            </w:r>
          </w:p>
        </w:tc>
        <w:tc>
          <w:tcPr>
            <w:tcW w:w="93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0.83%</w:t>
            </w: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2,872,300</w:t>
            </w:r>
          </w:p>
        </w:tc>
        <w:tc>
          <w:tcPr>
            <w:tcW w:w="1063" w:type="dxa"/>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0</w:t>
            </w:r>
          </w:p>
        </w:tc>
        <w:tc>
          <w:tcPr>
            <w:tcW w:w="82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2,872,300</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01"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宋扬</w:t>
            </w:r>
          </w:p>
        </w:tc>
        <w:tc>
          <w:tcPr>
            <w:tcW w:w="1196"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境内自然人</w:t>
            </w:r>
          </w:p>
        </w:tc>
        <w:tc>
          <w:tcPr>
            <w:tcW w:w="93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0.31%</w:t>
            </w: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1,081,295</w:t>
            </w:r>
          </w:p>
        </w:tc>
        <w:tc>
          <w:tcPr>
            <w:tcW w:w="1063" w:type="dxa"/>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0</w:t>
            </w:r>
          </w:p>
        </w:tc>
        <w:tc>
          <w:tcPr>
            <w:tcW w:w="82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1,081,295</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01"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缪建</w:t>
            </w:r>
          </w:p>
        </w:tc>
        <w:tc>
          <w:tcPr>
            <w:tcW w:w="1196"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境内自然人</w:t>
            </w:r>
          </w:p>
        </w:tc>
        <w:tc>
          <w:tcPr>
            <w:tcW w:w="93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0.29%</w:t>
            </w: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998,000</w:t>
            </w:r>
          </w:p>
        </w:tc>
        <w:tc>
          <w:tcPr>
            <w:tcW w:w="1063" w:type="dxa"/>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0</w:t>
            </w:r>
          </w:p>
        </w:tc>
        <w:tc>
          <w:tcPr>
            <w:tcW w:w="82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998,000</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01"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卢圣润</w:t>
            </w:r>
          </w:p>
        </w:tc>
        <w:tc>
          <w:tcPr>
            <w:tcW w:w="1196" w:type="dxa"/>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境内自然人</w:t>
            </w:r>
          </w:p>
        </w:tc>
        <w:tc>
          <w:tcPr>
            <w:tcW w:w="93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0.24%</w:t>
            </w: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823,700</w:t>
            </w:r>
          </w:p>
        </w:tc>
        <w:tc>
          <w:tcPr>
            <w:tcW w:w="1063" w:type="dxa"/>
            <w:tcBorders>
              <w:top w:val="single" w:color="auto" w:sz="4" w:space="0"/>
              <w:left w:val="single" w:color="auto" w:sz="4" w:space="0"/>
              <w:bottom w:val="single" w:color="auto" w:sz="4" w:space="0"/>
              <w:right w:val="single" w:color="auto" w:sz="4" w:space="0"/>
            </w:tcBorders>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0</w:t>
            </w:r>
          </w:p>
        </w:tc>
        <w:tc>
          <w:tcPr>
            <w:tcW w:w="82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823,700</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397"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上述股东关联关系或一致行动的说明</w:t>
            </w:r>
          </w:p>
        </w:tc>
        <w:tc>
          <w:tcPr>
            <w:tcW w:w="7172"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炳德先生是宁波美康盛德投资咨询有限公司的控股股东和实际控制人；邹继华先生是邹炳德先生的胞弟；公司未知其他股东之间是否存在关联关系或属于《上市公司股东持股变动信息披露管理办法》中规定的一致行动人。</w:t>
            </w:r>
          </w:p>
        </w:tc>
      </w:tr>
      <w:tr>
        <w:tblPrEx>
          <w:tblCellMar>
            <w:top w:w="0" w:type="dxa"/>
            <w:left w:w="28" w:type="dxa"/>
            <w:bottom w:w="0" w:type="dxa"/>
            <w:right w:w="28" w:type="dxa"/>
          </w:tblCellMar>
        </w:tblPrEx>
        <w:tc>
          <w:tcPr>
            <w:tcW w:w="9569" w:type="dxa"/>
            <w:gridSpan w:val="9"/>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前</w:t>
            </w:r>
            <w:r>
              <w:rPr>
                <w:szCs w:val="24"/>
              </w:rPr>
              <w:t>10</w:t>
            </w:r>
            <w:r>
              <w:rPr>
                <w:rFonts w:hint="eastAsia"/>
                <w:szCs w:val="24"/>
              </w:rPr>
              <w:t>名无限售条件股东持股情况</w:t>
            </w:r>
          </w:p>
        </w:tc>
      </w:tr>
      <w:tr>
        <w:tblPrEx>
          <w:tblCellMar>
            <w:top w:w="0" w:type="dxa"/>
            <w:left w:w="28" w:type="dxa"/>
            <w:bottom w:w="0" w:type="dxa"/>
            <w:right w:w="28" w:type="dxa"/>
          </w:tblCellMar>
        </w:tblPrEx>
        <w:tc>
          <w:tcPr>
            <w:tcW w:w="2397" w:type="dxa"/>
            <w:gridSpan w:val="2"/>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股东名称</w:t>
            </w:r>
          </w:p>
        </w:tc>
        <w:tc>
          <w:tcPr>
            <w:tcW w:w="4941" w:type="dxa"/>
            <w:gridSpan w:val="5"/>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报告期末持有无限售条件股份数量</w:t>
            </w:r>
          </w:p>
        </w:tc>
        <w:tc>
          <w:tcPr>
            <w:tcW w:w="2231"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股份种类</w:t>
            </w:r>
          </w:p>
        </w:tc>
      </w:tr>
      <w:tr>
        <w:tblPrEx>
          <w:tblCellMar>
            <w:top w:w="0" w:type="dxa"/>
            <w:left w:w="28" w:type="dxa"/>
            <w:bottom w:w="0" w:type="dxa"/>
            <w:right w:w="28" w:type="dxa"/>
          </w:tblCellMar>
        </w:tblPrEx>
        <w:tc>
          <w:tcPr>
            <w:tcW w:w="2397"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4941" w:type="dxa"/>
            <w:gridSpan w:val="5"/>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17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股份种类</w:t>
            </w:r>
          </w:p>
        </w:tc>
        <w:tc>
          <w:tcPr>
            <w:tcW w:w="105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数量</w:t>
            </w:r>
          </w:p>
        </w:tc>
      </w:tr>
      <w:tr>
        <w:tblPrEx>
          <w:tblCellMar>
            <w:top w:w="0" w:type="dxa"/>
            <w:left w:w="28" w:type="dxa"/>
            <w:bottom w:w="0" w:type="dxa"/>
            <w:right w:w="28" w:type="dxa"/>
          </w:tblCellMar>
        </w:tblPrEx>
        <w:tc>
          <w:tcPr>
            <w:tcW w:w="2397" w:type="dxa"/>
            <w:gridSpan w:val="2"/>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宁波美康盛德投资咨询有限公司</w:t>
            </w:r>
          </w:p>
        </w:tc>
        <w:tc>
          <w:tcPr>
            <w:tcW w:w="4941" w:type="dxa"/>
            <w:gridSpan w:val="5"/>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39,988,209</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人民币普通股</w:t>
            </w: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39,988,209</w:t>
            </w:r>
          </w:p>
        </w:tc>
      </w:tr>
      <w:tr>
        <w:tblPrEx>
          <w:tblCellMar>
            <w:top w:w="0" w:type="dxa"/>
            <w:left w:w="28" w:type="dxa"/>
            <w:bottom w:w="0" w:type="dxa"/>
            <w:right w:w="28" w:type="dxa"/>
          </w:tblCellMar>
        </w:tblPrEx>
        <w:tc>
          <w:tcPr>
            <w:tcW w:w="2397" w:type="dxa"/>
            <w:gridSpan w:val="2"/>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邹炳德</w:t>
            </w:r>
          </w:p>
        </w:tc>
        <w:tc>
          <w:tcPr>
            <w:tcW w:w="4941" w:type="dxa"/>
            <w:gridSpan w:val="5"/>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37,108,308</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人民币普通股</w:t>
            </w: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37,108,308</w:t>
            </w:r>
          </w:p>
        </w:tc>
      </w:tr>
      <w:tr>
        <w:tblPrEx>
          <w:tblCellMar>
            <w:top w:w="0" w:type="dxa"/>
            <w:left w:w="28" w:type="dxa"/>
            <w:bottom w:w="0" w:type="dxa"/>
            <w:right w:w="28" w:type="dxa"/>
          </w:tblCellMar>
        </w:tblPrEx>
        <w:tc>
          <w:tcPr>
            <w:tcW w:w="2397" w:type="dxa"/>
            <w:gridSpan w:val="2"/>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浙江优创创业投资有限公司</w:t>
            </w:r>
          </w:p>
        </w:tc>
        <w:tc>
          <w:tcPr>
            <w:tcW w:w="4941" w:type="dxa"/>
            <w:gridSpan w:val="5"/>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9,750,200</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人民币普通股</w:t>
            </w: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9,750,200</w:t>
            </w:r>
          </w:p>
        </w:tc>
      </w:tr>
      <w:tr>
        <w:tblPrEx>
          <w:tblCellMar>
            <w:top w:w="0" w:type="dxa"/>
            <w:left w:w="28" w:type="dxa"/>
            <w:bottom w:w="0" w:type="dxa"/>
            <w:right w:w="28" w:type="dxa"/>
          </w:tblCellMar>
        </w:tblPrEx>
        <w:tc>
          <w:tcPr>
            <w:tcW w:w="2397" w:type="dxa"/>
            <w:gridSpan w:val="2"/>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深圳德威资本投资管理有限公司－德威资本云峰</w:t>
            </w:r>
            <w:r>
              <w:rPr>
                <w:szCs w:val="24"/>
              </w:rPr>
              <w:t>1</w:t>
            </w:r>
            <w:r>
              <w:rPr>
                <w:rFonts w:hint="eastAsia"/>
                <w:szCs w:val="24"/>
              </w:rPr>
              <w:t>号私募证券投资基金</w:t>
            </w:r>
          </w:p>
        </w:tc>
        <w:tc>
          <w:tcPr>
            <w:tcW w:w="4941" w:type="dxa"/>
            <w:gridSpan w:val="5"/>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6,922,765</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人民币普通股</w:t>
            </w: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6,922,765</w:t>
            </w:r>
          </w:p>
        </w:tc>
      </w:tr>
      <w:tr>
        <w:tblPrEx>
          <w:tblCellMar>
            <w:top w:w="0" w:type="dxa"/>
            <w:left w:w="28" w:type="dxa"/>
            <w:bottom w:w="0" w:type="dxa"/>
            <w:right w:w="28" w:type="dxa"/>
          </w:tblCellMar>
        </w:tblPrEx>
        <w:tc>
          <w:tcPr>
            <w:tcW w:w="2397" w:type="dxa"/>
            <w:gridSpan w:val="2"/>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葛红金</w:t>
            </w:r>
          </w:p>
        </w:tc>
        <w:tc>
          <w:tcPr>
            <w:tcW w:w="4941" w:type="dxa"/>
            <w:gridSpan w:val="5"/>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3,906,300</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人民币普通股</w:t>
            </w: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3,906,300</w:t>
            </w:r>
          </w:p>
        </w:tc>
      </w:tr>
      <w:tr>
        <w:tblPrEx>
          <w:tblCellMar>
            <w:top w:w="0" w:type="dxa"/>
            <w:left w:w="28" w:type="dxa"/>
            <w:bottom w:w="0" w:type="dxa"/>
            <w:right w:w="28" w:type="dxa"/>
          </w:tblCellMar>
        </w:tblPrEx>
        <w:tc>
          <w:tcPr>
            <w:tcW w:w="2397" w:type="dxa"/>
            <w:gridSpan w:val="2"/>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邹继华</w:t>
            </w:r>
          </w:p>
        </w:tc>
        <w:tc>
          <w:tcPr>
            <w:tcW w:w="4941" w:type="dxa"/>
            <w:gridSpan w:val="5"/>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2,977,175</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人民币普通股</w:t>
            </w: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2,977,175</w:t>
            </w:r>
          </w:p>
        </w:tc>
      </w:tr>
      <w:tr>
        <w:tblPrEx>
          <w:tblCellMar>
            <w:top w:w="0" w:type="dxa"/>
            <w:left w:w="28" w:type="dxa"/>
            <w:bottom w:w="0" w:type="dxa"/>
            <w:right w:w="28" w:type="dxa"/>
          </w:tblCellMar>
        </w:tblPrEx>
        <w:tc>
          <w:tcPr>
            <w:tcW w:w="2397" w:type="dxa"/>
            <w:gridSpan w:val="2"/>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梁耀强</w:t>
            </w:r>
          </w:p>
        </w:tc>
        <w:tc>
          <w:tcPr>
            <w:tcW w:w="4941" w:type="dxa"/>
            <w:gridSpan w:val="5"/>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2,872,300</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人民币普通股</w:t>
            </w: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2,872,300</w:t>
            </w:r>
          </w:p>
        </w:tc>
      </w:tr>
      <w:tr>
        <w:tblPrEx>
          <w:tblCellMar>
            <w:top w:w="0" w:type="dxa"/>
            <w:left w:w="28" w:type="dxa"/>
            <w:bottom w:w="0" w:type="dxa"/>
            <w:right w:w="28" w:type="dxa"/>
          </w:tblCellMar>
        </w:tblPrEx>
        <w:tc>
          <w:tcPr>
            <w:tcW w:w="2397" w:type="dxa"/>
            <w:gridSpan w:val="2"/>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宋扬</w:t>
            </w:r>
          </w:p>
        </w:tc>
        <w:tc>
          <w:tcPr>
            <w:tcW w:w="4941" w:type="dxa"/>
            <w:gridSpan w:val="5"/>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1,081,295</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人民币普通股</w:t>
            </w: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1,081,295</w:t>
            </w:r>
          </w:p>
        </w:tc>
      </w:tr>
      <w:tr>
        <w:tblPrEx>
          <w:tblCellMar>
            <w:top w:w="0" w:type="dxa"/>
            <w:left w:w="28" w:type="dxa"/>
            <w:bottom w:w="0" w:type="dxa"/>
            <w:right w:w="28" w:type="dxa"/>
          </w:tblCellMar>
        </w:tblPrEx>
        <w:tc>
          <w:tcPr>
            <w:tcW w:w="2397" w:type="dxa"/>
            <w:gridSpan w:val="2"/>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缪建</w:t>
            </w:r>
          </w:p>
        </w:tc>
        <w:tc>
          <w:tcPr>
            <w:tcW w:w="4941" w:type="dxa"/>
            <w:gridSpan w:val="5"/>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998,000</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人民币普通股</w:t>
            </w: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998,000</w:t>
            </w:r>
          </w:p>
        </w:tc>
      </w:tr>
      <w:tr>
        <w:tblPrEx>
          <w:tblCellMar>
            <w:top w:w="0" w:type="dxa"/>
            <w:left w:w="28" w:type="dxa"/>
            <w:bottom w:w="0" w:type="dxa"/>
            <w:right w:w="28" w:type="dxa"/>
          </w:tblCellMar>
        </w:tblPrEx>
        <w:tc>
          <w:tcPr>
            <w:tcW w:w="2397" w:type="dxa"/>
            <w:gridSpan w:val="2"/>
            <w:tcBorders>
              <w:top w:val="single" w:color="auto" w:sz="4" w:space="0"/>
              <w:left w:val="single" w:color="auto" w:sz="4" w:space="0"/>
              <w:bottom w:val="single" w:color="auto" w:sz="4" w:space="0"/>
              <w:right w:val="single" w:color="auto" w:sz="4" w:space="0"/>
            </w:tcBorders>
            <w:vAlign w:val="center"/>
          </w:tcPr>
          <w:p>
            <w:pPr>
              <w:jc w:val="left"/>
              <w:rPr>
                <w:szCs w:val="24"/>
              </w:rPr>
            </w:pPr>
            <w:r>
              <w:rPr>
                <w:rFonts w:hint="eastAsia"/>
                <w:szCs w:val="24"/>
              </w:rPr>
              <w:t>卢圣润</w:t>
            </w:r>
          </w:p>
        </w:tc>
        <w:tc>
          <w:tcPr>
            <w:tcW w:w="4941" w:type="dxa"/>
            <w:gridSpan w:val="5"/>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823,700</w:t>
            </w:r>
          </w:p>
        </w:tc>
        <w:tc>
          <w:tcPr>
            <w:tcW w:w="117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人民币普通股</w:t>
            </w:r>
          </w:p>
        </w:tc>
        <w:tc>
          <w:tcPr>
            <w:tcW w:w="1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823,700</w:t>
            </w:r>
          </w:p>
        </w:tc>
      </w:tr>
      <w:tr>
        <w:tblPrEx>
          <w:tblCellMar>
            <w:top w:w="0" w:type="dxa"/>
            <w:left w:w="28" w:type="dxa"/>
            <w:bottom w:w="0" w:type="dxa"/>
            <w:right w:w="28" w:type="dxa"/>
          </w:tblCellMar>
        </w:tblPrEx>
        <w:tc>
          <w:tcPr>
            <w:tcW w:w="2397"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前</w:t>
            </w:r>
            <w:r>
              <w:rPr>
                <w:szCs w:val="24"/>
              </w:rPr>
              <w:t>10</w:t>
            </w:r>
            <w:r>
              <w:rPr>
                <w:rFonts w:hint="eastAsia"/>
                <w:szCs w:val="24"/>
              </w:rPr>
              <w:t>名无限售流通股股东之间，以及前</w:t>
            </w:r>
            <w:r>
              <w:rPr>
                <w:szCs w:val="24"/>
              </w:rPr>
              <w:t>10</w:t>
            </w:r>
            <w:r>
              <w:rPr>
                <w:rFonts w:hint="eastAsia"/>
                <w:szCs w:val="24"/>
              </w:rPr>
              <w:t>名无限售流通股股东和前</w:t>
            </w:r>
            <w:r>
              <w:rPr>
                <w:szCs w:val="24"/>
              </w:rPr>
              <w:t>10</w:t>
            </w:r>
            <w:r>
              <w:rPr>
                <w:rFonts w:hint="eastAsia"/>
                <w:szCs w:val="24"/>
              </w:rPr>
              <w:t>名股东之间关联关系或一致行动的说明</w:t>
            </w:r>
          </w:p>
        </w:tc>
        <w:tc>
          <w:tcPr>
            <w:tcW w:w="7172"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炳德先生是宁波美康盛德投资咨询有限公司的控股股东和实际控制人；邹继华先生是邹炳德先生的胞弟；公司未知其他股东之间是否存在关联关系或属于《上市公司股东持股变动信息披露管理办法》中规定的一致行动人。</w:t>
            </w:r>
          </w:p>
        </w:tc>
      </w:tr>
      <w:tr>
        <w:tblPrEx>
          <w:tblCellMar>
            <w:top w:w="0" w:type="dxa"/>
            <w:left w:w="28" w:type="dxa"/>
            <w:bottom w:w="0" w:type="dxa"/>
            <w:right w:w="28" w:type="dxa"/>
          </w:tblCellMar>
        </w:tblPrEx>
        <w:tc>
          <w:tcPr>
            <w:tcW w:w="2397"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参与融资融券业务股东情况说明（如有）</w:t>
            </w:r>
          </w:p>
        </w:tc>
        <w:tc>
          <w:tcPr>
            <w:tcW w:w="7172"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公司股东深圳德威资本投资管理有限公司－德威资本云峰</w:t>
            </w:r>
            <w:r>
              <w:rPr>
                <w:szCs w:val="24"/>
              </w:rPr>
              <w:t>1</w:t>
            </w:r>
            <w:r>
              <w:rPr>
                <w:rFonts w:hint="eastAsia"/>
                <w:szCs w:val="24"/>
              </w:rPr>
              <w:t>号私募证券投资基金通过证券公司客户信用交易担保证券账户持有</w:t>
            </w:r>
            <w:r>
              <w:rPr>
                <w:szCs w:val="24"/>
              </w:rPr>
              <w:t>6,922,765</w:t>
            </w:r>
            <w:r>
              <w:rPr>
                <w:rFonts w:hint="eastAsia"/>
                <w:szCs w:val="24"/>
              </w:rPr>
              <w:t>股，实际合计持有</w:t>
            </w:r>
            <w:r>
              <w:rPr>
                <w:szCs w:val="24"/>
              </w:rPr>
              <w:t>6,922,765</w:t>
            </w:r>
            <w:r>
              <w:rPr>
                <w:rFonts w:hint="eastAsia"/>
                <w:szCs w:val="24"/>
              </w:rPr>
              <w:t>股；公司股东葛红金通过证券公司客户信用交易担保证券账户持有</w:t>
            </w:r>
            <w:r>
              <w:rPr>
                <w:szCs w:val="24"/>
              </w:rPr>
              <w:t xml:space="preserve"> 3,906,300</w:t>
            </w:r>
            <w:r>
              <w:rPr>
                <w:rFonts w:hint="eastAsia"/>
                <w:szCs w:val="24"/>
              </w:rPr>
              <w:t>股，实际合计持有</w:t>
            </w:r>
            <w:r>
              <w:rPr>
                <w:szCs w:val="24"/>
              </w:rPr>
              <w:t xml:space="preserve"> 3,906,300 </w:t>
            </w:r>
            <w:r>
              <w:rPr>
                <w:rFonts w:hint="eastAsia"/>
                <w:szCs w:val="24"/>
              </w:rPr>
              <w:t>股。</w:t>
            </w:r>
          </w:p>
        </w:tc>
      </w:tr>
    </w:tbl>
    <w:p>
      <w:pPr>
        <w:jc w:val="left"/>
        <w:rPr>
          <w:szCs w:val="24"/>
        </w:rPr>
      </w:pPr>
      <w:r>
        <w:rPr>
          <w:rFonts w:hint="eastAsia"/>
          <w:szCs w:val="24"/>
        </w:rPr>
        <w:t>公司前</w:t>
      </w:r>
      <w:r>
        <w:rPr>
          <w:szCs w:val="24"/>
        </w:rPr>
        <w:t>10</w:t>
      </w:r>
      <w:r>
        <w:rPr>
          <w:rFonts w:hint="eastAsia"/>
          <w:szCs w:val="24"/>
        </w:rPr>
        <w:t>名普通股股东、前</w:t>
      </w:r>
      <w:r>
        <w:rPr>
          <w:szCs w:val="24"/>
        </w:rPr>
        <w:t>10</w:t>
      </w:r>
      <w:r>
        <w:rPr>
          <w:rFonts w:hint="eastAsia"/>
          <w:szCs w:val="24"/>
        </w:rPr>
        <w:t>名无限售条件普通股股东在报告期内是否进行约定购回交易</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jc w:val="left"/>
        <w:rPr>
          <w:szCs w:val="24"/>
        </w:rPr>
      </w:pPr>
      <w:r>
        <w:rPr>
          <w:rFonts w:hint="eastAsia"/>
          <w:szCs w:val="24"/>
        </w:rPr>
        <w:t>公司前</w:t>
      </w:r>
      <w:r>
        <w:rPr>
          <w:szCs w:val="24"/>
        </w:rPr>
        <w:t>10</w:t>
      </w:r>
      <w:r>
        <w:rPr>
          <w:rFonts w:hint="eastAsia"/>
          <w:szCs w:val="24"/>
        </w:rPr>
        <w:t>名普通股股东、前</w:t>
      </w:r>
      <w:r>
        <w:rPr>
          <w:szCs w:val="24"/>
        </w:rPr>
        <w:t>10</w:t>
      </w:r>
      <w:r>
        <w:rPr>
          <w:rFonts w:hint="eastAsia"/>
          <w:szCs w:val="24"/>
        </w:rPr>
        <w:t>名无限售条件普通股股东在报告期内未进行约定购回交易。</w:t>
      </w:r>
    </w:p>
    <w:p>
      <w:pPr>
        <w:pStyle w:val="14"/>
        <w:outlineLvl w:val="2"/>
        <w:rPr>
          <w:bCs w:val="0"/>
          <w:szCs w:val="24"/>
        </w:rPr>
      </w:pPr>
      <w:r>
        <w:rPr>
          <w:bCs w:val="0"/>
          <w:szCs w:val="24"/>
        </w:rPr>
        <w:t>2</w:t>
      </w:r>
      <w:r>
        <w:rPr>
          <w:rFonts w:hint="eastAsia"/>
          <w:bCs w:val="0"/>
          <w:szCs w:val="24"/>
        </w:rPr>
        <w:t>、公司控股股东情况</w:t>
      </w:r>
    </w:p>
    <w:p>
      <w:pPr>
        <w:jc w:val="left"/>
        <w:rPr>
          <w:szCs w:val="24"/>
        </w:rPr>
      </w:pPr>
      <w:r>
        <w:rPr>
          <w:rFonts w:hint="eastAsia"/>
          <w:szCs w:val="24"/>
        </w:rPr>
        <w:t>控股股东性质：自然人控股</w:t>
      </w:r>
    </w:p>
    <w:p>
      <w:pPr>
        <w:jc w:val="left"/>
        <w:rPr>
          <w:szCs w:val="24"/>
        </w:rPr>
      </w:pPr>
      <w:r>
        <w:rPr>
          <w:rFonts w:hint="eastAsia"/>
          <w:szCs w:val="24"/>
        </w:rPr>
        <w:t>控股股东类型：自然人</w:t>
      </w:r>
    </w:p>
    <w:tbl>
      <w:tblPr>
        <w:tblStyle w:val="9"/>
        <w:tblW w:w="0" w:type="auto"/>
        <w:tblInd w:w="28" w:type="dxa"/>
        <w:tblLayout w:type="fixed"/>
        <w:tblCellMar>
          <w:top w:w="0" w:type="dxa"/>
          <w:left w:w="28" w:type="dxa"/>
          <w:bottom w:w="0" w:type="dxa"/>
          <w:right w:w="28" w:type="dxa"/>
        </w:tblCellMar>
      </w:tblPr>
      <w:tblGrid>
        <w:gridCol w:w="3417"/>
        <w:gridCol w:w="2030"/>
        <w:gridCol w:w="4120"/>
      </w:tblGrid>
      <w:tr>
        <w:tblPrEx>
          <w:tblCellMar>
            <w:top w:w="0" w:type="dxa"/>
            <w:left w:w="28" w:type="dxa"/>
            <w:bottom w:w="0" w:type="dxa"/>
            <w:right w:w="28" w:type="dxa"/>
          </w:tblCellMar>
        </w:tblPrEx>
        <w:tc>
          <w:tcPr>
            <w:tcW w:w="341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控股股东姓名</w:t>
            </w:r>
          </w:p>
        </w:tc>
        <w:tc>
          <w:tcPr>
            <w:tcW w:w="203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国籍</w:t>
            </w:r>
          </w:p>
        </w:tc>
        <w:tc>
          <w:tcPr>
            <w:tcW w:w="412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是否取得其他国家或地区居留权</w:t>
            </w:r>
          </w:p>
        </w:tc>
      </w:tr>
      <w:tr>
        <w:tblPrEx>
          <w:tblCellMar>
            <w:top w:w="0" w:type="dxa"/>
            <w:left w:w="28" w:type="dxa"/>
            <w:bottom w:w="0" w:type="dxa"/>
            <w:right w:w="28" w:type="dxa"/>
          </w:tblCellMar>
        </w:tblPrEx>
        <w:tc>
          <w:tcPr>
            <w:tcW w:w="3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邹炳德</w:t>
            </w:r>
          </w:p>
        </w:tc>
        <w:tc>
          <w:tcPr>
            <w:tcW w:w="203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中国</w:t>
            </w:r>
          </w:p>
        </w:tc>
        <w:tc>
          <w:tcPr>
            <w:tcW w:w="412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341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主要职业及职务</w:t>
            </w:r>
          </w:p>
        </w:tc>
        <w:tc>
          <w:tcPr>
            <w:tcW w:w="61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美康生物科技股份有限公司董事长</w:t>
            </w:r>
          </w:p>
        </w:tc>
      </w:tr>
      <w:tr>
        <w:tc>
          <w:tcPr>
            <w:tcW w:w="341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报告期内控股和参股的其他境内外上市公司的股权情况</w:t>
            </w:r>
          </w:p>
        </w:tc>
        <w:tc>
          <w:tcPr>
            <w:tcW w:w="61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无</w:t>
            </w:r>
          </w:p>
        </w:tc>
      </w:tr>
    </w:tbl>
    <w:p>
      <w:pPr>
        <w:jc w:val="left"/>
        <w:rPr>
          <w:szCs w:val="24"/>
        </w:rPr>
      </w:pPr>
      <w:r>
        <w:rPr>
          <w:rFonts w:hint="eastAsia"/>
          <w:szCs w:val="24"/>
        </w:rPr>
        <w:t>控股股东报告期内变更</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公司报告期控股股东未发生变更。</w:t>
      </w:r>
    </w:p>
    <w:p>
      <w:pPr>
        <w:pStyle w:val="14"/>
        <w:outlineLvl w:val="2"/>
        <w:rPr>
          <w:bCs w:val="0"/>
          <w:szCs w:val="24"/>
        </w:rPr>
      </w:pPr>
      <w:r>
        <w:rPr>
          <w:bCs w:val="0"/>
          <w:szCs w:val="24"/>
        </w:rPr>
        <w:t>3</w:t>
      </w:r>
      <w:r>
        <w:rPr>
          <w:rFonts w:hint="eastAsia"/>
          <w:bCs w:val="0"/>
          <w:szCs w:val="24"/>
        </w:rPr>
        <w:t>、公司实际控制人及其一致行动人</w:t>
      </w:r>
    </w:p>
    <w:p>
      <w:pPr>
        <w:jc w:val="left"/>
        <w:rPr>
          <w:szCs w:val="24"/>
        </w:rPr>
      </w:pPr>
      <w:r>
        <w:rPr>
          <w:rFonts w:hint="eastAsia"/>
          <w:szCs w:val="24"/>
        </w:rPr>
        <w:t>实际控制人性质：境内自然人</w:t>
      </w:r>
    </w:p>
    <w:p>
      <w:pPr>
        <w:jc w:val="left"/>
        <w:rPr>
          <w:szCs w:val="24"/>
        </w:rPr>
      </w:pPr>
      <w:r>
        <w:rPr>
          <w:rFonts w:hint="eastAsia"/>
          <w:szCs w:val="24"/>
        </w:rPr>
        <w:t>实际控制人类型：自然人</w:t>
      </w:r>
    </w:p>
    <w:tbl>
      <w:tblPr>
        <w:tblStyle w:val="9"/>
        <w:tblW w:w="0" w:type="auto"/>
        <w:tblInd w:w="28" w:type="dxa"/>
        <w:tblLayout w:type="fixed"/>
        <w:tblCellMar>
          <w:top w:w="0" w:type="dxa"/>
          <w:left w:w="28" w:type="dxa"/>
          <w:bottom w:w="0" w:type="dxa"/>
          <w:right w:w="28" w:type="dxa"/>
        </w:tblCellMar>
      </w:tblPr>
      <w:tblGrid>
        <w:gridCol w:w="2392"/>
        <w:gridCol w:w="2392"/>
        <w:gridCol w:w="2392"/>
        <w:gridCol w:w="2392"/>
      </w:tblGrid>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实际控制人姓名</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与实际控制人关系</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国籍</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是否取得其他国家或地区居留权</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邹炳德</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本人</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中国</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主要职业及职务</w:t>
            </w:r>
          </w:p>
        </w:tc>
        <w:tc>
          <w:tcPr>
            <w:tcW w:w="71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美康生物科技股份有限公司董事长</w:t>
            </w:r>
          </w:p>
        </w:tc>
      </w:tr>
      <w:tr>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过去</w:t>
            </w:r>
            <w:r>
              <w:rPr>
                <w:szCs w:val="24"/>
              </w:rPr>
              <w:t>10</w:t>
            </w:r>
            <w:r>
              <w:rPr>
                <w:rFonts w:hint="eastAsia"/>
                <w:szCs w:val="24"/>
              </w:rPr>
              <w:t>年曾控股的境内外上市公司情况</w:t>
            </w:r>
          </w:p>
        </w:tc>
        <w:tc>
          <w:tcPr>
            <w:tcW w:w="71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无</w:t>
            </w:r>
          </w:p>
        </w:tc>
      </w:tr>
    </w:tbl>
    <w:p>
      <w:pPr>
        <w:jc w:val="left"/>
        <w:rPr>
          <w:szCs w:val="24"/>
        </w:rPr>
      </w:pPr>
      <w:r>
        <w:rPr>
          <w:rFonts w:hint="eastAsia"/>
          <w:szCs w:val="24"/>
        </w:rPr>
        <w:t>实际控制人报告期内变更</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公司报告期实际控制人未发生变更。</w:t>
      </w:r>
    </w:p>
    <w:p>
      <w:pPr>
        <w:jc w:val="left"/>
        <w:rPr>
          <w:szCs w:val="24"/>
        </w:rPr>
      </w:pPr>
      <w:r>
        <w:rPr>
          <w:rFonts w:hint="eastAsia"/>
          <w:szCs w:val="24"/>
        </w:rPr>
        <w:t>公司与实际控制人之间的产权及控制关系的方框图</w:t>
      </w:r>
    </w:p>
    <w:p>
      <w:pPr>
        <w:autoSpaceDE w:val="0"/>
        <w:autoSpaceDN w:val="0"/>
        <w:adjustRightInd w:val="0"/>
        <w:spacing w:before="200" w:after="200"/>
        <w:jc w:val="center"/>
        <w:rPr>
          <w:rFonts w:eastAsiaTheme="minorEastAsia"/>
          <w:kern w:val="0"/>
          <w:sz w:val="24"/>
          <w:szCs w:val="24"/>
        </w:rPr>
      </w:pPr>
      <w:r>
        <w:rPr>
          <w:rFonts w:eastAsiaTheme="minorEastAsia"/>
          <w:kern w:val="0"/>
          <w:sz w:val="24"/>
          <w:szCs w:val="24"/>
        </w:rPr>
        <w:drawing>
          <wp:inline distT="0" distB="0" distL="0" distR="0">
            <wp:extent cx="6096000" cy="4305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096000" cy="4305300"/>
                    </a:xfrm>
                    <a:prstGeom prst="rect">
                      <a:avLst/>
                    </a:prstGeom>
                    <a:noFill/>
                    <a:ln>
                      <a:noFill/>
                    </a:ln>
                  </pic:spPr>
                </pic:pic>
              </a:graphicData>
            </a:graphic>
          </wp:inline>
        </w:drawing>
      </w:r>
    </w:p>
    <w:p>
      <w:pPr>
        <w:autoSpaceDE w:val="0"/>
        <w:autoSpaceDN w:val="0"/>
        <w:adjustRightInd w:val="0"/>
        <w:spacing w:before="200" w:after="200"/>
        <w:jc w:val="left"/>
        <w:rPr>
          <w:rFonts w:eastAsiaTheme="minorEastAsia"/>
          <w:kern w:val="0"/>
        </w:rPr>
      </w:pPr>
      <w:r>
        <w:rPr>
          <w:rFonts w:hint="eastAsia" w:eastAsiaTheme="minorEastAsia"/>
          <w:kern w:val="0"/>
        </w:rPr>
        <w:t>实际控制人通过信托或其他资产管理方式控制公司</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2"/>
        <w:rPr>
          <w:bCs w:val="0"/>
          <w:szCs w:val="24"/>
        </w:rPr>
      </w:pPr>
      <w:r>
        <w:rPr>
          <w:bCs w:val="0"/>
          <w:szCs w:val="24"/>
        </w:rPr>
        <w:t>4</w:t>
      </w:r>
      <w:r>
        <w:rPr>
          <w:rFonts w:hint="eastAsia"/>
          <w:bCs w:val="0"/>
          <w:szCs w:val="24"/>
        </w:rPr>
        <w:t>、其他持股在</w:t>
      </w:r>
      <w:r>
        <w:rPr>
          <w:bCs w:val="0"/>
          <w:szCs w:val="24"/>
        </w:rPr>
        <w:t>10%</w:t>
      </w:r>
      <w:r>
        <w:rPr>
          <w:rFonts w:hint="eastAsia"/>
          <w:bCs w:val="0"/>
          <w:szCs w:val="24"/>
        </w:rPr>
        <w:t>以上的法人股东</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tbl>
      <w:tblPr>
        <w:tblStyle w:val="9"/>
        <w:tblW w:w="0" w:type="auto"/>
        <w:tblInd w:w="28" w:type="dxa"/>
        <w:tblLayout w:type="fixed"/>
        <w:tblCellMar>
          <w:top w:w="0" w:type="dxa"/>
          <w:left w:w="28" w:type="dxa"/>
          <w:bottom w:w="0" w:type="dxa"/>
          <w:right w:w="28" w:type="dxa"/>
        </w:tblCellMar>
      </w:tblPr>
      <w:tblGrid>
        <w:gridCol w:w="2579"/>
        <w:gridCol w:w="1924"/>
        <w:gridCol w:w="1560"/>
        <w:gridCol w:w="992"/>
        <w:gridCol w:w="2513"/>
      </w:tblGrid>
      <w:tr>
        <w:tblPrEx>
          <w:tblCellMar>
            <w:top w:w="0" w:type="dxa"/>
            <w:left w:w="28" w:type="dxa"/>
            <w:bottom w:w="0" w:type="dxa"/>
            <w:right w:w="28" w:type="dxa"/>
          </w:tblCellMar>
        </w:tblPrEx>
        <w:tc>
          <w:tcPr>
            <w:tcW w:w="257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法人股东名称</w:t>
            </w:r>
          </w:p>
        </w:tc>
        <w:tc>
          <w:tcPr>
            <w:tcW w:w="192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法定代表人</w:t>
            </w:r>
            <w:r>
              <w:rPr>
                <w:szCs w:val="24"/>
              </w:rPr>
              <w:t>/</w:t>
            </w:r>
            <w:r>
              <w:rPr>
                <w:rFonts w:hint="eastAsia"/>
                <w:szCs w:val="24"/>
              </w:rPr>
              <w:t>单位负责人</w:t>
            </w:r>
          </w:p>
        </w:tc>
        <w:tc>
          <w:tcPr>
            <w:tcW w:w="156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成立日期</w:t>
            </w:r>
          </w:p>
        </w:tc>
        <w:tc>
          <w:tcPr>
            <w:tcW w:w="9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注册资本</w:t>
            </w:r>
          </w:p>
        </w:tc>
        <w:tc>
          <w:tcPr>
            <w:tcW w:w="25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主要经营业务或管理活动</w:t>
            </w:r>
          </w:p>
        </w:tc>
      </w:tr>
      <w:tr>
        <w:tblPrEx>
          <w:tblCellMar>
            <w:top w:w="0" w:type="dxa"/>
            <w:left w:w="28" w:type="dxa"/>
            <w:bottom w:w="0" w:type="dxa"/>
            <w:right w:w="28" w:type="dxa"/>
          </w:tblCellMar>
        </w:tblPrEx>
        <w:tc>
          <w:tcPr>
            <w:tcW w:w="257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宁波美康盛德投资咨询有限公司</w:t>
            </w:r>
          </w:p>
        </w:tc>
        <w:tc>
          <w:tcPr>
            <w:tcW w:w="19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李庆艳</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2010</w:t>
            </w:r>
            <w:r>
              <w:rPr>
                <w:rFonts w:hint="eastAsia"/>
                <w:szCs w:val="24"/>
              </w:rPr>
              <w:t>年</w:t>
            </w:r>
            <w:r>
              <w:rPr>
                <w:szCs w:val="24"/>
              </w:rPr>
              <w:t>04</w:t>
            </w:r>
            <w:r>
              <w:rPr>
                <w:rFonts w:hint="eastAsia"/>
                <w:szCs w:val="24"/>
              </w:rPr>
              <w:t>月</w:t>
            </w:r>
            <w:r>
              <w:rPr>
                <w:szCs w:val="24"/>
              </w:rPr>
              <w:t>06</w:t>
            </w:r>
            <w:r>
              <w:rPr>
                <w:rFonts w:hint="eastAsia"/>
                <w:szCs w:val="24"/>
              </w:rPr>
              <w:t>日</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200</w:t>
            </w:r>
            <w:r>
              <w:rPr>
                <w:rFonts w:hint="eastAsia"/>
                <w:szCs w:val="24"/>
              </w:rPr>
              <w:t>万元</w:t>
            </w:r>
          </w:p>
        </w:tc>
        <w:tc>
          <w:tcPr>
            <w:tcW w:w="251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投资管理咨询；经营管理咨询</w:t>
            </w:r>
          </w:p>
        </w:tc>
      </w:tr>
    </w:tbl>
    <w:p>
      <w:pPr>
        <w:pStyle w:val="14"/>
        <w:outlineLvl w:val="2"/>
        <w:rPr>
          <w:bCs w:val="0"/>
          <w:szCs w:val="24"/>
        </w:rPr>
      </w:pPr>
      <w:r>
        <w:rPr>
          <w:bCs w:val="0"/>
          <w:szCs w:val="24"/>
        </w:rPr>
        <w:t>5</w:t>
      </w:r>
      <w:r>
        <w:rPr>
          <w:rFonts w:hint="eastAsia"/>
          <w:bCs w:val="0"/>
          <w:szCs w:val="24"/>
        </w:rPr>
        <w:t>、控股股东、实际控制人、重组方及其他承诺主体股份限制减持情况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sectPr>
          <w:pgSz w:w="11906" w:h="16838"/>
          <w:pgMar w:top="1440" w:right="1134" w:bottom="1440" w:left="1134" w:header="851" w:footer="992" w:gutter="0"/>
          <w:cols w:space="425" w:num="1"/>
          <w:docGrid w:type="lines" w:linePitch="312" w:charSpace="0"/>
        </w:sectPr>
      </w:pPr>
    </w:p>
    <w:p>
      <w:pPr>
        <w:pStyle w:val="8"/>
        <w:outlineLvl w:val="0"/>
        <w:rPr>
          <w:bCs w:val="0"/>
          <w:szCs w:val="24"/>
        </w:rPr>
      </w:pPr>
      <w:bookmarkStart w:id="11" w:name="_Toc38911278"/>
      <w:r>
        <w:rPr>
          <w:rFonts w:hint="eastAsia"/>
          <w:bCs w:val="0"/>
          <w:szCs w:val="24"/>
        </w:rPr>
        <w:t>第七节优先股相关情况</w:t>
      </w:r>
      <w:bookmarkEnd w:id="11"/>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报告期公司不存在优先股。</w:t>
      </w:r>
    </w:p>
    <w:p>
      <w:pPr>
        <w:jc w:val="left"/>
        <w:rPr>
          <w:szCs w:val="24"/>
        </w:rPr>
        <w:sectPr>
          <w:pgSz w:w="11906" w:h="16838"/>
          <w:pgMar w:top="1440" w:right="1134" w:bottom="1440" w:left="1134" w:header="851" w:footer="992" w:gutter="0"/>
          <w:cols w:space="425" w:num="1"/>
          <w:docGrid w:type="lines" w:linePitch="312" w:charSpace="0"/>
        </w:sectPr>
      </w:pPr>
    </w:p>
    <w:p>
      <w:pPr>
        <w:pStyle w:val="8"/>
        <w:outlineLvl w:val="0"/>
        <w:rPr>
          <w:bCs w:val="0"/>
          <w:szCs w:val="24"/>
        </w:rPr>
      </w:pPr>
      <w:bookmarkStart w:id="12" w:name="_Toc38911279"/>
      <w:r>
        <w:rPr>
          <w:rFonts w:hint="eastAsia"/>
          <w:bCs w:val="0"/>
          <w:szCs w:val="24"/>
        </w:rPr>
        <w:t>第八节可转换公司债券相关情况</w:t>
      </w:r>
      <w:bookmarkEnd w:id="12"/>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报告期公司不存在可转换公司债券。</w:t>
      </w:r>
    </w:p>
    <w:p>
      <w:pPr>
        <w:jc w:val="left"/>
        <w:rPr>
          <w:szCs w:val="24"/>
        </w:rPr>
        <w:sectPr>
          <w:pgSz w:w="11906" w:h="16838"/>
          <w:pgMar w:top="1440" w:right="1134" w:bottom="1440" w:left="1134" w:header="851" w:footer="992" w:gutter="0"/>
          <w:cols w:space="425" w:num="1"/>
          <w:docGrid w:type="lines" w:linePitch="312" w:charSpace="0"/>
        </w:sectPr>
      </w:pPr>
    </w:p>
    <w:p>
      <w:pPr>
        <w:pStyle w:val="8"/>
        <w:outlineLvl w:val="0"/>
        <w:rPr>
          <w:bCs w:val="0"/>
          <w:szCs w:val="24"/>
        </w:rPr>
      </w:pPr>
      <w:bookmarkStart w:id="13" w:name="_Toc38911280"/>
      <w:r>
        <w:rPr>
          <w:rFonts w:hint="eastAsia"/>
          <w:bCs w:val="0"/>
          <w:szCs w:val="24"/>
        </w:rPr>
        <w:t>第九节董事、监事、高级管理人员和员工情况</w:t>
      </w:r>
      <w:bookmarkEnd w:id="13"/>
    </w:p>
    <w:p>
      <w:pPr>
        <w:pStyle w:val="13"/>
        <w:outlineLvl w:val="1"/>
        <w:rPr>
          <w:bCs w:val="0"/>
        </w:rPr>
      </w:pPr>
      <w:r>
        <w:rPr>
          <w:rFonts w:hint="eastAsia"/>
          <w:bCs w:val="0"/>
        </w:rPr>
        <w:t>一、董事、监事和高级管理人员持股变动</w:t>
      </w:r>
    </w:p>
    <w:tbl>
      <w:tblPr>
        <w:tblStyle w:val="9"/>
        <w:tblW w:w="0" w:type="auto"/>
        <w:tblInd w:w="28" w:type="dxa"/>
        <w:tblLayout w:type="fixed"/>
        <w:tblCellMar>
          <w:top w:w="0" w:type="dxa"/>
          <w:left w:w="28" w:type="dxa"/>
          <w:bottom w:w="0" w:type="dxa"/>
          <w:right w:w="28" w:type="dxa"/>
        </w:tblCellMar>
      </w:tblPr>
      <w:tblGrid>
        <w:gridCol w:w="798"/>
        <w:gridCol w:w="797"/>
        <w:gridCol w:w="797"/>
        <w:gridCol w:w="797"/>
        <w:gridCol w:w="798"/>
        <w:gridCol w:w="797"/>
        <w:gridCol w:w="798"/>
        <w:gridCol w:w="798"/>
        <w:gridCol w:w="798"/>
        <w:gridCol w:w="798"/>
        <w:gridCol w:w="798"/>
        <w:gridCol w:w="798"/>
      </w:tblGrid>
      <w:tr>
        <w:tblPrEx>
          <w:tblCellMar>
            <w:top w:w="0" w:type="dxa"/>
            <w:left w:w="28" w:type="dxa"/>
            <w:bottom w:w="0" w:type="dxa"/>
            <w:right w:w="2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姓名</w:t>
            </w: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职务</w:t>
            </w: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任职状态</w:t>
            </w: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性别</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年龄</w:t>
            </w: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任期起始日期</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任期终止日期</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期初持股数（股）</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本期增持股份数量（股）</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本期减持股份数量（股）</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其他增减变动（股）</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期末持股数（股）</w:t>
            </w:r>
          </w:p>
        </w:tc>
      </w:tr>
      <w:tr>
        <w:tblPrEx>
          <w:tblCellMar>
            <w:top w:w="0" w:type="dxa"/>
            <w:left w:w="28" w:type="dxa"/>
            <w:bottom w:w="0" w:type="dxa"/>
            <w:right w:w="2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邹炳德</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董事长</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男</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2014</w:t>
            </w:r>
            <w:r>
              <w:rPr>
                <w:rFonts w:hint="eastAsia"/>
                <w:szCs w:val="24"/>
              </w:rPr>
              <w:t>年</w:t>
            </w:r>
            <w:r>
              <w:rPr>
                <w:szCs w:val="24"/>
              </w:rPr>
              <w:t>12</w:t>
            </w:r>
            <w:r>
              <w:rPr>
                <w:rFonts w:hint="eastAsia"/>
                <w:szCs w:val="24"/>
              </w:rPr>
              <w:t>月</w:t>
            </w:r>
            <w:r>
              <w:rPr>
                <w:szCs w:val="24"/>
              </w:rPr>
              <w:t>20</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w:t>
            </w:r>
            <w:r>
              <w:rPr>
                <w:szCs w:val="24"/>
              </w:rPr>
              <w:t>12</w:t>
            </w:r>
            <w:r>
              <w:rPr>
                <w:rFonts w:hint="eastAsia"/>
                <w:szCs w:val="24"/>
              </w:rPr>
              <w:t>月</w:t>
            </w:r>
            <w:r>
              <w:rPr>
                <w:szCs w:val="24"/>
              </w:rPr>
              <w:t>21</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176,124,291</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6,922,765</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169,201,526</w:t>
            </w:r>
          </w:p>
        </w:tc>
      </w:tr>
      <w:tr>
        <w:tblPrEx>
          <w:tblCellMar>
            <w:top w:w="0" w:type="dxa"/>
            <w:left w:w="28" w:type="dxa"/>
            <w:bottom w:w="0" w:type="dxa"/>
            <w:right w:w="2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邹继华</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董事、总经理</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男</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2015</w:t>
            </w:r>
            <w:r>
              <w:rPr>
                <w:rFonts w:hint="eastAsia"/>
                <w:szCs w:val="24"/>
              </w:rPr>
              <w:t>年</w:t>
            </w:r>
            <w:r>
              <w:rPr>
                <w:szCs w:val="24"/>
              </w:rPr>
              <w:t>06</w:t>
            </w:r>
            <w:r>
              <w:rPr>
                <w:rFonts w:hint="eastAsia"/>
                <w:szCs w:val="24"/>
              </w:rPr>
              <w:t>月</w:t>
            </w:r>
            <w:r>
              <w:rPr>
                <w:szCs w:val="24"/>
              </w:rPr>
              <w:t>03</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w:t>
            </w:r>
            <w:r>
              <w:rPr>
                <w:szCs w:val="24"/>
              </w:rPr>
              <w:t>12</w:t>
            </w:r>
            <w:r>
              <w:rPr>
                <w:rFonts w:hint="eastAsia"/>
                <w:szCs w:val="24"/>
              </w:rPr>
              <w:t>月</w:t>
            </w:r>
            <w:r>
              <w:rPr>
                <w:szCs w:val="24"/>
              </w:rPr>
              <w:t>21</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11,908,700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11,908,700</w:t>
            </w:r>
          </w:p>
        </w:tc>
      </w:tr>
      <w:tr>
        <w:tblPrEx>
          <w:tblCellMar>
            <w:top w:w="0" w:type="dxa"/>
            <w:left w:w="28" w:type="dxa"/>
            <w:bottom w:w="0" w:type="dxa"/>
            <w:right w:w="2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卓红叶</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董事</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女</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2014</w:t>
            </w:r>
            <w:r>
              <w:rPr>
                <w:rFonts w:hint="eastAsia"/>
                <w:szCs w:val="24"/>
              </w:rPr>
              <w:t>年</w:t>
            </w:r>
            <w:r>
              <w:rPr>
                <w:szCs w:val="24"/>
              </w:rPr>
              <w:t>12</w:t>
            </w:r>
            <w:r>
              <w:rPr>
                <w:rFonts w:hint="eastAsia"/>
                <w:szCs w:val="24"/>
              </w:rPr>
              <w:t>月</w:t>
            </w:r>
            <w:r>
              <w:rPr>
                <w:szCs w:val="24"/>
              </w:rPr>
              <w:t>20</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w:t>
            </w:r>
            <w:r>
              <w:rPr>
                <w:szCs w:val="24"/>
              </w:rPr>
              <w:t>12</w:t>
            </w:r>
            <w:r>
              <w:rPr>
                <w:rFonts w:hint="eastAsia"/>
                <w:szCs w:val="24"/>
              </w:rPr>
              <w:t>月</w:t>
            </w:r>
            <w:r>
              <w:rPr>
                <w:szCs w:val="24"/>
              </w:rPr>
              <w:t>21</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172,926</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173,126</w:t>
            </w:r>
          </w:p>
        </w:tc>
      </w:tr>
      <w:tr>
        <w:tblPrEx>
          <w:tblCellMar>
            <w:top w:w="0" w:type="dxa"/>
            <w:left w:w="28" w:type="dxa"/>
            <w:bottom w:w="0" w:type="dxa"/>
            <w:right w:w="2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吴立山</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监事会主席</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男</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2014</w:t>
            </w:r>
            <w:r>
              <w:rPr>
                <w:rFonts w:hint="eastAsia"/>
                <w:szCs w:val="24"/>
              </w:rPr>
              <w:t>年</w:t>
            </w:r>
            <w:r>
              <w:rPr>
                <w:szCs w:val="24"/>
              </w:rPr>
              <w:t>12</w:t>
            </w:r>
            <w:r>
              <w:rPr>
                <w:rFonts w:hint="eastAsia"/>
                <w:szCs w:val="24"/>
              </w:rPr>
              <w:t>月</w:t>
            </w:r>
            <w:r>
              <w:rPr>
                <w:szCs w:val="24"/>
              </w:rPr>
              <w:t>20</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w:t>
            </w:r>
            <w:r>
              <w:rPr>
                <w:szCs w:val="24"/>
              </w:rPr>
              <w:t>12</w:t>
            </w:r>
            <w:r>
              <w:rPr>
                <w:rFonts w:hint="eastAsia"/>
                <w:szCs w:val="24"/>
              </w:rPr>
              <w:t>月</w:t>
            </w:r>
            <w:r>
              <w:rPr>
                <w:szCs w:val="24"/>
              </w:rPr>
              <w:t>21</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3,500</w:t>
            </w:r>
          </w:p>
        </w:tc>
      </w:tr>
      <w:tr>
        <w:tblPrEx>
          <w:tblCellMar>
            <w:top w:w="0" w:type="dxa"/>
            <w:left w:w="28" w:type="dxa"/>
            <w:bottom w:w="0" w:type="dxa"/>
            <w:right w:w="2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贾江花</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监事</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女</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2014</w:t>
            </w:r>
            <w:r>
              <w:rPr>
                <w:rFonts w:hint="eastAsia"/>
                <w:szCs w:val="24"/>
              </w:rPr>
              <w:t>年</w:t>
            </w:r>
            <w:r>
              <w:rPr>
                <w:szCs w:val="24"/>
              </w:rPr>
              <w:t>12</w:t>
            </w:r>
            <w:r>
              <w:rPr>
                <w:rFonts w:hint="eastAsia"/>
                <w:szCs w:val="24"/>
              </w:rPr>
              <w:t>月</w:t>
            </w:r>
            <w:r>
              <w:rPr>
                <w:szCs w:val="24"/>
              </w:rPr>
              <w:t>20</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w:t>
            </w:r>
            <w:r>
              <w:rPr>
                <w:szCs w:val="24"/>
              </w:rPr>
              <w:t>12</w:t>
            </w:r>
            <w:r>
              <w:rPr>
                <w:rFonts w:hint="eastAsia"/>
                <w:szCs w:val="24"/>
              </w:rPr>
              <w:t>月</w:t>
            </w:r>
            <w:r>
              <w:rPr>
                <w:szCs w:val="24"/>
              </w:rPr>
              <w:t>21</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r>
      <w:tr>
        <w:tblPrEx>
          <w:tblCellMar>
            <w:top w:w="0" w:type="dxa"/>
            <w:left w:w="28" w:type="dxa"/>
            <w:bottom w:w="0" w:type="dxa"/>
            <w:right w:w="2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宋健</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职工监事</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男</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10</w:t>
            </w:r>
            <w:r>
              <w:rPr>
                <w:rFonts w:hint="eastAsia"/>
                <w:szCs w:val="24"/>
              </w:rPr>
              <w:t>月</w:t>
            </w:r>
            <w:r>
              <w:rPr>
                <w:szCs w:val="24"/>
              </w:rPr>
              <w:t>28</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w:t>
            </w:r>
            <w:r>
              <w:rPr>
                <w:szCs w:val="24"/>
              </w:rPr>
              <w:t>12</w:t>
            </w:r>
            <w:r>
              <w:rPr>
                <w:rFonts w:hint="eastAsia"/>
                <w:szCs w:val="24"/>
              </w:rPr>
              <w:t>月</w:t>
            </w:r>
            <w:r>
              <w:rPr>
                <w:szCs w:val="24"/>
              </w:rPr>
              <w:t>21</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r>
      <w:tr>
        <w:tblPrEx>
          <w:tblCellMar>
            <w:top w:w="0" w:type="dxa"/>
            <w:left w:w="28" w:type="dxa"/>
            <w:bottom w:w="0" w:type="dxa"/>
            <w:right w:w="2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AIMIN YAN</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独立董事</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男</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64</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2017</w:t>
            </w:r>
            <w:r>
              <w:rPr>
                <w:rFonts w:hint="eastAsia"/>
                <w:szCs w:val="24"/>
              </w:rPr>
              <w:t>年</w:t>
            </w:r>
            <w:r>
              <w:rPr>
                <w:szCs w:val="24"/>
              </w:rPr>
              <w:t>12</w:t>
            </w:r>
            <w:r>
              <w:rPr>
                <w:rFonts w:hint="eastAsia"/>
                <w:szCs w:val="24"/>
              </w:rPr>
              <w:t>月</w:t>
            </w:r>
            <w:r>
              <w:rPr>
                <w:szCs w:val="24"/>
              </w:rPr>
              <w:t>22</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w:t>
            </w:r>
            <w:r>
              <w:rPr>
                <w:szCs w:val="24"/>
              </w:rPr>
              <w:t>12</w:t>
            </w:r>
            <w:r>
              <w:rPr>
                <w:rFonts w:hint="eastAsia"/>
                <w:szCs w:val="24"/>
              </w:rPr>
              <w:t>月</w:t>
            </w:r>
            <w:r>
              <w:rPr>
                <w:szCs w:val="24"/>
              </w:rPr>
              <w:t>21</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r>
      <w:tr>
        <w:tblPrEx>
          <w:tblCellMar>
            <w:top w:w="0" w:type="dxa"/>
            <w:left w:w="28" w:type="dxa"/>
            <w:bottom w:w="0" w:type="dxa"/>
            <w:right w:w="2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李成艾</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独立董事</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女</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2017</w:t>
            </w:r>
            <w:r>
              <w:rPr>
                <w:rFonts w:hint="eastAsia"/>
                <w:szCs w:val="24"/>
              </w:rPr>
              <w:t>年</w:t>
            </w:r>
            <w:r>
              <w:rPr>
                <w:szCs w:val="24"/>
              </w:rPr>
              <w:t>12</w:t>
            </w:r>
            <w:r>
              <w:rPr>
                <w:rFonts w:hint="eastAsia"/>
                <w:szCs w:val="24"/>
              </w:rPr>
              <w:t>月</w:t>
            </w:r>
            <w:r>
              <w:rPr>
                <w:szCs w:val="24"/>
              </w:rPr>
              <w:t>22</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w:t>
            </w:r>
            <w:r>
              <w:rPr>
                <w:szCs w:val="24"/>
              </w:rPr>
              <w:t>12</w:t>
            </w:r>
            <w:r>
              <w:rPr>
                <w:rFonts w:hint="eastAsia"/>
                <w:szCs w:val="24"/>
              </w:rPr>
              <w:t>月</w:t>
            </w:r>
            <w:r>
              <w:rPr>
                <w:szCs w:val="24"/>
              </w:rPr>
              <w:t>21</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r>
      <w:tr>
        <w:tblPrEx>
          <w:tblCellMar>
            <w:top w:w="0" w:type="dxa"/>
            <w:left w:w="28" w:type="dxa"/>
            <w:bottom w:w="0" w:type="dxa"/>
            <w:right w:w="2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方亮</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副总经理</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男</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2017</w:t>
            </w:r>
            <w:r>
              <w:rPr>
                <w:rFonts w:hint="eastAsia"/>
                <w:szCs w:val="24"/>
              </w:rPr>
              <w:t>年</w:t>
            </w:r>
            <w:r>
              <w:rPr>
                <w:szCs w:val="24"/>
              </w:rPr>
              <w:t>12</w:t>
            </w:r>
            <w:r>
              <w:rPr>
                <w:rFonts w:hint="eastAsia"/>
                <w:szCs w:val="24"/>
              </w:rPr>
              <w:t>月</w:t>
            </w:r>
            <w:r>
              <w:rPr>
                <w:szCs w:val="24"/>
              </w:rPr>
              <w:t>22</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w:t>
            </w:r>
            <w:r>
              <w:rPr>
                <w:szCs w:val="24"/>
              </w:rPr>
              <w:t>12</w:t>
            </w:r>
            <w:r>
              <w:rPr>
                <w:rFonts w:hint="eastAsia"/>
                <w:szCs w:val="24"/>
              </w:rPr>
              <w:t>月</w:t>
            </w:r>
            <w:r>
              <w:rPr>
                <w:szCs w:val="24"/>
              </w:rPr>
              <w:t>21</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135,000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138,500</w:t>
            </w:r>
          </w:p>
        </w:tc>
      </w:tr>
      <w:tr>
        <w:tblPrEx>
          <w:tblCellMar>
            <w:top w:w="0" w:type="dxa"/>
            <w:left w:w="28" w:type="dxa"/>
            <w:bottom w:w="0" w:type="dxa"/>
            <w:right w:w="2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沈敏</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副总经理</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男</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w:t>
            </w:r>
            <w:r>
              <w:rPr>
                <w:szCs w:val="24"/>
              </w:rPr>
              <w:t>10</w:t>
            </w:r>
            <w:r>
              <w:rPr>
                <w:rFonts w:hint="eastAsia"/>
                <w:szCs w:val="24"/>
              </w:rPr>
              <w:t>月</w:t>
            </w:r>
            <w:r>
              <w:rPr>
                <w:szCs w:val="24"/>
              </w:rPr>
              <w:t>26</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w:t>
            </w:r>
            <w:r>
              <w:rPr>
                <w:szCs w:val="24"/>
              </w:rPr>
              <w:t>12</w:t>
            </w:r>
            <w:r>
              <w:rPr>
                <w:rFonts w:hint="eastAsia"/>
                <w:szCs w:val="24"/>
              </w:rPr>
              <w:t>月</w:t>
            </w:r>
            <w:r>
              <w:rPr>
                <w:szCs w:val="24"/>
              </w:rPr>
              <w:t>21</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72,000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72,000</w:t>
            </w:r>
          </w:p>
        </w:tc>
      </w:tr>
      <w:tr>
        <w:tblPrEx>
          <w:tblCellMar>
            <w:top w:w="0" w:type="dxa"/>
            <w:left w:w="28" w:type="dxa"/>
            <w:bottom w:w="0" w:type="dxa"/>
            <w:right w:w="2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袁超</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副总经理、财务总监</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男</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w:t>
            </w:r>
            <w:r>
              <w:rPr>
                <w:szCs w:val="24"/>
              </w:rPr>
              <w:t>12</w:t>
            </w:r>
            <w:r>
              <w:rPr>
                <w:rFonts w:hint="eastAsia"/>
                <w:szCs w:val="24"/>
              </w:rPr>
              <w:t>月</w:t>
            </w:r>
            <w:r>
              <w:rPr>
                <w:szCs w:val="24"/>
              </w:rPr>
              <w:t>28</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w:t>
            </w:r>
            <w:r>
              <w:rPr>
                <w:szCs w:val="24"/>
              </w:rPr>
              <w:t>12</w:t>
            </w:r>
            <w:r>
              <w:rPr>
                <w:rFonts w:hint="eastAsia"/>
                <w:szCs w:val="24"/>
              </w:rPr>
              <w:t>月</w:t>
            </w:r>
            <w:r>
              <w:rPr>
                <w:szCs w:val="24"/>
              </w:rPr>
              <w:t>21</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13,500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13,500</w:t>
            </w:r>
          </w:p>
        </w:tc>
      </w:tr>
      <w:tr>
        <w:tblPrEx>
          <w:tblCellMar>
            <w:top w:w="0" w:type="dxa"/>
            <w:left w:w="28" w:type="dxa"/>
            <w:bottom w:w="0" w:type="dxa"/>
            <w:right w:w="2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熊慧萍</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董事会秘书</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女</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w:t>
            </w:r>
            <w:r>
              <w:rPr>
                <w:szCs w:val="24"/>
              </w:rPr>
              <w:t>07</w:t>
            </w:r>
            <w:r>
              <w:rPr>
                <w:rFonts w:hint="eastAsia"/>
                <w:szCs w:val="24"/>
              </w:rPr>
              <w:t>月</w:t>
            </w:r>
            <w:r>
              <w:rPr>
                <w:szCs w:val="24"/>
              </w:rPr>
              <w:t>16</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w:t>
            </w:r>
            <w:r>
              <w:rPr>
                <w:szCs w:val="24"/>
              </w:rPr>
              <w:t>12</w:t>
            </w:r>
            <w:r>
              <w:rPr>
                <w:rFonts w:hint="eastAsia"/>
                <w:szCs w:val="24"/>
              </w:rPr>
              <w:t>月</w:t>
            </w:r>
            <w:r>
              <w:rPr>
                <w:szCs w:val="24"/>
              </w:rPr>
              <w:t>21</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82,900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701,284</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784,184</w:t>
            </w:r>
          </w:p>
        </w:tc>
      </w:tr>
      <w:tr>
        <w:tblPrEx>
          <w:tblCellMar>
            <w:top w:w="0" w:type="dxa"/>
            <w:left w:w="28" w:type="dxa"/>
            <w:bottom w:w="0" w:type="dxa"/>
            <w:right w:w="2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符迎军</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职工监事</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离任</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女</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2017</w:t>
            </w:r>
            <w:r>
              <w:rPr>
                <w:rFonts w:hint="eastAsia"/>
                <w:szCs w:val="24"/>
              </w:rPr>
              <w:t>年</w:t>
            </w:r>
            <w:r>
              <w:rPr>
                <w:szCs w:val="24"/>
              </w:rPr>
              <w:t>05</w:t>
            </w:r>
            <w:r>
              <w:rPr>
                <w:rFonts w:hint="eastAsia"/>
                <w:szCs w:val="24"/>
              </w:rPr>
              <w:t>月</w:t>
            </w:r>
            <w:r>
              <w:rPr>
                <w:szCs w:val="24"/>
              </w:rPr>
              <w:t>26</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10</w:t>
            </w:r>
            <w:r>
              <w:rPr>
                <w:rFonts w:hint="eastAsia"/>
                <w:szCs w:val="24"/>
              </w:rPr>
              <w:t>月</w:t>
            </w:r>
            <w:r>
              <w:rPr>
                <w:szCs w:val="24"/>
              </w:rPr>
              <w:t>28</w:t>
            </w:r>
            <w:r>
              <w:rPr>
                <w:rFonts w:hint="eastAsia"/>
                <w:szCs w:val="24"/>
              </w:rPr>
              <w:t>日</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r>
      <w:tr>
        <w:tblPrEx>
          <w:tblCellMar>
            <w:top w:w="0" w:type="dxa"/>
            <w:left w:w="28" w:type="dxa"/>
            <w:bottom w:w="0" w:type="dxa"/>
            <w:right w:w="2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188,509,317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708,484</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6,922,765</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182,295,036</w:t>
            </w:r>
          </w:p>
        </w:tc>
      </w:tr>
    </w:tbl>
    <w:p>
      <w:pPr>
        <w:pStyle w:val="13"/>
        <w:outlineLvl w:val="1"/>
        <w:rPr>
          <w:bCs w:val="0"/>
        </w:rPr>
      </w:pPr>
      <w:r>
        <w:rPr>
          <w:rFonts w:hint="eastAsia"/>
          <w:bCs w:val="0"/>
        </w:rPr>
        <w:t>二、公司董事、监事、高级管理人员变动情况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tbl>
      <w:tblPr>
        <w:tblStyle w:val="9"/>
        <w:tblW w:w="0" w:type="auto"/>
        <w:tblInd w:w="28" w:type="dxa"/>
        <w:tblLayout w:type="fixed"/>
        <w:tblCellMar>
          <w:top w:w="0" w:type="dxa"/>
          <w:left w:w="28" w:type="dxa"/>
          <w:bottom w:w="0" w:type="dxa"/>
          <w:right w:w="28" w:type="dxa"/>
        </w:tblCellMar>
      </w:tblPr>
      <w:tblGrid>
        <w:gridCol w:w="1329"/>
        <w:gridCol w:w="1330"/>
        <w:gridCol w:w="1330"/>
        <w:gridCol w:w="1330"/>
        <w:gridCol w:w="4248"/>
      </w:tblGrid>
      <w:tr>
        <w:tblPrEx>
          <w:tblCellMar>
            <w:top w:w="0" w:type="dxa"/>
            <w:left w:w="28" w:type="dxa"/>
            <w:bottom w:w="0" w:type="dxa"/>
            <w:right w:w="28" w:type="dxa"/>
          </w:tblCellMar>
        </w:tblPrEx>
        <w:tc>
          <w:tcPr>
            <w:tcW w:w="132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姓名</w:t>
            </w:r>
          </w:p>
        </w:tc>
        <w:tc>
          <w:tcPr>
            <w:tcW w:w="133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担任的职务</w:t>
            </w:r>
          </w:p>
        </w:tc>
        <w:tc>
          <w:tcPr>
            <w:tcW w:w="133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类型</w:t>
            </w:r>
          </w:p>
        </w:tc>
        <w:tc>
          <w:tcPr>
            <w:tcW w:w="133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日期</w:t>
            </w:r>
          </w:p>
        </w:tc>
        <w:tc>
          <w:tcPr>
            <w:tcW w:w="424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原因</w:t>
            </w:r>
          </w:p>
        </w:tc>
      </w:tr>
      <w:tr>
        <w:tblPrEx>
          <w:tblCellMar>
            <w:top w:w="0" w:type="dxa"/>
            <w:left w:w="28" w:type="dxa"/>
            <w:bottom w:w="0" w:type="dxa"/>
            <w:right w:w="28" w:type="dxa"/>
          </w:tblCellMar>
        </w:tblPrEx>
        <w:tc>
          <w:tcPr>
            <w:tcW w:w="132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符迎军</w:t>
            </w:r>
          </w:p>
        </w:tc>
        <w:tc>
          <w:tcPr>
            <w:tcW w:w="133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职工监事</w:t>
            </w:r>
          </w:p>
        </w:tc>
        <w:tc>
          <w:tcPr>
            <w:tcW w:w="133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解聘</w:t>
            </w:r>
          </w:p>
        </w:tc>
        <w:tc>
          <w:tcPr>
            <w:tcW w:w="133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10</w:t>
            </w:r>
            <w:r>
              <w:rPr>
                <w:rFonts w:hint="eastAsia"/>
                <w:szCs w:val="24"/>
              </w:rPr>
              <w:t>月</w:t>
            </w:r>
            <w:r>
              <w:rPr>
                <w:szCs w:val="24"/>
              </w:rPr>
              <w:t>28</w:t>
            </w:r>
            <w:r>
              <w:rPr>
                <w:rFonts w:hint="eastAsia"/>
                <w:szCs w:val="24"/>
              </w:rPr>
              <w:t>日</w:t>
            </w:r>
          </w:p>
        </w:tc>
        <w:tc>
          <w:tcPr>
            <w:tcW w:w="424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个人原因</w:t>
            </w:r>
          </w:p>
        </w:tc>
      </w:tr>
      <w:tr>
        <w:tblPrEx>
          <w:tblCellMar>
            <w:top w:w="0" w:type="dxa"/>
            <w:left w:w="28" w:type="dxa"/>
            <w:bottom w:w="0" w:type="dxa"/>
            <w:right w:w="28" w:type="dxa"/>
          </w:tblCellMar>
        </w:tblPrEx>
        <w:tc>
          <w:tcPr>
            <w:tcW w:w="132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宋健</w:t>
            </w:r>
            <w:r>
              <w:rPr>
                <w:szCs w:val="24"/>
              </w:rPr>
              <w:tab/>
            </w:r>
          </w:p>
        </w:tc>
        <w:tc>
          <w:tcPr>
            <w:tcW w:w="133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职工监事</w:t>
            </w:r>
          </w:p>
        </w:tc>
        <w:tc>
          <w:tcPr>
            <w:tcW w:w="133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任免</w:t>
            </w:r>
          </w:p>
        </w:tc>
        <w:tc>
          <w:tcPr>
            <w:tcW w:w="133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10</w:t>
            </w:r>
            <w:r>
              <w:rPr>
                <w:rFonts w:hint="eastAsia"/>
                <w:szCs w:val="24"/>
              </w:rPr>
              <w:t>月</w:t>
            </w:r>
            <w:r>
              <w:rPr>
                <w:szCs w:val="24"/>
              </w:rPr>
              <w:t>28</w:t>
            </w:r>
            <w:r>
              <w:rPr>
                <w:rFonts w:hint="eastAsia"/>
                <w:szCs w:val="24"/>
              </w:rPr>
              <w:t>日</w:t>
            </w:r>
          </w:p>
        </w:tc>
        <w:tc>
          <w:tcPr>
            <w:tcW w:w="424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10</w:t>
            </w:r>
            <w:r>
              <w:rPr>
                <w:rFonts w:hint="eastAsia"/>
                <w:szCs w:val="24"/>
              </w:rPr>
              <w:t>月</w:t>
            </w:r>
            <w:r>
              <w:rPr>
                <w:szCs w:val="24"/>
              </w:rPr>
              <w:t>28</w:t>
            </w:r>
            <w:r>
              <w:rPr>
                <w:rFonts w:hint="eastAsia"/>
                <w:szCs w:val="24"/>
              </w:rPr>
              <w:t>日公司召开职工代表大会，经广泛征求职工意见并经与会职工代表审议，选举宋健先生为职工监事。</w:t>
            </w:r>
          </w:p>
        </w:tc>
      </w:tr>
    </w:tbl>
    <w:p>
      <w:pPr>
        <w:pStyle w:val="13"/>
        <w:outlineLvl w:val="1"/>
        <w:rPr>
          <w:bCs w:val="0"/>
        </w:rPr>
      </w:pPr>
      <w:r>
        <w:rPr>
          <w:rFonts w:hint="eastAsia"/>
          <w:bCs w:val="0"/>
        </w:rPr>
        <w:t>三、任职情况</w:t>
      </w:r>
    </w:p>
    <w:p>
      <w:pPr>
        <w:jc w:val="left"/>
        <w:rPr>
          <w:szCs w:val="24"/>
        </w:rPr>
      </w:pPr>
      <w:r>
        <w:rPr>
          <w:rFonts w:hint="eastAsia"/>
          <w:szCs w:val="24"/>
        </w:rPr>
        <w:t>公司现任董事、监事、高级管理人员专业背景、主要工作经历以及目前在公司的主要职责</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（一）非独立董事</w:t>
      </w:r>
    </w:p>
    <w:p>
      <w:pPr>
        <w:autoSpaceDE w:val="0"/>
        <w:autoSpaceDN w:val="0"/>
        <w:adjustRightInd w:val="0"/>
        <w:spacing w:before="0" w:after="0"/>
        <w:rPr>
          <w:rFonts w:eastAsia="Times New Roman"/>
          <w:kern w:val="0"/>
          <w:szCs w:val="24"/>
          <w:lang w:val="zh-CN"/>
        </w:rPr>
      </w:pPr>
      <w:r>
        <w:rPr>
          <w:rFonts w:hint="eastAsia" w:ascii="宋体" w:hAnsi="宋体" w:cs="宋体"/>
          <w:b/>
          <w:kern w:val="0"/>
          <w:szCs w:val="24"/>
          <w:lang w:val="zh-CN"/>
        </w:rPr>
        <w:t>邹炳德先生：</w:t>
      </w:r>
      <w:r>
        <w:rPr>
          <w:rFonts w:eastAsia="Times New Roman"/>
          <w:kern w:val="0"/>
          <w:szCs w:val="24"/>
          <w:lang w:val="zh-CN"/>
        </w:rPr>
        <w:t>1971</w:t>
      </w:r>
      <w:r>
        <w:rPr>
          <w:rFonts w:hint="eastAsia" w:ascii="宋体" w:hAnsi="宋体" w:cs="宋体"/>
          <w:kern w:val="0"/>
          <w:szCs w:val="24"/>
          <w:lang w:val="zh-CN"/>
        </w:rPr>
        <w:t>年出生，中国国籍，无境外永久居留权，农工党党员。教授级高级工程师、高级经济师，宁波市突出贡献专家。毕业于浙江大学医学院预防医学专业，取得澳大利亚堪培拉大学工商管理（</w:t>
      </w:r>
      <w:r>
        <w:rPr>
          <w:rFonts w:eastAsia="Times New Roman"/>
          <w:kern w:val="0"/>
          <w:szCs w:val="24"/>
          <w:lang w:val="zh-CN"/>
        </w:rPr>
        <w:t>MBA</w:t>
      </w:r>
      <w:r>
        <w:rPr>
          <w:rFonts w:hint="eastAsia" w:ascii="宋体" w:hAnsi="宋体" w:cs="宋体"/>
          <w:kern w:val="0"/>
          <w:szCs w:val="24"/>
          <w:lang w:val="zh-CN"/>
        </w:rPr>
        <w:t>）硕士学位与长江商学院高级管理人员工商管理（</w:t>
      </w:r>
      <w:r>
        <w:rPr>
          <w:rFonts w:eastAsia="Times New Roman"/>
          <w:kern w:val="0"/>
          <w:szCs w:val="24"/>
          <w:lang w:val="zh-CN"/>
        </w:rPr>
        <w:t>EMBA</w:t>
      </w:r>
      <w:r>
        <w:rPr>
          <w:rFonts w:hint="eastAsia" w:ascii="宋体" w:hAnsi="宋体" w:cs="宋体"/>
          <w:kern w:val="0"/>
          <w:szCs w:val="24"/>
          <w:lang w:val="zh-CN"/>
        </w:rPr>
        <w:t>）硕士学位。自</w:t>
      </w:r>
      <w:r>
        <w:rPr>
          <w:rFonts w:eastAsia="Times New Roman"/>
          <w:kern w:val="0"/>
          <w:szCs w:val="24"/>
          <w:lang w:val="zh-CN"/>
        </w:rPr>
        <w:t>2003</w:t>
      </w:r>
      <w:r>
        <w:rPr>
          <w:rFonts w:hint="eastAsia" w:ascii="宋体" w:hAnsi="宋体" w:cs="宋体"/>
          <w:kern w:val="0"/>
          <w:szCs w:val="24"/>
          <w:lang w:val="zh-CN"/>
        </w:rPr>
        <w:t>年</w:t>
      </w:r>
      <w:r>
        <w:rPr>
          <w:rFonts w:eastAsia="Times New Roman"/>
          <w:kern w:val="0"/>
          <w:szCs w:val="24"/>
          <w:lang w:val="zh-CN"/>
        </w:rPr>
        <w:t>7</w:t>
      </w:r>
      <w:r>
        <w:rPr>
          <w:rFonts w:hint="eastAsia" w:ascii="宋体" w:hAnsi="宋体" w:cs="宋体"/>
          <w:kern w:val="0"/>
          <w:szCs w:val="24"/>
          <w:lang w:val="zh-CN"/>
        </w:rPr>
        <w:t>月创立美康有限至</w:t>
      </w:r>
      <w:r>
        <w:rPr>
          <w:rFonts w:eastAsia="Times New Roman"/>
          <w:kern w:val="0"/>
          <w:szCs w:val="24"/>
          <w:lang w:val="zh-CN"/>
        </w:rPr>
        <w:t>2011</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月，任美康有限董事长兼总经理。自</w:t>
      </w:r>
      <w:r>
        <w:rPr>
          <w:rFonts w:eastAsia="Times New Roman"/>
          <w:kern w:val="0"/>
          <w:szCs w:val="24"/>
          <w:lang w:val="zh-CN"/>
        </w:rPr>
        <w:t>2011</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至今担任本公司董事长。担任全国卫生产业企业管理协会医学检验产业分会副会长、中国医学装备协会第六届理事会常务理事、中国分析协会标记免疫分析专业委员会常委、《临床实验室管理学》高校教材编委、中华医学会《国际检验医学杂志》编委、《临床检验装备大全》系列大型著作《试剂与耗材》分卷副主编、政协第十二届浙江省委员会委员、浙江省医疗器械行业协会副会长、浙江省社会办医协会副会长、浙商总会大健康委员会副主委、浙江省健康产业研究会宁波分会会长、宁波市第十五届政协常委、宁波市体外诊断产业联盟理事长、宁波市医疗器械行业协会副会长、宁波市药学会副理事长、宁波市鄞州区第十八届人大常委等职务。先后获得了宁波市鄞州区十大杰出青年奖，宁波市鄞州区</w:t>
      </w:r>
      <w:r>
        <w:rPr>
          <w:rFonts w:eastAsia="Times New Roman"/>
          <w:kern w:val="0"/>
          <w:szCs w:val="24"/>
          <w:lang w:val="zh-CN"/>
        </w:rPr>
        <w:t>“</w:t>
      </w:r>
      <w:r>
        <w:rPr>
          <w:rFonts w:hint="eastAsia" w:ascii="宋体" w:hAnsi="宋体" w:cs="宋体"/>
          <w:kern w:val="0"/>
          <w:szCs w:val="24"/>
          <w:lang w:val="zh-CN"/>
        </w:rPr>
        <w:t>五四青年</w:t>
      </w:r>
      <w:r>
        <w:rPr>
          <w:rFonts w:eastAsia="Times New Roman"/>
          <w:kern w:val="0"/>
          <w:szCs w:val="24"/>
          <w:lang w:val="zh-CN"/>
        </w:rPr>
        <w:t>”</w:t>
      </w:r>
      <w:r>
        <w:rPr>
          <w:rFonts w:hint="eastAsia" w:ascii="宋体" w:hAnsi="宋体" w:cs="宋体"/>
          <w:kern w:val="0"/>
          <w:szCs w:val="24"/>
          <w:lang w:val="zh-CN"/>
        </w:rPr>
        <w:t>奖，宁波市现代化国际港口城市建设杰出贡献先进个人奖，鄞州区第三届优秀中国特色社会主义事业建设者，浙江省民营企业家科技创新奖，全国体外诊断行业先进个人、宁波市突出贡献专家奖，参政议政先进个人，宁波市科学技术创新特别奖，宁波市</w:t>
      </w:r>
      <w:r>
        <w:rPr>
          <w:rFonts w:eastAsia="Times New Roman"/>
          <w:kern w:val="0"/>
          <w:szCs w:val="24"/>
          <w:lang w:val="zh-CN"/>
        </w:rPr>
        <w:t>“</w:t>
      </w:r>
      <w:r>
        <w:rPr>
          <w:rFonts w:hint="eastAsia" w:ascii="宋体" w:hAnsi="宋体" w:cs="宋体"/>
          <w:kern w:val="0"/>
          <w:szCs w:val="24"/>
          <w:lang w:val="zh-CN"/>
        </w:rPr>
        <w:t>知行合一，魅力甬商</w:t>
      </w:r>
      <w:r>
        <w:rPr>
          <w:rFonts w:eastAsia="Times New Roman"/>
          <w:kern w:val="0"/>
          <w:szCs w:val="24"/>
          <w:lang w:val="zh-CN"/>
        </w:rPr>
        <w:t>”</w:t>
      </w:r>
      <w:r>
        <w:rPr>
          <w:rFonts w:hint="eastAsia" w:ascii="宋体" w:hAnsi="宋体" w:cs="宋体"/>
          <w:kern w:val="0"/>
          <w:szCs w:val="24"/>
          <w:lang w:val="zh-CN"/>
        </w:rPr>
        <w:t>，浙江省科学技术进步奖三等奖，宁波市科学技术进步一等奖，科技新浙商等荣誉。</w:t>
      </w:r>
    </w:p>
    <w:p>
      <w:pPr>
        <w:autoSpaceDE w:val="0"/>
        <w:autoSpaceDN w:val="0"/>
        <w:adjustRightInd w:val="0"/>
        <w:spacing w:before="0" w:after="0"/>
        <w:jc w:val="left"/>
        <w:rPr>
          <w:rFonts w:eastAsia="Times New Roman"/>
          <w:kern w:val="0"/>
          <w:szCs w:val="24"/>
          <w:lang w:val="zh-CN"/>
        </w:rPr>
      </w:pPr>
      <w:r>
        <w:rPr>
          <w:rFonts w:hint="eastAsia" w:ascii="宋体" w:hAnsi="宋体" w:cs="宋体"/>
          <w:b/>
          <w:kern w:val="0"/>
          <w:szCs w:val="24"/>
          <w:lang w:val="zh-CN"/>
        </w:rPr>
        <w:t>邹继华先生：</w:t>
      </w:r>
      <w:r>
        <w:rPr>
          <w:rFonts w:eastAsia="Times New Roman"/>
          <w:kern w:val="0"/>
          <w:szCs w:val="24"/>
          <w:lang w:val="zh-CN"/>
        </w:rPr>
        <w:t>1979</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月出生，中国国籍，无境外居留权，先后毕业于江西医学院临床医学专业、浙江大学工商管理专业，上海理工大学医疗器械与食品学院生物医学工程硕士，清华大学五道口经融学院</w:t>
      </w:r>
      <w:r>
        <w:rPr>
          <w:rFonts w:eastAsia="Times New Roman"/>
          <w:kern w:val="0"/>
          <w:szCs w:val="24"/>
          <w:lang w:val="zh-CN"/>
        </w:rPr>
        <w:t>EMBA</w:t>
      </w:r>
      <w:r>
        <w:rPr>
          <w:rFonts w:hint="eastAsia" w:ascii="宋体" w:hAnsi="宋体" w:cs="宋体"/>
          <w:kern w:val="0"/>
          <w:szCs w:val="24"/>
          <w:lang w:val="zh-CN"/>
        </w:rPr>
        <w:t>在读。自</w:t>
      </w:r>
      <w:r>
        <w:rPr>
          <w:rFonts w:eastAsia="Times New Roman"/>
          <w:kern w:val="0"/>
          <w:szCs w:val="24"/>
          <w:lang w:val="zh-CN"/>
        </w:rPr>
        <w:t>2007</w:t>
      </w:r>
      <w:r>
        <w:rPr>
          <w:rFonts w:hint="eastAsia" w:ascii="宋体" w:hAnsi="宋体" w:cs="宋体"/>
          <w:kern w:val="0"/>
          <w:szCs w:val="24"/>
          <w:lang w:val="zh-CN"/>
        </w:rPr>
        <w:t>年</w:t>
      </w:r>
      <w:r>
        <w:rPr>
          <w:rFonts w:eastAsia="Times New Roman"/>
          <w:kern w:val="0"/>
          <w:szCs w:val="24"/>
          <w:lang w:val="zh-CN"/>
        </w:rPr>
        <w:t>4</w:t>
      </w:r>
      <w:r>
        <w:rPr>
          <w:rFonts w:hint="eastAsia" w:ascii="宋体" w:hAnsi="宋体" w:cs="宋体"/>
          <w:kern w:val="0"/>
          <w:szCs w:val="24"/>
          <w:lang w:val="zh-CN"/>
        </w:rPr>
        <w:t>月起任职于本公司，先后担任公司生产部副总监、总经理助理、董事、常务副总经理，现担任本公司董事、总经理。邹继华为中国医学装备协会现场快速检测（</w:t>
      </w:r>
      <w:r>
        <w:rPr>
          <w:rFonts w:eastAsia="Times New Roman"/>
          <w:kern w:val="0"/>
          <w:szCs w:val="24"/>
          <w:lang w:val="zh-CN"/>
        </w:rPr>
        <w:t>POCT</w:t>
      </w:r>
      <w:r>
        <w:rPr>
          <w:rFonts w:hint="eastAsia" w:ascii="宋体" w:hAnsi="宋体" w:cs="宋体"/>
          <w:kern w:val="0"/>
          <w:szCs w:val="24"/>
          <w:lang w:val="zh-CN"/>
        </w:rPr>
        <w:t>）装备技术专业委员会常委；全国卫生产业企业管理协会医学检验专家委员会委员；浙江省生物工程学会理事；浙江省生物医学工程学会检验分会第四届委员会委员；宁波市医疗器械行业协会副会长；浙江省青年企业家协会第十届理事会常务理事；宁波市青年联合会委员；宁波市鄞州区青年企业家协会副会长；南昌大学宁波校友会副会长、理事；南昌大学宁波校友会医学分会会长；浙江医药高等专科学校商学院副院长；中国医学装备协会检验医学分会《临床检验装备大全》编委；《国际检验医学杂志》编委；南昌大学抚州医学院客座教授；吉林医药学院客座教授；上海理工大学医疗器械与食品学院上海校友会第三届理事会理事。先后获评</w:t>
      </w:r>
      <w:r>
        <w:rPr>
          <w:rFonts w:eastAsia="Times New Roman"/>
          <w:kern w:val="0"/>
          <w:szCs w:val="24"/>
          <w:lang w:val="zh-CN"/>
        </w:rPr>
        <w:t>2016</w:t>
      </w:r>
      <w:r>
        <w:rPr>
          <w:rFonts w:hint="eastAsia" w:ascii="宋体" w:hAnsi="宋体" w:cs="宋体"/>
          <w:kern w:val="0"/>
          <w:szCs w:val="24"/>
          <w:lang w:val="zh-CN"/>
        </w:rPr>
        <w:t>年度中国医疗器械行业十大杰出青年；第十二届</w:t>
      </w:r>
      <w:r>
        <w:rPr>
          <w:rFonts w:eastAsia="Times New Roman"/>
          <w:kern w:val="0"/>
          <w:szCs w:val="24"/>
          <w:lang w:val="zh-CN"/>
        </w:rPr>
        <w:t>“</w:t>
      </w:r>
      <w:r>
        <w:rPr>
          <w:rFonts w:hint="eastAsia" w:ascii="宋体" w:hAnsi="宋体" w:cs="宋体"/>
          <w:kern w:val="0"/>
          <w:szCs w:val="24"/>
          <w:lang w:val="zh-CN"/>
        </w:rPr>
        <w:t>宁波市优秀青年</w:t>
      </w:r>
      <w:r>
        <w:rPr>
          <w:rFonts w:eastAsia="Times New Roman"/>
          <w:kern w:val="0"/>
          <w:szCs w:val="24"/>
          <w:lang w:val="zh-CN"/>
        </w:rPr>
        <w:t>”</w:t>
      </w:r>
      <w:r>
        <w:rPr>
          <w:rFonts w:hint="eastAsia" w:ascii="宋体" w:hAnsi="宋体" w:cs="宋体"/>
          <w:kern w:val="0"/>
          <w:szCs w:val="24"/>
          <w:lang w:val="zh-CN"/>
        </w:rPr>
        <w:t>；</w:t>
      </w:r>
      <w:r>
        <w:rPr>
          <w:rFonts w:eastAsia="Times New Roman"/>
          <w:kern w:val="0"/>
          <w:szCs w:val="24"/>
          <w:lang w:val="zh-CN"/>
        </w:rPr>
        <w:t>2016</w:t>
      </w:r>
      <w:r>
        <w:rPr>
          <w:rFonts w:hint="eastAsia" w:ascii="宋体" w:hAnsi="宋体" w:cs="宋体"/>
          <w:kern w:val="0"/>
          <w:szCs w:val="24"/>
          <w:lang w:val="zh-CN"/>
        </w:rPr>
        <w:t>年度新锐浙商，同时担任浙江省</w:t>
      </w:r>
      <w:r>
        <w:rPr>
          <w:rFonts w:eastAsia="Times New Roman"/>
          <w:kern w:val="0"/>
          <w:szCs w:val="24"/>
          <w:lang w:val="zh-CN"/>
        </w:rPr>
        <w:t>“</w:t>
      </w:r>
      <w:r>
        <w:rPr>
          <w:rFonts w:hint="eastAsia" w:ascii="宋体" w:hAnsi="宋体" w:cs="宋体"/>
          <w:kern w:val="0"/>
          <w:szCs w:val="24"/>
          <w:lang w:val="zh-CN"/>
        </w:rPr>
        <w:t>奋斗的青春最美丽</w:t>
      </w:r>
      <w:r>
        <w:rPr>
          <w:rFonts w:eastAsia="Times New Roman"/>
          <w:kern w:val="0"/>
          <w:szCs w:val="24"/>
          <w:lang w:val="zh-CN"/>
        </w:rPr>
        <w:t>”</w:t>
      </w:r>
      <w:r>
        <w:rPr>
          <w:rFonts w:hint="eastAsia" w:ascii="宋体" w:hAnsi="宋体" w:cs="宋体"/>
          <w:kern w:val="0"/>
          <w:szCs w:val="24"/>
          <w:lang w:val="zh-CN"/>
        </w:rPr>
        <w:t>青年励志分享团讲师。当选为</w:t>
      </w:r>
      <w:r>
        <w:rPr>
          <w:rFonts w:eastAsia="Times New Roman"/>
          <w:kern w:val="0"/>
          <w:szCs w:val="24"/>
          <w:lang w:val="zh-CN"/>
        </w:rPr>
        <w:t>2018</w:t>
      </w:r>
      <w:r>
        <w:rPr>
          <w:rFonts w:hint="eastAsia" w:ascii="宋体" w:hAnsi="宋体" w:cs="宋体"/>
          <w:kern w:val="0"/>
          <w:szCs w:val="24"/>
          <w:lang w:val="zh-CN"/>
        </w:rPr>
        <w:t>年度中国体外诊断产业领军人物。从业期间，共承担政府项目</w:t>
      </w:r>
      <w:r>
        <w:rPr>
          <w:rFonts w:eastAsia="Times New Roman"/>
          <w:kern w:val="0"/>
          <w:szCs w:val="24"/>
          <w:lang w:val="zh-CN"/>
        </w:rPr>
        <w:t>5</w:t>
      </w:r>
      <w:r>
        <w:rPr>
          <w:rFonts w:hint="eastAsia" w:ascii="宋体" w:hAnsi="宋体" w:cs="宋体"/>
          <w:kern w:val="0"/>
          <w:szCs w:val="24"/>
          <w:lang w:val="zh-CN"/>
        </w:rPr>
        <w:t>项，其中国家创新基金项目</w:t>
      </w:r>
      <w:r>
        <w:rPr>
          <w:rFonts w:eastAsia="Times New Roman"/>
          <w:kern w:val="0"/>
          <w:szCs w:val="24"/>
          <w:lang w:val="zh-CN"/>
        </w:rPr>
        <w:t>2</w:t>
      </w:r>
      <w:r>
        <w:rPr>
          <w:rFonts w:hint="eastAsia" w:ascii="宋体" w:hAnsi="宋体" w:cs="宋体"/>
          <w:kern w:val="0"/>
          <w:szCs w:val="24"/>
          <w:lang w:val="zh-CN"/>
        </w:rPr>
        <w:t>项，国家火炬计划项目</w:t>
      </w:r>
      <w:r>
        <w:rPr>
          <w:rFonts w:eastAsia="Times New Roman"/>
          <w:kern w:val="0"/>
          <w:szCs w:val="24"/>
          <w:lang w:val="zh-CN"/>
        </w:rPr>
        <w:t>1</w:t>
      </w:r>
      <w:r>
        <w:rPr>
          <w:rFonts w:hint="eastAsia" w:ascii="宋体" w:hAnsi="宋体" w:cs="宋体"/>
          <w:kern w:val="0"/>
          <w:szCs w:val="24"/>
          <w:lang w:val="zh-CN"/>
        </w:rPr>
        <w:t>项，国家海洋经济创新示范项目</w:t>
      </w:r>
      <w:r>
        <w:rPr>
          <w:rFonts w:eastAsia="Times New Roman"/>
          <w:kern w:val="0"/>
          <w:szCs w:val="24"/>
          <w:lang w:val="zh-CN"/>
        </w:rPr>
        <w:t>1</w:t>
      </w:r>
      <w:r>
        <w:rPr>
          <w:rFonts w:hint="eastAsia" w:ascii="宋体" w:hAnsi="宋体" w:cs="宋体"/>
          <w:kern w:val="0"/>
          <w:szCs w:val="24"/>
          <w:lang w:val="zh-CN"/>
        </w:rPr>
        <w:t>项，鄞州区重大科技创新项目</w:t>
      </w:r>
      <w:r>
        <w:rPr>
          <w:rFonts w:eastAsia="Times New Roman"/>
          <w:kern w:val="0"/>
          <w:szCs w:val="24"/>
          <w:lang w:val="zh-CN"/>
        </w:rPr>
        <w:t>1</w:t>
      </w:r>
      <w:r>
        <w:rPr>
          <w:rFonts w:hint="eastAsia" w:ascii="宋体" w:hAnsi="宋体" w:cs="宋体"/>
          <w:kern w:val="0"/>
          <w:szCs w:val="24"/>
          <w:lang w:val="zh-CN"/>
        </w:rPr>
        <w:t>项。到目前为止，共获得</w:t>
      </w:r>
      <w:r>
        <w:rPr>
          <w:rFonts w:eastAsia="Times New Roman"/>
          <w:kern w:val="0"/>
          <w:szCs w:val="24"/>
          <w:lang w:val="zh-CN"/>
        </w:rPr>
        <w:t>46</w:t>
      </w:r>
      <w:r>
        <w:rPr>
          <w:rFonts w:hint="eastAsia" w:ascii="宋体" w:hAnsi="宋体" w:cs="宋体"/>
          <w:kern w:val="0"/>
          <w:szCs w:val="24"/>
          <w:lang w:val="zh-CN"/>
        </w:rPr>
        <w:t>项国家授权发明专利，</w:t>
      </w:r>
      <w:r>
        <w:rPr>
          <w:rFonts w:eastAsia="Times New Roman"/>
          <w:kern w:val="0"/>
          <w:szCs w:val="24"/>
          <w:lang w:val="zh-CN"/>
        </w:rPr>
        <w:t>38</w:t>
      </w:r>
      <w:r>
        <w:rPr>
          <w:rFonts w:hint="eastAsia" w:ascii="宋体" w:hAnsi="宋体" w:cs="宋体"/>
          <w:kern w:val="0"/>
          <w:szCs w:val="24"/>
          <w:lang w:val="zh-CN"/>
        </w:rPr>
        <w:t>项国家授权实用新型专利，</w:t>
      </w:r>
      <w:r>
        <w:rPr>
          <w:rFonts w:eastAsia="Times New Roman"/>
          <w:kern w:val="0"/>
          <w:szCs w:val="24"/>
          <w:lang w:val="zh-CN"/>
        </w:rPr>
        <w:t>6</w:t>
      </w:r>
      <w:r>
        <w:rPr>
          <w:rFonts w:hint="eastAsia" w:ascii="宋体" w:hAnsi="宋体" w:cs="宋体"/>
          <w:kern w:val="0"/>
          <w:szCs w:val="24"/>
          <w:lang w:val="zh-CN"/>
        </w:rPr>
        <w:t>项国家授权外观专利。先后在国内外刊物发表学术论文</w:t>
      </w:r>
      <w:r>
        <w:rPr>
          <w:rFonts w:eastAsia="Times New Roman"/>
          <w:kern w:val="0"/>
          <w:szCs w:val="24"/>
          <w:lang w:val="zh-CN"/>
        </w:rPr>
        <w:t>13</w:t>
      </w:r>
      <w:r>
        <w:rPr>
          <w:rFonts w:hint="eastAsia" w:ascii="宋体" w:hAnsi="宋体" w:cs="宋体"/>
          <w:kern w:val="0"/>
          <w:szCs w:val="24"/>
          <w:lang w:val="zh-CN"/>
        </w:rPr>
        <w:t>篇。</w:t>
      </w:r>
    </w:p>
    <w:p>
      <w:pPr>
        <w:autoSpaceDE w:val="0"/>
        <w:autoSpaceDN w:val="0"/>
        <w:adjustRightInd w:val="0"/>
        <w:spacing w:before="0" w:after="0"/>
        <w:jc w:val="left"/>
        <w:rPr>
          <w:rFonts w:eastAsia="Times New Roman"/>
          <w:kern w:val="0"/>
          <w:szCs w:val="24"/>
          <w:lang w:val="zh-CN"/>
        </w:rPr>
      </w:pPr>
      <w:r>
        <w:rPr>
          <w:rFonts w:hint="eastAsia" w:ascii="宋体" w:hAnsi="宋体" w:cs="宋体"/>
          <w:b/>
          <w:kern w:val="0"/>
          <w:szCs w:val="24"/>
          <w:lang w:val="zh-CN"/>
        </w:rPr>
        <w:t>卓红叶女士：</w:t>
      </w:r>
      <w:r>
        <w:rPr>
          <w:rFonts w:hint="eastAsia" w:ascii="宋体" w:hAnsi="宋体" w:cs="宋体"/>
          <w:kern w:val="0"/>
          <w:szCs w:val="24"/>
          <w:lang w:val="zh-CN"/>
        </w:rPr>
        <w:t>中国国籍，无境外永久居留权，</w:t>
      </w:r>
      <w:r>
        <w:rPr>
          <w:rFonts w:eastAsia="Times New Roman"/>
          <w:kern w:val="0"/>
          <w:szCs w:val="24"/>
          <w:lang w:val="zh-CN"/>
        </w:rPr>
        <w:t>1976</w:t>
      </w:r>
      <w:r>
        <w:rPr>
          <w:rFonts w:hint="eastAsia" w:ascii="宋体" w:hAnsi="宋体" w:cs="宋体"/>
          <w:kern w:val="0"/>
          <w:szCs w:val="24"/>
          <w:lang w:val="zh-CN"/>
        </w:rPr>
        <w:t>年出生，大学专科学历，中级会计师。</w:t>
      </w:r>
      <w:r>
        <w:rPr>
          <w:rFonts w:eastAsia="Times New Roman"/>
          <w:kern w:val="0"/>
          <w:szCs w:val="24"/>
          <w:lang w:val="zh-CN"/>
        </w:rPr>
        <w:t>1996</w:t>
      </w:r>
      <w:r>
        <w:rPr>
          <w:rFonts w:hint="eastAsia" w:ascii="宋体" w:hAnsi="宋体" w:cs="宋体"/>
          <w:kern w:val="0"/>
          <w:szCs w:val="24"/>
          <w:lang w:val="zh-CN"/>
        </w:rPr>
        <w:t>年</w:t>
      </w:r>
      <w:r>
        <w:rPr>
          <w:rFonts w:eastAsia="Times New Roman"/>
          <w:kern w:val="0"/>
          <w:szCs w:val="24"/>
          <w:lang w:val="zh-CN"/>
        </w:rPr>
        <w:t>7</w:t>
      </w:r>
      <w:r>
        <w:rPr>
          <w:rFonts w:hint="eastAsia" w:ascii="宋体" w:hAnsi="宋体" w:cs="宋体"/>
          <w:kern w:val="0"/>
          <w:szCs w:val="24"/>
          <w:lang w:val="zh-CN"/>
        </w:rPr>
        <w:t>月毕业于宁波高等专科学校，</w:t>
      </w:r>
      <w:r>
        <w:rPr>
          <w:rFonts w:eastAsia="Times New Roman"/>
          <w:kern w:val="0"/>
          <w:szCs w:val="24"/>
          <w:lang w:val="zh-CN"/>
        </w:rPr>
        <w:t>1996</w:t>
      </w:r>
      <w:r>
        <w:rPr>
          <w:rFonts w:hint="eastAsia" w:ascii="宋体" w:hAnsi="宋体" w:cs="宋体"/>
          <w:kern w:val="0"/>
          <w:szCs w:val="24"/>
          <w:lang w:val="zh-CN"/>
        </w:rPr>
        <w:t>年</w:t>
      </w:r>
      <w:r>
        <w:rPr>
          <w:rFonts w:eastAsia="Times New Roman"/>
          <w:kern w:val="0"/>
          <w:szCs w:val="24"/>
          <w:lang w:val="zh-CN"/>
        </w:rPr>
        <w:t>8</w:t>
      </w:r>
      <w:r>
        <w:rPr>
          <w:rFonts w:hint="eastAsia" w:ascii="宋体" w:hAnsi="宋体" w:cs="宋体"/>
          <w:kern w:val="0"/>
          <w:szCs w:val="24"/>
          <w:lang w:val="zh-CN"/>
        </w:rPr>
        <w:t>月至</w:t>
      </w:r>
      <w:r>
        <w:rPr>
          <w:rFonts w:eastAsia="Times New Roman"/>
          <w:kern w:val="0"/>
          <w:szCs w:val="24"/>
          <w:lang w:val="zh-CN"/>
        </w:rPr>
        <w:t>2000</w:t>
      </w:r>
      <w:r>
        <w:rPr>
          <w:rFonts w:hint="eastAsia" w:ascii="宋体" w:hAnsi="宋体" w:cs="宋体"/>
          <w:kern w:val="0"/>
          <w:szCs w:val="24"/>
          <w:lang w:val="zh-CN"/>
        </w:rPr>
        <w:t>年</w:t>
      </w:r>
      <w:r>
        <w:rPr>
          <w:rFonts w:eastAsia="Times New Roman"/>
          <w:kern w:val="0"/>
          <w:szCs w:val="24"/>
          <w:lang w:val="zh-CN"/>
        </w:rPr>
        <w:t>1</w:t>
      </w:r>
      <w:r>
        <w:rPr>
          <w:rFonts w:hint="eastAsia" w:ascii="宋体" w:hAnsi="宋体" w:cs="宋体"/>
          <w:kern w:val="0"/>
          <w:szCs w:val="24"/>
          <w:lang w:val="zh-CN"/>
        </w:rPr>
        <w:t>月就职于宁波益普资讯设备有限公司，担任会计；</w:t>
      </w:r>
      <w:r>
        <w:rPr>
          <w:rFonts w:eastAsia="Times New Roman"/>
          <w:kern w:val="0"/>
          <w:szCs w:val="24"/>
          <w:lang w:val="zh-CN"/>
        </w:rPr>
        <w:t>2000</w:t>
      </w:r>
      <w:r>
        <w:rPr>
          <w:rFonts w:hint="eastAsia" w:ascii="宋体" w:hAnsi="宋体" w:cs="宋体"/>
          <w:kern w:val="0"/>
          <w:szCs w:val="24"/>
          <w:lang w:val="zh-CN"/>
        </w:rPr>
        <w:t>年</w:t>
      </w:r>
      <w:r>
        <w:rPr>
          <w:rFonts w:eastAsia="Times New Roman"/>
          <w:kern w:val="0"/>
          <w:szCs w:val="24"/>
          <w:lang w:val="zh-CN"/>
        </w:rPr>
        <w:t>8</w:t>
      </w:r>
      <w:r>
        <w:rPr>
          <w:rFonts w:hint="eastAsia" w:ascii="宋体" w:hAnsi="宋体" w:cs="宋体"/>
          <w:kern w:val="0"/>
          <w:szCs w:val="24"/>
          <w:lang w:val="zh-CN"/>
        </w:rPr>
        <w:t>月至</w:t>
      </w:r>
      <w:r>
        <w:rPr>
          <w:rFonts w:eastAsia="Times New Roman"/>
          <w:kern w:val="0"/>
          <w:szCs w:val="24"/>
          <w:lang w:val="zh-CN"/>
        </w:rPr>
        <w:t>2005</w:t>
      </w:r>
      <w:r>
        <w:rPr>
          <w:rFonts w:hint="eastAsia" w:ascii="宋体" w:hAnsi="宋体" w:cs="宋体"/>
          <w:kern w:val="0"/>
          <w:szCs w:val="24"/>
          <w:lang w:val="zh-CN"/>
        </w:rPr>
        <w:t>年</w:t>
      </w:r>
      <w:r>
        <w:rPr>
          <w:rFonts w:eastAsia="Times New Roman"/>
          <w:kern w:val="0"/>
          <w:szCs w:val="24"/>
          <w:lang w:val="zh-CN"/>
        </w:rPr>
        <w:t>8</w:t>
      </w:r>
      <w:r>
        <w:rPr>
          <w:rFonts w:hint="eastAsia" w:ascii="宋体" w:hAnsi="宋体" w:cs="宋体"/>
          <w:kern w:val="0"/>
          <w:szCs w:val="24"/>
          <w:lang w:val="zh-CN"/>
        </w:rPr>
        <w:t>月就职于宁波倍速科技有限公司，担任财务部长。</w:t>
      </w:r>
      <w:r>
        <w:rPr>
          <w:rFonts w:eastAsia="Times New Roman"/>
          <w:kern w:val="0"/>
          <w:szCs w:val="24"/>
          <w:lang w:val="zh-CN"/>
        </w:rPr>
        <w:t>2005</w:t>
      </w:r>
      <w:r>
        <w:rPr>
          <w:rFonts w:hint="eastAsia" w:ascii="宋体" w:hAnsi="宋体" w:cs="宋体"/>
          <w:kern w:val="0"/>
          <w:szCs w:val="24"/>
          <w:lang w:val="zh-CN"/>
        </w:rPr>
        <w:t>年</w:t>
      </w:r>
      <w:r>
        <w:rPr>
          <w:rFonts w:eastAsia="Times New Roman"/>
          <w:kern w:val="0"/>
          <w:szCs w:val="24"/>
          <w:lang w:val="zh-CN"/>
        </w:rPr>
        <w:t>9</w:t>
      </w:r>
      <w:r>
        <w:rPr>
          <w:rFonts w:hint="eastAsia" w:ascii="宋体" w:hAnsi="宋体" w:cs="宋体"/>
          <w:kern w:val="0"/>
          <w:szCs w:val="24"/>
          <w:lang w:val="zh-CN"/>
        </w:rPr>
        <w:t>月至今就职于本公司，现担任本公司董事、财务部经理。</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（二）独立董事</w:t>
      </w:r>
    </w:p>
    <w:p>
      <w:pPr>
        <w:autoSpaceDE w:val="0"/>
        <w:autoSpaceDN w:val="0"/>
        <w:adjustRightInd w:val="0"/>
        <w:spacing w:before="0" w:after="0"/>
        <w:jc w:val="left"/>
        <w:rPr>
          <w:rFonts w:eastAsia="Times New Roman"/>
          <w:kern w:val="0"/>
          <w:szCs w:val="24"/>
          <w:lang w:val="zh-CN"/>
        </w:rPr>
      </w:pPr>
      <w:r>
        <w:rPr>
          <w:rFonts w:eastAsia="Times New Roman"/>
          <w:b/>
          <w:kern w:val="0"/>
          <w:szCs w:val="24"/>
          <w:lang w:val="zh-CN"/>
        </w:rPr>
        <w:t>Aimin Yan</w:t>
      </w:r>
      <w:r>
        <w:rPr>
          <w:rFonts w:hint="eastAsia" w:ascii="宋体" w:hAnsi="宋体" w:cs="宋体"/>
          <w:b/>
          <w:kern w:val="0"/>
          <w:szCs w:val="24"/>
          <w:lang w:val="zh-CN"/>
        </w:rPr>
        <w:t>先生：</w:t>
      </w:r>
      <w:r>
        <w:rPr>
          <w:rFonts w:eastAsia="Times New Roman"/>
          <w:kern w:val="0"/>
          <w:szCs w:val="24"/>
          <w:lang w:val="zh-CN"/>
        </w:rPr>
        <w:t>1956</w:t>
      </w:r>
      <w:r>
        <w:rPr>
          <w:rFonts w:hint="eastAsia" w:ascii="宋体" w:hAnsi="宋体" w:cs="宋体"/>
          <w:kern w:val="0"/>
          <w:szCs w:val="24"/>
          <w:lang w:val="zh-CN"/>
        </w:rPr>
        <w:t>年</w:t>
      </w:r>
      <w:r>
        <w:rPr>
          <w:rFonts w:eastAsia="Times New Roman"/>
          <w:kern w:val="0"/>
          <w:szCs w:val="24"/>
          <w:lang w:val="zh-CN"/>
        </w:rPr>
        <w:t>9</w:t>
      </w:r>
      <w:r>
        <w:rPr>
          <w:rFonts w:hint="eastAsia" w:ascii="宋体" w:hAnsi="宋体" w:cs="宋体"/>
          <w:kern w:val="0"/>
          <w:szCs w:val="24"/>
          <w:lang w:val="zh-CN"/>
        </w:rPr>
        <w:t>月出生，美国国籍，工商管理博士，先后毕业于上海机械学院自动化仪表专业和系统工程专业、美国滨州州立大学工商管理专业。</w:t>
      </w:r>
      <w:r>
        <w:rPr>
          <w:rFonts w:eastAsia="Times New Roman"/>
          <w:kern w:val="0"/>
          <w:szCs w:val="24"/>
          <w:lang w:val="zh-CN"/>
        </w:rPr>
        <w:t>1984</w:t>
      </w:r>
      <w:r>
        <w:rPr>
          <w:rFonts w:hint="eastAsia" w:ascii="宋体" w:hAnsi="宋体" w:cs="宋体"/>
          <w:kern w:val="0"/>
          <w:szCs w:val="24"/>
          <w:lang w:val="zh-CN"/>
        </w:rPr>
        <w:t>至</w:t>
      </w:r>
      <w:r>
        <w:rPr>
          <w:rFonts w:eastAsia="Times New Roman"/>
          <w:kern w:val="0"/>
          <w:szCs w:val="24"/>
          <w:lang w:val="zh-CN"/>
        </w:rPr>
        <w:t>1988</w:t>
      </w:r>
      <w:r>
        <w:rPr>
          <w:rFonts w:hint="eastAsia" w:ascii="宋体" w:hAnsi="宋体" w:cs="宋体"/>
          <w:kern w:val="0"/>
          <w:szCs w:val="24"/>
          <w:lang w:val="zh-CN"/>
        </w:rPr>
        <w:t>年在上海机械学院系统工程学院担任讲师、院长助理；</w:t>
      </w:r>
      <w:r>
        <w:rPr>
          <w:rFonts w:eastAsia="Times New Roman"/>
          <w:kern w:val="0"/>
          <w:szCs w:val="24"/>
          <w:lang w:val="zh-CN"/>
        </w:rPr>
        <w:t>1988</w:t>
      </w:r>
      <w:r>
        <w:rPr>
          <w:rFonts w:hint="eastAsia" w:ascii="宋体" w:hAnsi="宋体" w:cs="宋体"/>
          <w:kern w:val="0"/>
          <w:szCs w:val="24"/>
          <w:lang w:val="zh-CN"/>
        </w:rPr>
        <w:t>年至</w:t>
      </w:r>
      <w:r>
        <w:rPr>
          <w:rFonts w:eastAsia="Times New Roman"/>
          <w:kern w:val="0"/>
          <w:szCs w:val="24"/>
          <w:lang w:val="zh-CN"/>
        </w:rPr>
        <w:t>1993</w:t>
      </w:r>
      <w:r>
        <w:rPr>
          <w:rFonts w:hint="eastAsia" w:ascii="宋体" w:hAnsi="宋体" w:cs="宋体"/>
          <w:kern w:val="0"/>
          <w:szCs w:val="24"/>
          <w:lang w:val="zh-CN"/>
        </w:rPr>
        <w:t>年在美国滨州州立大学研究员；</w:t>
      </w:r>
      <w:r>
        <w:rPr>
          <w:rFonts w:eastAsia="Times New Roman"/>
          <w:kern w:val="0"/>
          <w:szCs w:val="24"/>
          <w:lang w:val="zh-CN"/>
        </w:rPr>
        <w:t>1993</w:t>
      </w:r>
      <w:r>
        <w:rPr>
          <w:rFonts w:hint="eastAsia" w:ascii="宋体" w:hAnsi="宋体" w:cs="宋体"/>
          <w:kern w:val="0"/>
          <w:szCs w:val="24"/>
          <w:lang w:val="zh-CN"/>
        </w:rPr>
        <w:t>年至</w:t>
      </w:r>
      <w:r>
        <w:rPr>
          <w:rFonts w:eastAsia="Times New Roman"/>
          <w:kern w:val="0"/>
          <w:szCs w:val="24"/>
          <w:lang w:val="zh-CN"/>
        </w:rPr>
        <w:t>2014</w:t>
      </w:r>
      <w:r>
        <w:rPr>
          <w:rFonts w:hint="eastAsia" w:ascii="宋体" w:hAnsi="宋体" w:cs="宋体"/>
          <w:kern w:val="0"/>
          <w:szCs w:val="24"/>
          <w:lang w:val="zh-CN"/>
        </w:rPr>
        <w:t>年在美国波士顿大学担任教授；</w:t>
      </w:r>
      <w:r>
        <w:rPr>
          <w:rFonts w:eastAsia="Times New Roman"/>
          <w:kern w:val="0"/>
          <w:szCs w:val="24"/>
          <w:lang w:val="zh-CN"/>
        </w:rPr>
        <w:t>2014</w:t>
      </w:r>
      <w:r>
        <w:rPr>
          <w:rFonts w:hint="eastAsia" w:ascii="宋体" w:hAnsi="宋体" w:cs="宋体"/>
          <w:kern w:val="0"/>
          <w:szCs w:val="24"/>
          <w:lang w:val="zh-CN"/>
        </w:rPr>
        <w:t>年至今在长江商学院担任教授、副院长。</w:t>
      </w:r>
      <w:r>
        <w:rPr>
          <w:rFonts w:eastAsia="Times New Roman"/>
          <w:kern w:val="0"/>
          <w:szCs w:val="24"/>
          <w:lang w:val="zh-CN"/>
        </w:rPr>
        <w:t>Aimin Yan</w:t>
      </w:r>
      <w:r>
        <w:rPr>
          <w:rFonts w:hint="eastAsia" w:ascii="宋体" w:hAnsi="宋体" w:cs="宋体"/>
          <w:kern w:val="0"/>
          <w:szCs w:val="24"/>
          <w:lang w:val="zh-CN"/>
        </w:rPr>
        <w:t>先生于</w:t>
      </w:r>
      <w:r>
        <w:rPr>
          <w:rFonts w:eastAsia="Times New Roman"/>
          <w:kern w:val="0"/>
          <w:szCs w:val="24"/>
          <w:lang w:val="zh-CN"/>
        </w:rPr>
        <w:t>2016</w:t>
      </w:r>
      <w:r>
        <w:rPr>
          <w:rFonts w:hint="eastAsia" w:ascii="宋体" w:hAnsi="宋体" w:cs="宋体"/>
          <w:kern w:val="0"/>
          <w:szCs w:val="24"/>
          <w:lang w:val="zh-CN"/>
        </w:rPr>
        <w:t>年</w:t>
      </w:r>
      <w:r>
        <w:rPr>
          <w:rFonts w:eastAsia="Times New Roman"/>
          <w:kern w:val="0"/>
          <w:szCs w:val="24"/>
          <w:lang w:val="zh-CN"/>
        </w:rPr>
        <w:t>6</w:t>
      </w:r>
      <w:r>
        <w:rPr>
          <w:rFonts w:hint="eastAsia" w:ascii="宋体" w:hAnsi="宋体" w:cs="宋体"/>
          <w:kern w:val="0"/>
          <w:szCs w:val="24"/>
          <w:lang w:val="zh-CN"/>
        </w:rPr>
        <w:t>月获得上海证券交易所颁发的独立董事资格证书。截至公告日，</w:t>
      </w:r>
      <w:r>
        <w:rPr>
          <w:rFonts w:eastAsia="Times New Roman"/>
          <w:kern w:val="0"/>
          <w:szCs w:val="24"/>
          <w:lang w:val="zh-CN"/>
        </w:rPr>
        <w:t>Aimin Yan</w:t>
      </w:r>
      <w:r>
        <w:rPr>
          <w:rFonts w:hint="eastAsia" w:ascii="宋体" w:hAnsi="宋体" w:cs="宋体"/>
          <w:kern w:val="0"/>
          <w:szCs w:val="24"/>
          <w:lang w:val="zh-CN"/>
        </w:rPr>
        <w:t>先生未持有公司股份，与公司控股股东、实际控制人及其他持有公司</w:t>
      </w:r>
      <w:r>
        <w:rPr>
          <w:rFonts w:eastAsia="Times New Roman"/>
          <w:kern w:val="0"/>
          <w:szCs w:val="24"/>
          <w:lang w:val="zh-CN"/>
        </w:rPr>
        <w:t>5%</w:t>
      </w:r>
      <w:r>
        <w:rPr>
          <w:rFonts w:hint="eastAsia" w:ascii="宋体" w:hAnsi="宋体" w:cs="宋体"/>
          <w:kern w:val="0"/>
          <w:szCs w:val="24"/>
          <w:lang w:val="zh-CN"/>
        </w:rPr>
        <w:t>以上股份的股东、及公司其他董事、监事、高级管理人员不存在关联关系；不存在《公司法》第一百四十六条规定的情形，不存在《深圳证券交易所创业板上市公司规范运作指引》第</w:t>
      </w:r>
      <w:r>
        <w:rPr>
          <w:rFonts w:eastAsia="Times New Roman"/>
          <w:kern w:val="0"/>
          <w:szCs w:val="24"/>
          <w:lang w:val="zh-CN"/>
        </w:rPr>
        <w:t>3.2.3</w:t>
      </w:r>
      <w:r>
        <w:rPr>
          <w:rFonts w:hint="eastAsia" w:ascii="宋体" w:hAnsi="宋体" w:cs="宋体"/>
          <w:kern w:val="0"/>
          <w:szCs w:val="24"/>
          <w:lang w:val="zh-CN"/>
        </w:rPr>
        <w:t>条所规定的情形；不存在受到中国证监会及其他有关部门的处罚和证券交易所惩戒的情形；不是失信被执行人。</w:t>
      </w:r>
    </w:p>
    <w:p>
      <w:pPr>
        <w:autoSpaceDE w:val="0"/>
        <w:autoSpaceDN w:val="0"/>
        <w:adjustRightInd w:val="0"/>
        <w:spacing w:before="0" w:after="0"/>
        <w:jc w:val="left"/>
        <w:rPr>
          <w:rFonts w:eastAsia="Times New Roman"/>
          <w:kern w:val="0"/>
          <w:szCs w:val="24"/>
          <w:lang w:val="zh-CN"/>
        </w:rPr>
      </w:pPr>
      <w:r>
        <w:rPr>
          <w:rFonts w:hint="eastAsia" w:ascii="宋体" w:hAnsi="宋体" w:cs="宋体"/>
          <w:b/>
          <w:kern w:val="0"/>
          <w:szCs w:val="24"/>
          <w:lang w:val="zh-CN"/>
        </w:rPr>
        <w:t>李成艾女士：</w:t>
      </w:r>
      <w:r>
        <w:rPr>
          <w:rFonts w:eastAsia="Times New Roman"/>
          <w:kern w:val="0"/>
          <w:szCs w:val="24"/>
          <w:lang w:val="zh-CN"/>
        </w:rPr>
        <w:t>1979</w:t>
      </w:r>
      <w:r>
        <w:rPr>
          <w:rFonts w:hint="eastAsia" w:ascii="宋体" w:hAnsi="宋体" w:cs="宋体"/>
          <w:kern w:val="0"/>
          <w:szCs w:val="24"/>
          <w:lang w:val="zh-CN"/>
        </w:rPr>
        <w:t>年</w:t>
      </w:r>
      <w:r>
        <w:rPr>
          <w:rFonts w:eastAsia="Times New Roman"/>
          <w:kern w:val="0"/>
          <w:szCs w:val="24"/>
          <w:lang w:val="zh-CN"/>
        </w:rPr>
        <w:t>9</w:t>
      </w:r>
      <w:r>
        <w:rPr>
          <w:rFonts w:hint="eastAsia" w:ascii="宋体" w:hAnsi="宋体" w:cs="宋体"/>
          <w:kern w:val="0"/>
          <w:szCs w:val="24"/>
          <w:lang w:val="zh-CN"/>
        </w:rPr>
        <w:t>月出生，中国国籍，无境外居留权。会计学硕士学位，先后毕业于湖北大学会计学本科、中南政法大学会计学硕士。现在中南政法大学攻读会计学博士学位。</w:t>
      </w:r>
      <w:r>
        <w:rPr>
          <w:rFonts w:eastAsia="Times New Roman"/>
          <w:kern w:val="0"/>
          <w:szCs w:val="24"/>
          <w:lang w:val="zh-CN"/>
        </w:rPr>
        <w:t>2005</w:t>
      </w:r>
      <w:r>
        <w:rPr>
          <w:rFonts w:hint="eastAsia" w:ascii="宋体" w:hAnsi="宋体" w:cs="宋体"/>
          <w:kern w:val="0"/>
          <w:szCs w:val="24"/>
          <w:lang w:val="zh-CN"/>
        </w:rPr>
        <w:t>年</w:t>
      </w:r>
      <w:r>
        <w:rPr>
          <w:rFonts w:eastAsia="Times New Roman"/>
          <w:kern w:val="0"/>
          <w:szCs w:val="24"/>
          <w:lang w:val="zh-CN"/>
        </w:rPr>
        <w:t>7</w:t>
      </w:r>
      <w:r>
        <w:rPr>
          <w:rFonts w:hint="eastAsia" w:ascii="宋体" w:hAnsi="宋体" w:cs="宋体"/>
          <w:kern w:val="0"/>
          <w:szCs w:val="24"/>
          <w:lang w:val="zh-CN"/>
        </w:rPr>
        <w:t>月至今在浙江万里学院教师、审计研究所副所长。先后发表了《基础会计学》、《西方会计学名著导读》、《</w:t>
      </w:r>
      <w:r>
        <w:rPr>
          <w:rFonts w:eastAsia="Times New Roman"/>
          <w:kern w:val="0"/>
          <w:szCs w:val="24"/>
          <w:lang w:val="zh-CN"/>
        </w:rPr>
        <w:t>“</w:t>
      </w:r>
      <w:r>
        <w:rPr>
          <w:rFonts w:hint="eastAsia" w:ascii="宋体" w:hAnsi="宋体" w:cs="宋体"/>
          <w:kern w:val="0"/>
          <w:szCs w:val="24"/>
          <w:lang w:val="zh-CN"/>
        </w:rPr>
        <w:t>构建政府环境审计博弈机制的思考</w:t>
      </w:r>
      <w:r>
        <w:rPr>
          <w:rFonts w:eastAsia="Times New Roman"/>
          <w:kern w:val="0"/>
          <w:szCs w:val="24"/>
          <w:lang w:val="zh-CN"/>
        </w:rPr>
        <w:t>”</w:t>
      </w:r>
      <w:r>
        <w:rPr>
          <w:rFonts w:hint="eastAsia" w:ascii="宋体" w:hAnsi="宋体" w:cs="宋体"/>
          <w:kern w:val="0"/>
          <w:szCs w:val="24"/>
          <w:lang w:val="zh-CN"/>
        </w:rPr>
        <w:t>》等著作。目前兼任浙江飞扬国际旅游集团股份有限公司独立董事、慈星股份有限公司独立董事。李成艾女士于</w:t>
      </w:r>
      <w:r>
        <w:rPr>
          <w:rFonts w:eastAsia="Times New Roman"/>
          <w:kern w:val="0"/>
          <w:szCs w:val="24"/>
          <w:lang w:val="zh-CN"/>
        </w:rPr>
        <w:t>2017</w:t>
      </w:r>
      <w:r>
        <w:rPr>
          <w:rFonts w:hint="eastAsia" w:ascii="宋体" w:hAnsi="宋体" w:cs="宋体"/>
          <w:kern w:val="0"/>
          <w:szCs w:val="24"/>
          <w:lang w:val="zh-CN"/>
        </w:rPr>
        <w:t>年</w:t>
      </w:r>
      <w:r>
        <w:rPr>
          <w:rFonts w:eastAsia="Times New Roman"/>
          <w:kern w:val="0"/>
          <w:szCs w:val="24"/>
          <w:lang w:val="zh-CN"/>
        </w:rPr>
        <w:t>3</w:t>
      </w:r>
      <w:r>
        <w:rPr>
          <w:rFonts w:hint="eastAsia" w:ascii="宋体" w:hAnsi="宋体" w:cs="宋体"/>
          <w:kern w:val="0"/>
          <w:szCs w:val="24"/>
          <w:lang w:val="zh-CN"/>
        </w:rPr>
        <w:t>月获得深圳证券交易所颁发的独立董事资格证书。截至公告日，李成艾女士未持有公司股份，与公司控股股东、实际控制人及其他持有公司</w:t>
      </w:r>
      <w:r>
        <w:rPr>
          <w:rFonts w:eastAsia="Times New Roman"/>
          <w:kern w:val="0"/>
          <w:szCs w:val="24"/>
          <w:lang w:val="zh-CN"/>
        </w:rPr>
        <w:t>5%</w:t>
      </w:r>
      <w:r>
        <w:rPr>
          <w:rFonts w:hint="eastAsia" w:ascii="宋体" w:hAnsi="宋体" w:cs="宋体"/>
          <w:kern w:val="0"/>
          <w:szCs w:val="24"/>
          <w:lang w:val="zh-CN"/>
        </w:rPr>
        <w:t>以上股份的股东、及公司其他董事、监事、高级管理人员不存在关联关系；不存在《公司法》第一百四十六条规定的情形，不存在《深圳证券交易所创业板上市公司规范运作指引》第</w:t>
      </w:r>
      <w:r>
        <w:rPr>
          <w:rFonts w:eastAsia="Times New Roman"/>
          <w:kern w:val="0"/>
          <w:szCs w:val="24"/>
          <w:lang w:val="zh-CN"/>
        </w:rPr>
        <w:t>3.2.3</w:t>
      </w:r>
      <w:r>
        <w:rPr>
          <w:rFonts w:hint="eastAsia" w:ascii="宋体" w:hAnsi="宋体" w:cs="宋体"/>
          <w:kern w:val="0"/>
          <w:szCs w:val="24"/>
          <w:lang w:val="zh-CN"/>
        </w:rPr>
        <w:t>条所规定的情形；不存在受到中国证监会及其他有关部门的处罚和证券交易所惩戒的情形；不是失信被执行人。</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（三）监事</w:t>
      </w:r>
    </w:p>
    <w:p>
      <w:pPr>
        <w:autoSpaceDE w:val="0"/>
        <w:autoSpaceDN w:val="0"/>
        <w:adjustRightInd w:val="0"/>
        <w:spacing w:before="0" w:after="0"/>
        <w:jc w:val="left"/>
        <w:rPr>
          <w:rFonts w:eastAsia="Times New Roman"/>
          <w:kern w:val="0"/>
          <w:szCs w:val="24"/>
          <w:lang w:val="zh-CN"/>
        </w:rPr>
      </w:pPr>
      <w:r>
        <w:rPr>
          <w:rFonts w:hint="eastAsia" w:ascii="宋体" w:hAnsi="宋体" w:cs="宋体"/>
          <w:b/>
          <w:kern w:val="0"/>
          <w:szCs w:val="24"/>
          <w:lang w:val="zh-CN"/>
        </w:rPr>
        <w:t>吴立山先生：</w:t>
      </w:r>
      <w:r>
        <w:rPr>
          <w:rFonts w:hint="eastAsia" w:ascii="宋体" w:hAnsi="宋体" w:cs="宋体"/>
          <w:kern w:val="0"/>
          <w:szCs w:val="24"/>
          <w:lang w:val="zh-CN"/>
        </w:rPr>
        <w:t>中国国籍，无境外永久居留权，</w:t>
      </w:r>
      <w:r>
        <w:rPr>
          <w:rFonts w:eastAsia="Times New Roman"/>
          <w:kern w:val="0"/>
          <w:szCs w:val="24"/>
          <w:lang w:val="zh-CN"/>
        </w:rPr>
        <w:t>1982</w:t>
      </w:r>
      <w:r>
        <w:rPr>
          <w:rFonts w:hint="eastAsia" w:ascii="宋体" w:hAnsi="宋体" w:cs="宋体"/>
          <w:kern w:val="0"/>
          <w:szCs w:val="24"/>
          <w:lang w:val="zh-CN"/>
        </w:rPr>
        <w:t>年出生，研究生学历，硕士学位。</w:t>
      </w:r>
      <w:r>
        <w:rPr>
          <w:rFonts w:eastAsia="Times New Roman"/>
          <w:kern w:val="0"/>
          <w:szCs w:val="24"/>
          <w:lang w:val="zh-CN"/>
        </w:rPr>
        <w:t>2004</w:t>
      </w:r>
      <w:r>
        <w:rPr>
          <w:rFonts w:hint="eastAsia" w:ascii="宋体" w:hAnsi="宋体" w:cs="宋体"/>
          <w:kern w:val="0"/>
          <w:szCs w:val="24"/>
          <w:lang w:val="zh-CN"/>
        </w:rPr>
        <w:t>年</w:t>
      </w:r>
      <w:r>
        <w:rPr>
          <w:rFonts w:eastAsia="Times New Roman"/>
          <w:kern w:val="0"/>
          <w:szCs w:val="24"/>
          <w:lang w:val="zh-CN"/>
        </w:rPr>
        <w:t>7</w:t>
      </w:r>
      <w:r>
        <w:rPr>
          <w:rFonts w:hint="eastAsia" w:ascii="宋体" w:hAnsi="宋体" w:cs="宋体"/>
          <w:kern w:val="0"/>
          <w:szCs w:val="24"/>
          <w:lang w:val="zh-CN"/>
        </w:rPr>
        <w:t>月毕业于宁波大学生物科学专业，</w:t>
      </w:r>
      <w:r>
        <w:rPr>
          <w:rFonts w:eastAsia="Times New Roman"/>
          <w:kern w:val="0"/>
          <w:szCs w:val="24"/>
          <w:lang w:val="zh-CN"/>
        </w:rPr>
        <w:t>2007</w:t>
      </w:r>
      <w:r>
        <w:rPr>
          <w:rFonts w:hint="eastAsia" w:ascii="宋体" w:hAnsi="宋体" w:cs="宋体"/>
          <w:kern w:val="0"/>
          <w:szCs w:val="24"/>
          <w:lang w:val="zh-CN"/>
        </w:rPr>
        <w:t>年</w:t>
      </w:r>
      <w:r>
        <w:rPr>
          <w:rFonts w:eastAsia="Times New Roman"/>
          <w:kern w:val="0"/>
          <w:szCs w:val="24"/>
          <w:lang w:val="zh-CN"/>
        </w:rPr>
        <w:t>3</w:t>
      </w:r>
      <w:r>
        <w:rPr>
          <w:rFonts w:hint="eastAsia" w:ascii="宋体" w:hAnsi="宋体" w:cs="宋体"/>
          <w:kern w:val="0"/>
          <w:szCs w:val="24"/>
          <w:lang w:val="zh-CN"/>
        </w:rPr>
        <w:t>月获得宁波大学海洋生物学专业硕士学位。</w:t>
      </w:r>
      <w:r>
        <w:rPr>
          <w:rFonts w:eastAsia="Times New Roman"/>
          <w:kern w:val="0"/>
          <w:szCs w:val="24"/>
          <w:lang w:val="zh-CN"/>
        </w:rPr>
        <w:t>2007</w:t>
      </w:r>
      <w:r>
        <w:rPr>
          <w:rFonts w:hint="eastAsia" w:ascii="宋体" w:hAnsi="宋体" w:cs="宋体"/>
          <w:kern w:val="0"/>
          <w:szCs w:val="24"/>
          <w:lang w:val="zh-CN"/>
        </w:rPr>
        <w:t>年</w:t>
      </w:r>
      <w:r>
        <w:rPr>
          <w:rFonts w:eastAsia="Times New Roman"/>
          <w:kern w:val="0"/>
          <w:szCs w:val="24"/>
          <w:lang w:val="zh-CN"/>
        </w:rPr>
        <w:t>7</w:t>
      </w:r>
      <w:r>
        <w:rPr>
          <w:rFonts w:hint="eastAsia" w:ascii="宋体" w:hAnsi="宋体" w:cs="宋体"/>
          <w:kern w:val="0"/>
          <w:szCs w:val="24"/>
          <w:lang w:val="zh-CN"/>
        </w:rPr>
        <w:t>月至今就职于本公司，现担任本公司监事会主席、医学检验部技术副总监。</w:t>
      </w:r>
    </w:p>
    <w:p>
      <w:pPr>
        <w:autoSpaceDE w:val="0"/>
        <w:autoSpaceDN w:val="0"/>
        <w:adjustRightInd w:val="0"/>
        <w:spacing w:before="0" w:after="0"/>
        <w:jc w:val="left"/>
        <w:rPr>
          <w:rFonts w:eastAsia="Times New Roman"/>
          <w:kern w:val="0"/>
          <w:szCs w:val="24"/>
          <w:lang w:val="zh-CN"/>
        </w:rPr>
      </w:pPr>
      <w:r>
        <w:rPr>
          <w:rFonts w:hint="eastAsia" w:ascii="宋体" w:hAnsi="宋体" w:cs="宋体"/>
          <w:b/>
          <w:kern w:val="0"/>
          <w:szCs w:val="24"/>
          <w:lang w:val="zh-CN"/>
        </w:rPr>
        <w:t>贾江花女士：</w:t>
      </w:r>
      <w:r>
        <w:rPr>
          <w:rFonts w:hint="eastAsia" w:ascii="宋体" w:hAnsi="宋体" w:cs="宋体"/>
          <w:kern w:val="0"/>
          <w:szCs w:val="24"/>
          <w:lang w:val="zh-CN"/>
        </w:rPr>
        <w:t>中国国籍，无境外永久居留权，</w:t>
      </w:r>
      <w:r>
        <w:rPr>
          <w:rFonts w:eastAsia="Times New Roman"/>
          <w:kern w:val="0"/>
          <w:szCs w:val="24"/>
          <w:lang w:val="zh-CN"/>
        </w:rPr>
        <w:t>1985</w:t>
      </w:r>
      <w:r>
        <w:rPr>
          <w:rFonts w:hint="eastAsia" w:ascii="宋体" w:hAnsi="宋体" w:cs="宋体"/>
          <w:kern w:val="0"/>
          <w:szCs w:val="24"/>
          <w:lang w:val="zh-CN"/>
        </w:rPr>
        <w:t>年出生，研究生学历，硕士学位。</w:t>
      </w:r>
      <w:r>
        <w:rPr>
          <w:rFonts w:eastAsia="Times New Roman"/>
          <w:kern w:val="0"/>
          <w:szCs w:val="24"/>
          <w:lang w:val="zh-CN"/>
        </w:rPr>
        <w:t>2007</w:t>
      </w:r>
      <w:r>
        <w:rPr>
          <w:rFonts w:hint="eastAsia" w:ascii="宋体" w:hAnsi="宋体" w:cs="宋体"/>
          <w:kern w:val="0"/>
          <w:szCs w:val="24"/>
          <w:lang w:val="zh-CN"/>
        </w:rPr>
        <w:t>年</w:t>
      </w:r>
      <w:r>
        <w:rPr>
          <w:rFonts w:eastAsia="Times New Roman"/>
          <w:kern w:val="0"/>
          <w:szCs w:val="24"/>
          <w:lang w:val="zh-CN"/>
        </w:rPr>
        <w:t>6</w:t>
      </w:r>
      <w:r>
        <w:rPr>
          <w:rFonts w:hint="eastAsia" w:ascii="宋体" w:hAnsi="宋体" w:cs="宋体"/>
          <w:kern w:val="0"/>
          <w:szCs w:val="24"/>
          <w:lang w:val="zh-CN"/>
        </w:rPr>
        <w:t>月毕业于山西农业大学生物工程专业，</w:t>
      </w:r>
      <w:r>
        <w:rPr>
          <w:rFonts w:eastAsia="Times New Roman"/>
          <w:kern w:val="0"/>
          <w:szCs w:val="24"/>
          <w:lang w:val="zh-CN"/>
        </w:rPr>
        <w:t>2009</w:t>
      </w:r>
      <w:r>
        <w:rPr>
          <w:rFonts w:hint="eastAsia" w:ascii="宋体" w:hAnsi="宋体" w:cs="宋体"/>
          <w:kern w:val="0"/>
          <w:szCs w:val="24"/>
          <w:lang w:val="zh-CN"/>
        </w:rPr>
        <w:t>年</w:t>
      </w:r>
      <w:r>
        <w:rPr>
          <w:rFonts w:eastAsia="Times New Roman"/>
          <w:kern w:val="0"/>
          <w:szCs w:val="24"/>
          <w:lang w:val="zh-CN"/>
        </w:rPr>
        <w:t>6</w:t>
      </w:r>
      <w:r>
        <w:rPr>
          <w:rFonts w:hint="eastAsia" w:ascii="宋体" w:hAnsi="宋体" w:cs="宋体"/>
          <w:kern w:val="0"/>
          <w:szCs w:val="24"/>
          <w:lang w:val="zh-CN"/>
        </w:rPr>
        <w:t>月获得江南大学食品科学专业硕士学位。</w:t>
      </w:r>
      <w:r>
        <w:rPr>
          <w:rFonts w:eastAsia="Times New Roman"/>
          <w:kern w:val="0"/>
          <w:szCs w:val="24"/>
          <w:lang w:val="zh-CN"/>
        </w:rPr>
        <w:t>2009</w:t>
      </w:r>
      <w:r>
        <w:rPr>
          <w:rFonts w:hint="eastAsia" w:ascii="宋体" w:hAnsi="宋体" w:cs="宋体"/>
          <w:kern w:val="0"/>
          <w:szCs w:val="24"/>
          <w:lang w:val="zh-CN"/>
        </w:rPr>
        <w:t>年</w:t>
      </w:r>
      <w:r>
        <w:rPr>
          <w:rFonts w:eastAsia="Times New Roman"/>
          <w:kern w:val="0"/>
          <w:szCs w:val="24"/>
          <w:lang w:val="zh-CN"/>
        </w:rPr>
        <w:t>5</w:t>
      </w:r>
      <w:r>
        <w:rPr>
          <w:rFonts w:hint="eastAsia" w:ascii="宋体" w:hAnsi="宋体" w:cs="宋体"/>
          <w:kern w:val="0"/>
          <w:szCs w:val="24"/>
          <w:lang w:val="zh-CN"/>
        </w:rPr>
        <w:t>月至今就职于本公司，现担任本公司监事、试剂研发副总监。贾江花女士于</w:t>
      </w:r>
      <w:r>
        <w:rPr>
          <w:rFonts w:eastAsia="Times New Roman"/>
          <w:kern w:val="0"/>
          <w:szCs w:val="24"/>
          <w:lang w:val="zh-CN"/>
        </w:rPr>
        <w:t>2007</w:t>
      </w:r>
      <w:r>
        <w:rPr>
          <w:rFonts w:hint="eastAsia" w:ascii="宋体" w:hAnsi="宋体" w:cs="宋体"/>
          <w:kern w:val="0"/>
          <w:szCs w:val="24"/>
          <w:lang w:val="zh-CN"/>
        </w:rPr>
        <w:t>年至</w:t>
      </w:r>
      <w:r>
        <w:rPr>
          <w:rFonts w:eastAsia="Times New Roman"/>
          <w:kern w:val="0"/>
          <w:szCs w:val="24"/>
          <w:lang w:val="zh-CN"/>
        </w:rPr>
        <w:t>2009</w:t>
      </w:r>
      <w:r>
        <w:rPr>
          <w:rFonts w:hint="eastAsia" w:ascii="宋体" w:hAnsi="宋体" w:cs="宋体"/>
          <w:kern w:val="0"/>
          <w:szCs w:val="24"/>
          <w:lang w:val="zh-CN"/>
        </w:rPr>
        <w:t>年参与国家自然科学基金（</w:t>
      </w:r>
      <w:r>
        <w:rPr>
          <w:rFonts w:eastAsia="Times New Roman"/>
          <w:kern w:val="0"/>
          <w:szCs w:val="24"/>
          <w:lang w:val="zh-CN"/>
        </w:rPr>
        <w:t>20436020</w:t>
      </w:r>
      <w:r>
        <w:rPr>
          <w:rFonts w:hint="eastAsia" w:ascii="宋体" w:hAnsi="宋体" w:cs="宋体"/>
          <w:kern w:val="0"/>
          <w:szCs w:val="24"/>
          <w:lang w:val="zh-CN"/>
        </w:rPr>
        <w:t>）生物防腐剂苯乳酸课题中产苯乳酸酶</w:t>
      </w:r>
      <w:r>
        <w:rPr>
          <w:rFonts w:eastAsia="Times New Roman"/>
          <w:kern w:val="0"/>
          <w:szCs w:val="24"/>
          <w:lang w:val="zh-CN"/>
        </w:rPr>
        <w:t>-</w:t>
      </w:r>
      <w:r>
        <w:rPr>
          <w:rFonts w:hint="eastAsia" w:ascii="宋体" w:hAnsi="宋体" w:cs="宋体"/>
          <w:kern w:val="0"/>
          <w:szCs w:val="24"/>
          <w:lang w:val="zh-CN"/>
        </w:rPr>
        <w:t>重组乳酸脱氢酶的研究；</w:t>
      </w:r>
      <w:r>
        <w:rPr>
          <w:rFonts w:eastAsia="Times New Roman"/>
          <w:kern w:val="0"/>
          <w:szCs w:val="24"/>
          <w:lang w:val="zh-CN"/>
        </w:rPr>
        <w:t>2009</w:t>
      </w:r>
      <w:r>
        <w:rPr>
          <w:rFonts w:hint="eastAsia" w:ascii="宋体" w:hAnsi="宋体" w:cs="宋体"/>
          <w:kern w:val="0"/>
          <w:szCs w:val="24"/>
          <w:lang w:val="zh-CN"/>
        </w:rPr>
        <w:t>年至今，主持了</w:t>
      </w:r>
      <w:r>
        <w:rPr>
          <w:rFonts w:eastAsia="Times New Roman"/>
          <w:kern w:val="0"/>
          <w:szCs w:val="24"/>
          <w:lang w:val="zh-CN"/>
        </w:rPr>
        <w:t>K</w:t>
      </w:r>
      <w:r>
        <w:rPr>
          <w:rFonts w:hint="eastAsia" w:ascii="宋体" w:hAnsi="宋体" w:cs="宋体"/>
          <w:kern w:val="0"/>
          <w:szCs w:val="24"/>
          <w:lang w:val="zh-CN"/>
        </w:rPr>
        <w:t>、</w:t>
      </w:r>
      <w:r>
        <w:rPr>
          <w:rFonts w:eastAsia="Times New Roman"/>
          <w:kern w:val="0"/>
          <w:szCs w:val="24"/>
          <w:lang w:val="zh-CN"/>
        </w:rPr>
        <w:t>Na</w:t>
      </w:r>
      <w:r>
        <w:rPr>
          <w:rFonts w:hint="eastAsia" w:ascii="宋体" w:hAnsi="宋体" w:cs="宋体"/>
          <w:kern w:val="0"/>
          <w:szCs w:val="24"/>
          <w:lang w:val="zh-CN"/>
        </w:rPr>
        <w:t>、</w:t>
      </w:r>
      <w:r>
        <w:rPr>
          <w:rFonts w:eastAsia="Times New Roman"/>
          <w:kern w:val="0"/>
          <w:szCs w:val="24"/>
          <w:lang w:val="zh-CN"/>
        </w:rPr>
        <w:t>G6PD</w:t>
      </w:r>
      <w:r>
        <w:rPr>
          <w:rFonts w:hint="eastAsia" w:ascii="宋体" w:hAnsi="宋体" w:cs="宋体"/>
          <w:kern w:val="0"/>
          <w:szCs w:val="24"/>
          <w:lang w:val="zh-CN"/>
        </w:rPr>
        <w:t>、</w:t>
      </w:r>
      <w:r>
        <w:rPr>
          <w:rFonts w:eastAsia="Times New Roman"/>
          <w:kern w:val="0"/>
          <w:szCs w:val="24"/>
          <w:lang w:val="zh-CN"/>
        </w:rPr>
        <w:t>NEFA</w:t>
      </w:r>
      <w:r>
        <w:rPr>
          <w:rFonts w:hint="eastAsia" w:ascii="宋体" w:hAnsi="宋体" w:cs="宋体"/>
          <w:kern w:val="0"/>
          <w:szCs w:val="24"/>
          <w:lang w:val="zh-CN"/>
        </w:rPr>
        <w:t>、</w:t>
      </w:r>
      <w:r>
        <w:rPr>
          <w:rFonts w:eastAsia="Times New Roman"/>
          <w:kern w:val="0"/>
          <w:szCs w:val="24"/>
          <w:lang w:val="zh-CN"/>
        </w:rPr>
        <w:t>P-AMY</w:t>
      </w:r>
      <w:r>
        <w:rPr>
          <w:rFonts w:hint="eastAsia" w:ascii="宋体" w:hAnsi="宋体" w:cs="宋体"/>
          <w:kern w:val="0"/>
          <w:szCs w:val="24"/>
          <w:lang w:val="zh-CN"/>
        </w:rPr>
        <w:t>等多项临床诊断试剂盒的研发以及</w:t>
      </w:r>
      <w:r>
        <w:rPr>
          <w:rFonts w:eastAsia="Times New Roman"/>
          <w:kern w:val="0"/>
          <w:szCs w:val="24"/>
          <w:lang w:val="zh-CN"/>
        </w:rPr>
        <w:t>NEFA</w:t>
      </w:r>
      <w:r>
        <w:rPr>
          <w:rFonts w:hint="eastAsia" w:ascii="宋体" w:hAnsi="宋体" w:cs="宋体"/>
          <w:kern w:val="0"/>
          <w:szCs w:val="24"/>
          <w:lang w:val="zh-CN"/>
        </w:rPr>
        <w:t>试剂盒中的乙酰辅酶</w:t>
      </w:r>
      <w:r>
        <w:rPr>
          <w:rFonts w:eastAsia="Times New Roman"/>
          <w:kern w:val="0"/>
          <w:szCs w:val="24"/>
          <w:lang w:val="zh-CN"/>
        </w:rPr>
        <w:t>A</w:t>
      </w:r>
      <w:r>
        <w:rPr>
          <w:rFonts w:hint="eastAsia" w:ascii="宋体" w:hAnsi="宋体" w:cs="宋体"/>
          <w:kern w:val="0"/>
          <w:szCs w:val="24"/>
          <w:lang w:val="zh-CN"/>
        </w:rPr>
        <w:t>合成酶及乙酰辅酶</w:t>
      </w:r>
      <w:r>
        <w:rPr>
          <w:rFonts w:eastAsia="Times New Roman"/>
          <w:kern w:val="0"/>
          <w:szCs w:val="24"/>
          <w:lang w:val="zh-CN"/>
        </w:rPr>
        <w:t>A</w:t>
      </w:r>
      <w:r>
        <w:rPr>
          <w:rFonts w:hint="eastAsia" w:ascii="宋体" w:hAnsi="宋体" w:cs="宋体"/>
          <w:kern w:val="0"/>
          <w:szCs w:val="24"/>
          <w:lang w:val="zh-CN"/>
        </w:rPr>
        <w:t>氧化酶、唾液酸（</w:t>
      </w:r>
      <w:r>
        <w:rPr>
          <w:rFonts w:eastAsia="Times New Roman"/>
          <w:kern w:val="0"/>
          <w:szCs w:val="24"/>
          <w:lang w:val="zh-CN"/>
        </w:rPr>
        <w:t>SA</w:t>
      </w:r>
      <w:r>
        <w:rPr>
          <w:rFonts w:hint="eastAsia" w:ascii="宋体" w:hAnsi="宋体" w:cs="宋体"/>
          <w:kern w:val="0"/>
          <w:szCs w:val="24"/>
          <w:lang w:val="zh-CN"/>
        </w:rPr>
        <w:t>）试剂盒中的神经氨酸苷酶及神经氨酸缩酶等多种临床诊断用酶的制备技术的研究；现已公开发表论文</w:t>
      </w:r>
      <w:r>
        <w:rPr>
          <w:rFonts w:eastAsia="Times New Roman"/>
          <w:kern w:val="0"/>
          <w:szCs w:val="24"/>
          <w:lang w:val="zh-CN"/>
        </w:rPr>
        <w:t>11</w:t>
      </w:r>
      <w:r>
        <w:rPr>
          <w:rFonts w:hint="eastAsia" w:ascii="宋体" w:hAnsi="宋体" w:cs="宋体"/>
          <w:kern w:val="0"/>
          <w:szCs w:val="24"/>
          <w:lang w:val="zh-CN"/>
        </w:rPr>
        <w:t>篇，授权发明专利</w:t>
      </w:r>
      <w:r>
        <w:rPr>
          <w:rFonts w:eastAsia="Times New Roman"/>
          <w:kern w:val="0"/>
          <w:szCs w:val="24"/>
          <w:lang w:val="zh-CN"/>
        </w:rPr>
        <w:t>17</w:t>
      </w:r>
      <w:r>
        <w:rPr>
          <w:rFonts w:hint="eastAsia" w:ascii="宋体" w:hAnsi="宋体" w:cs="宋体"/>
          <w:kern w:val="0"/>
          <w:szCs w:val="24"/>
          <w:lang w:val="zh-CN"/>
        </w:rPr>
        <w:t>项。</w:t>
      </w:r>
    </w:p>
    <w:p>
      <w:pPr>
        <w:autoSpaceDE w:val="0"/>
        <w:autoSpaceDN w:val="0"/>
        <w:adjustRightInd w:val="0"/>
        <w:spacing w:before="0" w:after="0"/>
        <w:jc w:val="left"/>
        <w:rPr>
          <w:rFonts w:eastAsia="Times New Roman"/>
          <w:kern w:val="0"/>
          <w:szCs w:val="24"/>
          <w:lang w:val="zh-CN"/>
        </w:rPr>
      </w:pPr>
      <w:r>
        <w:rPr>
          <w:rFonts w:hint="eastAsia" w:ascii="宋体" w:hAnsi="宋体" w:cs="宋体"/>
          <w:b/>
          <w:kern w:val="0"/>
          <w:szCs w:val="24"/>
          <w:lang w:val="zh-CN"/>
        </w:rPr>
        <w:t>宋健先生：</w:t>
      </w:r>
      <w:r>
        <w:rPr>
          <w:rFonts w:hint="eastAsia" w:ascii="宋体" w:hAnsi="宋体" w:cs="宋体"/>
          <w:kern w:val="0"/>
          <w:szCs w:val="24"/>
          <w:lang w:val="zh-CN"/>
        </w:rPr>
        <w:t>中国国籍，无境外永久居留权，</w:t>
      </w:r>
      <w:r>
        <w:rPr>
          <w:rFonts w:eastAsia="Times New Roman"/>
          <w:kern w:val="0"/>
          <w:szCs w:val="24"/>
          <w:lang w:val="zh-CN"/>
        </w:rPr>
        <w:t>1982</w:t>
      </w:r>
      <w:r>
        <w:rPr>
          <w:rFonts w:hint="eastAsia" w:ascii="宋体" w:hAnsi="宋体" w:cs="宋体"/>
          <w:kern w:val="0"/>
          <w:szCs w:val="24"/>
          <w:lang w:val="zh-CN"/>
        </w:rPr>
        <w:t>年出生，本科学历。</w:t>
      </w:r>
      <w:r>
        <w:rPr>
          <w:rFonts w:eastAsia="Times New Roman"/>
          <w:kern w:val="0"/>
          <w:szCs w:val="24"/>
          <w:lang w:val="zh-CN"/>
        </w:rPr>
        <w:t>2009</w:t>
      </w:r>
      <w:r>
        <w:rPr>
          <w:rFonts w:hint="eastAsia" w:ascii="宋体" w:hAnsi="宋体" w:cs="宋体"/>
          <w:kern w:val="0"/>
          <w:szCs w:val="24"/>
          <w:lang w:val="zh-CN"/>
        </w:rPr>
        <w:t>年至</w:t>
      </w:r>
      <w:r>
        <w:rPr>
          <w:rFonts w:eastAsia="Times New Roman"/>
          <w:kern w:val="0"/>
          <w:szCs w:val="24"/>
          <w:lang w:val="zh-CN"/>
        </w:rPr>
        <w:t>2016</w:t>
      </w:r>
      <w:r>
        <w:rPr>
          <w:rFonts w:hint="eastAsia" w:ascii="宋体" w:hAnsi="宋体" w:cs="宋体"/>
          <w:kern w:val="0"/>
          <w:szCs w:val="24"/>
          <w:lang w:val="zh-CN"/>
        </w:rPr>
        <w:t>年</w:t>
      </w:r>
      <w:r>
        <w:rPr>
          <w:rFonts w:eastAsia="Times New Roman"/>
          <w:kern w:val="0"/>
          <w:szCs w:val="24"/>
          <w:lang w:val="zh-CN"/>
        </w:rPr>
        <w:t>3</w:t>
      </w:r>
      <w:r>
        <w:rPr>
          <w:rFonts w:hint="eastAsia" w:ascii="宋体" w:hAnsi="宋体" w:cs="宋体"/>
          <w:kern w:val="0"/>
          <w:szCs w:val="24"/>
          <w:lang w:val="zh-CN"/>
        </w:rPr>
        <w:t>月任宁波妈咪宝婴童用品制造有限公司财务部财务经理。</w:t>
      </w:r>
      <w:r>
        <w:rPr>
          <w:rFonts w:eastAsia="Times New Roman"/>
          <w:kern w:val="0"/>
          <w:szCs w:val="24"/>
          <w:lang w:val="zh-CN"/>
        </w:rPr>
        <w:t>2016</w:t>
      </w:r>
      <w:r>
        <w:rPr>
          <w:rFonts w:hint="eastAsia" w:ascii="宋体" w:hAnsi="宋体" w:cs="宋体"/>
          <w:kern w:val="0"/>
          <w:szCs w:val="24"/>
          <w:lang w:val="zh-CN"/>
        </w:rPr>
        <w:t>年</w:t>
      </w:r>
      <w:r>
        <w:rPr>
          <w:rFonts w:eastAsia="Times New Roman"/>
          <w:kern w:val="0"/>
          <w:szCs w:val="24"/>
          <w:lang w:val="zh-CN"/>
        </w:rPr>
        <w:t>4</w:t>
      </w:r>
      <w:r>
        <w:rPr>
          <w:rFonts w:hint="eastAsia" w:ascii="宋体" w:hAnsi="宋体" w:cs="宋体"/>
          <w:kern w:val="0"/>
          <w:szCs w:val="24"/>
          <w:lang w:val="zh-CN"/>
        </w:rPr>
        <w:t>月起就职于本公司，现担任本公司职工监事、财务部财务经理。</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（四）高级管理人员</w:t>
      </w:r>
    </w:p>
    <w:p>
      <w:pPr>
        <w:autoSpaceDE w:val="0"/>
        <w:autoSpaceDN w:val="0"/>
        <w:adjustRightInd w:val="0"/>
        <w:spacing w:before="0" w:after="0"/>
        <w:jc w:val="left"/>
        <w:rPr>
          <w:rFonts w:eastAsia="Times New Roman"/>
          <w:kern w:val="0"/>
          <w:szCs w:val="24"/>
          <w:lang w:val="zh-CN"/>
        </w:rPr>
      </w:pPr>
      <w:r>
        <w:rPr>
          <w:rFonts w:hint="eastAsia" w:ascii="宋体" w:hAnsi="宋体" w:cs="宋体"/>
          <w:b/>
          <w:kern w:val="0"/>
          <w:szCs w:val="24"/>
          <w:lang w:val="zh-CN"/>
        </w:rPr>
        <w:t>邹继华先生：</w:t>
      </w:r>
      <w:r>
        <w:rPr>
          <w:rFonts w:hint="eastAsia" w:ascii="宋体" w:hAnsi="宋体" w:cs="宋体"/>
          <w:kern w:val="0"/>
          <w:szCs w:val="24"/>
          <w:lang w:val="zh-CN"/>
        </w:rPr>
        <w:t>详见本部分</w:t>
      </w:r>
      <w:r>
        <w:rPr>
          <w:rFonts w:eastAsia="Times New Roman"/>
          <w:kern w:val="0"/>
          <w:szCs w:val="24"/>
          <w:lang w:val="zh-CN"/>
        </w:rPr>
        <w:t>“</w:t>
      </w:r>
      <w:r>
        <w:rPr>
          <w:rFonts w:hint="eastAsia" w:ascii="宋体" w:hAnsi="宋体" w:cs="宋体"/>
          <w:kern w:val="0"/>
          <w:szCs w:val="24"/>
          <w:lang w:val="zh-CN"/>
        </w:rPr>
        <w:t>（一）非独立董事</w:t>
      </w:r>
      <w:r>
        <w:rPr>
          <w:rFonts w:eastAsia="Times New Roman"/>
          <w:kern w:val="0"/>
          <w:szCs w:val="24"/>
          <w:lang w:val="zh-CN"/>
        </w:rPr>
        <w:t>”</w:t>
      </w:r>
      <w:r>
        <w:rPr>
          <w:rFonts w:hint="eastAsia" w:ascii="宋体" w:hAnsi="宋体" w:cs="宋体"/>
          <w:kern w:val="0"/>
          <w:szCs w:val="24"/>
          <w:lang w:val="zh-CN"/>
        </w:rPr>
        <w:t>。</w:t>
      </w:r>
    </w:p>
    <w:p>
      <w:pPr>
        <w:autoSpaceDE w:val="0"/>
        <w:autoSpaceDN w:val="0"/>
        <w:adjustRightInd w:val="0"/>
        <w:spacing w:before="0" w:after="0"/>
        <w:jc w:val="left"/>
        <w:rPr>
          <w:rFonts w:eastAsia="Times New Roman"/>
          <w:kern w:val="0"/>
          <w:szCs w:val="24"/>
          <w:lang w:val="zh-CN"/>
        </w:rPr>
      </w:pPr>
      <w:r>
        <w:rPr>
          <w:rFonts w:hint="eastAsia" w:ascii="宋体" w:hAnsi="宋体" w:cs="宋体"/>
          <w:b/>
          <w:kern w:val="0"/>
          <w:szCs w:val="24"/>
          <w:lang w:val="zh-CN"/>
        </w:rPr>
        <w:t>方亮先生：</w:t>
      </w:r>
      <w:r>
        <w:rPr>
          <w:rFonts w:hint="eastAsia" w:ascii="宋体" w:hAnsi="宋体" w:cs="宋体"/>
          <w:kern w:val="0"/>
          <w:szCs w:val="24"/>
          <w:lang w:val="zh-CN"/>
        </w:rPr>
        <w:t>中国国籍，无境外永久居留权，</w:t>
      </w:r>
      <w:r>
        <w:rPr>
          <w:rFonts w:eastAsia="Times New Roman"/>
          <w:kern w:val="0"/>
          <w:szCs w:val="24"/>
          <w:lang w:val="zh-CN"/>
        </w:rPr>
        <w:t>1980</w:t>
      </w:r>
      <w:r>
        <w:rPr>
          <w:rFonts w:hint="eastAsia" w:ascii="宋体" w:hAnsi="宋体" w:cs="宋体"/>
          <w:kern w:val="0"/>
          <w:szCs w:val="24"/>
          <w:lang w:val="zh-CN"/>
        </w:rPr>
        <w:t>年出生，研究生学历，博士学位，</w:t>
      </w:r>
      <w:r>
        <w:rPr>
          <w:rFonts w:eastAsia="Times New Roman"/>
          <w:kern w:val="0"/>
          <w:szCs w:val="24"/>
          <w:lang w:val="zh-CN"/>
        </w:rPr>
        <w:t>2004</w:t>
      </w:r>
      <w:r>
        <w:rPr>
          <w:rFonts w:hint="eastAsia" w:ascii="宋体" w:hAnsi="宋体" w:cs="宋体"/>
          <w:kern w:val="0"/>
          <w:szCs w:val="24"/>
          <w:lang w:val="zh-CN"/>
        </w:rPr>
        <w:t>年</w:t>
      </w:r>
      <w:r>
        <w:rPr>
          <w:rFonts w:eastAsia="Times New Roman"/>
          <w:kern w:val="0"/>
          <w:szCs w:val="24"/>
          <w:lang w:val="zh-CN"/>
        </w:rPr>
        <w:t>5</w:t>
      </w:r>
      <w:r>
        <w:rPr>
          <w:rFonts w:hint="eastAsia" w:ascii="宋体" w:hAnsi="宋体" w:cs="宋体"/>
          <w:kern w:val="0"/>
          <w:szCs w:val="24"/>
          <w:lang w:val="zh-CN"/>
        </w:rPr>
        <w:t>月毕业于英国邓迪大学生物化学系，获生物化学学士学位，</w:t>
      </w:r>
      <w:r>
        <w:rPr>
          <w:rFonts w:eastAsia="Times New Roman"/>
          <w:kern w:val="0"/>
          <w:szCs w:val="24"/>
          <w:lang w:val="zh-CN"/>
        </w:rPr>
        <w:t>2011</w:t>
      </w:r>
      <w:r>
        <w:rPr>
          <w:rFonts w:hint="eastAsia" w:ascii="宋体" w:hAnsi="宋体" w:cs="宋体"/>
          <w:kern w:val="0"/>
          <w:szCs w:val="24"/>
          <w:lang w:val="zh-CN"/>
        </w:rPr>
        <w:t>年</w:t>
      </w:r>
      <w:r>
        <w:rPr>
          <w:rFonts w:eastAsia="Times New Roman"/>
          <w:kern w:val="0"/>
          <w:szCs w:val="24"/>
          <w:lang w:val="zh-CN"/>
        </w:rPr>
        <w:t>1</w:t>
      </w:r>
      <w:r>
        <w:rPr>
          <w:rFonts w:hint="eastAsia" w:ascii="宋体" w:hAnsi="宋体" w:cs="宋体"/>
          <w:kern w:val="0"/>
          <w:szCs w:val="24"/>
          <w:lang w:val="zh-CN"/>
        </w:rPr>
        <w:t>月毕业于英国伦敦大学帝国理工学院生物系，获生物学博士学位。</w:t>
      </w:r>
      <w:r>
        <w:rPr>
          <w:rFonts w:eastAsia="Times New Roman"/>
          <w:kern w:val="0"/>
          <w:szCs w:val="24"/>
          <w:lang w:val="zh-CN"/>
        </w:rPr>
        <w:t>2011</w:t>
      </w:r>
      <w:r>
        <w:rPr>
          <w:rFonts w:hint="eastAsia" w:ascii="宋体" w:hAnsi="宋体" w:cs="宋体"/>
          <w:kern w:val="0"/>
          <w:szCs w:val="24"/>
          <w:lang w:val="zh-CN"/>
        </w:rPr>
        <w:t>年</w:t>
      </w:r>
      <w:r>
        <w:rPr>
          <w:rFonts w:eastAsia="Times New Roman"/>
          <w:kern w:val="0"/>
          <w:szCs w:val="24"/>
          <w:lang w:val="zh-CN"/>
        </w:rPr>
        <w:t>3</w:t>
      </w:r>
      <w:r>
        <w:rPr>
          <w:rFonts w:hint="eastAsia" w:ascii="宋体" w:hAnsi="宋体" w:cs="宋体"/>
          <w:kern w:val="0"/>
          <w:szCs w:val="24"/>
          <w:lang w:val="zh-CN"/>
        </w:rPr>
        <w:t>月至今就职于本公司，现担任本公司副总经理、研发总监。</w:t>
      </w:r>
    </w:p>
    <w:p>
      <w:pPr>
        <w:autoSpaceDE w:val="0"/>
        <w:autoSpaceDN w:val="0"/>
        <w:adjustRightInd w:val="0"/>
        <w:spacing w:before="0" w:after="0"/>
        <w:jc w:val="left"/>
        <w:rPr>
          <w:rFonts w:eastAsia="Times New Roman"/>
          <w:kern w:val="0"/>
          <w:szCs w:val="24"/>
          <w:lang w:val="zh-CN"/>
        </w:rPr>
      </w:pPr>
      <w:r>
        <w:rPr>
          <w:rFonts w:hint="eastAsia" w:ascii="宋体" w:hAnsi="宋体" w:cs="宋体"/>
          <w:b/>
          <w:kern w:val="0"/>
          <w:szCs w:val="24"/>
          <w:lang w:val="zh-CN"/>
        </w:rPr>
        <w:t>沈敏先生：</w:t>
      </w:r>
      <w:r>
        <w:rPr>
          <w:rFonts w:hint="eastAsia" w:ascii="宋体" w:hAnsi="宋体" w:cs="宋体"/>
          <w:kern w:val="0"/>
          <w:szCs w:val="24"/>
          <w:lang w:val="zh-CN"/>
        </w:rPr>
        <w:t>中国国籍，无境外永久居留权，</w:t>
      </w:r>
      <w:r>
        <w:rPr>
          <w:rFonts w:eastAsia="Times New Roman"/>
          <w:kern w:val="0"/>
          <w:szCs w:val="24"/>
          <w:lang w:val="zh-CN"/>
        </w:rPr>
        <w:t>1981</w:t>
      </w:r>
      <w:r>
        <w:rPr>
          <w:rFonts w:hint="eastAsia" w:ascii="宋体" w:hAnsi="宋体" w:cs="宋体"/>
          <w:kern w:val="0"/>
          <w:szCs w:val="24"/>
          <w:lang w:val="zh-CN"/>
        </w:rPr>
        <w:t>年出生，博士研究生学历，高级工程师。自</w:t>
      </w:r>
      <w:r>
        <w:rPr>
          <w:rFonts w:eastAsia="Times New Roman"/>
          <w:kern w:val="0"/>
          <w:szCs w:val="24"/>
          <w:lang w:val="zh-CN"/>
        </w:rPr>
        <w:t>2012</w:t>
      </w:r>
      <w:r>
        <w:rPr>
          <w:rFonts w:hint="eastAsia" w:ascii="宋体" w:hAnsi="宋体" w:cs="宋体"/>
          <w:kern w:val="0"/>
          <w:szCs w:val="24"/>
          <w:lang w:val="zh-CN"/>
        </w:rPr>
        <w:t>年</w:t>
      </w:r>
      <w:r>
        <w:rPr>
          <w:rFonts w:eastAsia="Times New Roman"/>
          <w:kern w:val="0"/>
          <w:szCs w:val="24"/>
          <w:lang w:val="zh-CN"/>
        </w:rPr>
        <w:t>2</w:t>
      </w:r>
      <w:r>
        <w:rPr>
          <w:rFonts w:hint="eastAsia" w:ascii="宋体" w:hAnsi="宋体" w:cs="宋体"/>
          <w:kern w:val="0"/>
          <w:szCs w:val="24"/>
          <w:lang w:val="zh-CN"/>
        </w:rPr>
        <w:t>月起加入美康生物科技股份有限公司，并担任参考实验室主任一职，主要从事体外诊断产品的量值溯源及临床质谱分析方法开发和应用。</w:t>
      </w:r>
      <w:r>
        <w:rPr>
          <w:rFonts w:eastAsia="Times New Roman"/>
          <w:kern w:val="0"/>
          <w:szCs w:val="24"/>
          <w:lang w:val="zh-CN"/>
        </w:rPr>
        <w:t>2012</w:t>
      </w:r>
      <w:r>
        <w:rPr>
          <w:rFonts w:hint="eastAsia" w:ascii="宋体" w:hAnsi="宋体" w:cs="宋体"/>
          <w:kern w:val="0"/>
          <w:szCs w:val="24"/>
          <w:lang w:val="zh-CN"/>
        </w:rPr>
        <w:t>年</w:t>
      </w:r>
      <w:r>
        <w:rPr>
          <w:rFonts w:eastAsia="Times New Roman"/>
          <w:kern w:val="0"/>
          <w:szCs w:val="24"/>
          <w:lang w:val="zh-CN"/>
        </w:rPr>
        <w:t>-2015</w:t>
      </w:r>
      <w:r>
        <w:rPr>
          <w:rFonts w:hint="eastAsia" w:ascii="宋体" w:hAnsi="宋体" w:cs="宋体"/>
          <w:kern w:val="0"/>
          <w:szCs w:val="24"/>
          <w:lang w:val="zh-CN"/>
        </w:rPr>
        <w:t>年，主要负责临床检验参考测量程序的建立及应用项目；</w:t>
      </w:r>
      <w:r>
        <w:rPr>
          <w:rFonts w:eastAsia="Times New Roman"/>
          <w:kern w:val="0"/>
          <w:szCs w:val="24"/>
          <w:lang w:val="zh-CN"/>
        </w:rPr>
        <w:t>2015</w:t>
      </w:r>
      <w:r>
        <w:rPr>
          <w:rFonts w:hint="eastAsia" w:ascii="宋体" w:hAnsi="宋体" w:cs="宋体"/>
          <w:kern w:val="0"/>
          <w:szCs w:val="24"/>
          <w:lang w:val="zh-CN"/>
        </w:rPr>
        <w:t>年至今，主要负责临床质谱检测试剂盒的开发与产业化项目。沈敏博士为中国研究型医院学会检验专业委员会委员，中国医师协会检验医师分会临床质谱专业委员会委员。发表研究论文</w:t>
      </w:r>
      <w:r>
        <w:rPr>
          <w:rFonts w:eastAsia="Times New Roman"/>
          <w:kern w:val="0"/>
          <w:szCs w:val="24"/>
          <w:lang w:val="zh-CN"/>
        </w:rPr>
        <w:t>10</w:t>
      </w:r>
      <w:r>
        <w:rPr>
          <w:rFonts w:hint="eastAsia" w:ascii="宋体" w:hAnsi="宋体" w:cs="宋体"/>
          <w:kern w:val="0"/>
          <w:szCs w:val="24"/>
          <w:lang w:val="zh-CN"/>
        </w:rPr>
        <w:t>余篇，其中</w:t>
      </w:r>
      <w:r>
        <w:rPr>
          <w:rFonts w:eastAsia="Times New Roman"/>
          <w:kern w:val="0"/>
          <w:szCs w:val="24"/>
          <w:lang w:val="zh-CN"/>
        </w:rPr>
        <w:t>SCI</w:t>
      </w:r>
      <w:r>
        <w:rPr>
          <w:rFonts w:hint="eastAsia" w:ascii="宋体" w:hAnsi="宋体" w:cs="宋体"/>
          <w:kern w:val="0"/>
          <w:szCs w:val="24"/>
          <w:lang w:val="zh-CN"/>
        </w:rPr>
        <w:t>论文</w:t>
      </w:r>
      <w:r>
        <w:rPr>
          <w:rFonts w:eastAsia="Times New Roman"/>
          <w:kern w:val="0"/>
          <w:szCs w:val="24"/>
          <w:lang w:val="zh-CN"/>
        </w:rPr>
        <w:t>3</w:t>
      </w:r>
      <w:r>
        <w:rPr>
          <w:rFonts w:hint="eastAsia" w:ascii="宋体" w:hAnsi="宋体" w:cs="宋体"/>
          <w:kern w:val="0"/>
          <w:szCs w:val="24"/>
          <w:lang w:val="zh-CN"/>
        </w:rPr>
        <w:t>篇。现担任本公司副总经理、研发中心（参考实验室）主任。</w:t>
      </w:r>
    </w:p>
    <w:p>
      <w:pPr>
        <w:autoSpaceDE w:val="0"/>
        <w:autoSpaceDN w:val="0"/>
        <w:adjustRightInd w:val="0"/>
        <w:spacing w:before="0" w:after="0"/>
        <w:jc w:val="left"/>
        <w:rPr>
          <w:rFonts w:eastAsia="Times New Roman"/>
          <w:kern w:val="0"/>
          <w:szCs w:val="24"/>
          <w:lang w:val="zh-CN"/>
        </w:rPr>
      </w:pPr>
      <w:r>
        <w:rPr>
          <w:rFonts w:hint="eastAsia" w:ascii="宋体" w:hAnsi="宋体" w:cs="宋体"/>
          <w:b/>
          <w:kern w:val="0"/>
          <w:szCs w:val="24"/>
          <w:lang w:val="zh-CN"/>
        </w:rPr>
        <w:t>袁超先生：</w:t>
      </w:r>
      <w:r>
        <w:rPr>
          <w:rFonts w:hint="eastAsia" w:ascii="宋体" w:hAnsi="宋体" w:cs="宋体"/>
          <w:kern w:val="0"/>
          <w:szCs w:val="24"/>
          <w:lang w:val="zh-CN"/>
        </w:rPr>
        <w:t>中国国籍，无境外永久居留权，</w:t>
      </w:r>
      <w:r>
        <w:rPr>
          <w:rFonts w:eastAsia="Times New Roman"/>
          <w:kern w:val="0"/>
          <w:szCs w:val="24"/>
          <w:lang w:val="zh-CN"/>
        </w:rPr>
        <w:t>1978</w:t>
      </w:r>
      <w:r>
        <w:rPr>
          <w:rFonts w:hint="eastAsia" w:ascii="宋体" w:hAnsi="宋体" w:cs="宋体"/>
          <w:kern w:val="0"/>
          <w:szCs w:val="24"/>
          <w:lang w:val="zh-CN"/>
        </w:rPr>
        <w:t>年出生，本科学历，注册会计师、注册税务师。</w:t>
      </w:r>
      <w:r>
        <w:rPr>
          <w:rFonts w:eastAsia="Times New Roman"/>
          <w:kern w:val="0"/>
          <w:szCs w:val="24"/>
          <w:lang w:val="zh-CN"/>
        </w:rPr>
        <w:t>2008</w:t>
      </w:r>
      <w:r>
        <w:rPr>
          <w:rFonts w:hint="eastAsia" w:ascii="宋体" w:hAnsi="宋体" w:cs="宋体"/>
          <w:kern w:val="0"/>
          <w:szCs w:val="24"/>
          <w:lang w:val="zh-CN"/>
        </w:rPr>
        <w:t>年</w:t>
      </w:r>
      <w:r>
        <w:rPr>
          <w:rFonts w:eastAsia="Times New Roman"/>
          <w:kern w:val="0"/>
          <w:szCs w:val="24"/>
          <w:lang w:val="zh-CN"/>
        </w:rPr>
        <w:t>1</w:t>
      </w:r>
      <w:r>
        <w:rPr>
          <w:rFonts w:hint="eastAsia" w:ascii="宋体" w:hAnsi="宋体" w:cs="宋体"/>
          <w:kern w:val="0"/>
          <w:szCs w:val="24"/>
          <w:lang w:val="zh-CN"/>
        </w:rPr>
        <w:t>月至</w:t>
      </w:r>
      <w:r>
        <w:rPr>
          <w:rFonts w:eastAsia="Times New Roman"/>
          <w:kern w:val="0"/>
          <w:szCs w:val="24"/>
          <w:lang w:val="zh-CN"/>
        </w:rPr>
        <w:t>2016</w:t>
      </w:r>
      <w:r>
        <w:rPr>
          <w:rFonts w:hint="eastAsia" w:ascii="宋体" w:hAnsi="宋体" w:cs="宋体"/>
          <w:kern w:val="0"/>
          <w:szCs w:val="24"/>
          <w:lang w:val="zh-CN"/>
        </w:rPr>
        <w:t>年</w:t>
      </w:r>
      <w:r>
        <w:rPr>
          <w:rFonts w:eastAsia="Times New Roman"/>
          <w:kern w:val="0"/>
          <w:szCs w:val="24"/>
          <w:lang w:val="zh-CN"/>
        </w:rPr>
        <w:t>5</w:t>
      </w:r>
      <w:r>
        <w:rPr>
          <w:rFonts w:hint="eastAsia" w:ascii="宋体" w:hAnsi="宋体" w:cs="宋体"/>
          <w:kern w:val="0"/>
          <w:szCs w:val="24"/>
          <w:lang w:val="zh-CN"/>
        </w:rPr>
        <w:t>月历任金光纸业（中国）投资有限公司内控主管、内控总监；</w:t>
      </w:r>
      <w:r>
        <w:rPr>
          <w:rFonts w:eastAsia="Times New Roman"/>
          <w:kern w:val="0"/>
          <w:szCs w:val="24"/>
          <w:lang w:val="zh-CN"/>
        </w:rPr>
        <w:t>2016</w:t>
      </w:r>
      <w:r>
        <w:rPr>
          <w:rFonts w:hint="eastAsia" w:ascii="宋体" w:hAnsi="宋体" w:cs="宋体"/>
          <w:kern w:val="0"/>
          <w:szCs w:val="24"/>
          <w:lang w:val="zh-CN"/>
        </w:rPr>
        <w:t>年</w:t>
      </w:r>
      <w:r>
        <w:rPr>
          <w:rFonts w:eastAsia="Times New Roman"/>
          <w:kern w:val="0"/>
          <w:szCs w:val="24"/>
          <w:lang w:val="zh-CN"/>
        </w:rPr>
        <w:t>6</w:t>
      </w:r>
      <w:r>
        <w:rPr>
          <w:rFonts w:hint="eastAsia" w:ascii="宋体" w:hAnsi="宋体" w:cs="宋体"/>
          <w:kern w:val="0"/>
          <w:szCs w:val="24"/>
          <w:lang w:val="zh-CN"/>
        </w:rPr>
        <w:t>月加入美康生物科技股份有限公司，担任审计法务总监一职，主要从事内部审计、内部控制及涉及法律法规事务审核。现担任本公司副总经理、财务总监。</w:t>
      </w:r>
    </w:p>
    <w:p>
      <w:pPr>
        <w:autoSpaceDE w:val="0"/>
        <w:autoSpaceDN w:val="0"/>
        <w:adjustRightInd w:val="0"/>
        <w:spacing w:before="0" w:after="0"/>
        <w:jc w:val="left"/>
        <w:rPr>
          <w:rFonts w:eastAsia="Times New Roman"/>
          <w:kern w:val="0"/>
          <w:szCs w:val="24"/>
          <w:lang w:val="zh-CN"/>
        </w:rPr>
      </w:pPr>
      <w:r>
        <w:rPr>
          <w:rFonts w:hint="eastAsia" w:ascii="宋体" w:hAnsi="宋体" w:cs="宋体"/>
          <w:b/>
          <w:kern w:val="0"/>
          <w:szCs w:val="24"/>
          <w:lang w:val="zh-CN"/>
        </w:rPr>
        <w:t>熊慧萍女士：</w:t>
      </w:r>
      <w:r>
        <w:rPr>
          <w:rFonts w:hint="eastAsia" w:ascii="宋体" w:hAnsi="宋体" w:cs="宋体"/>
          <w:kern w:val="0"/>
          <w:szCs w:val="24"/>
          <w:lang w:val="zh-CN"/>
        </w:rPr>
        <w:t>中国国籍，无境外永久居留权，</w:t>
      </w:r>
      <w:r>
        <w:rPr>
          <w:rFonts w:eastAsia="Times New Roman"/>
          <w:kern w:val="0"/>
          <w:szCs w:val="24"/>
          <w:lang w:val="zh-CN"/>
        </w:rPr>
        <w:t>1979</w:t>
      </w:r>
      <w:r>
        <w:rPr>
          <w:rFonts w:hint="eastAsia" w:ascii="宋体" w:hAnsi="宋体" w:cs="宋体"/>
          <w:kern w:val="0"/>
          <w:szCs w:val="24"/>
          <w:lang w:val="zh-CN"/>
        </w:rPr>
        <w:t>年出生，本科学历，高级会计师，历任永协铝业（苏州）有限公司财务科长、文祺国际集团财务部经理，</w:t>
      </w:r>
      <w:r>
        <w:rPr>
          <w:rFonts w:eastAsia="Times New Roman"/>
          <w:kern w:val="0"/>
          <w:szCs w:val="24"/>
          <w:lang w:val="zh-CN"/>
        </w:rPr>
        <w:t>2013</w:t>
      </w:r>
      <w:r>
        <w:rPr>
          <w:rFonts w:hint="eastAsia" w:ascii="宋体" w:hAnsi="宋体" w:cs="宋体"/>
          <w:kern w:val="0"/>
          <w:szCs w:val="24"/>
          <w:lang w:val="zh-CN"/>
        </w:rPr>
        <w:t>年</w:t>
      </w:r>
      <w:r>
        <w:rPr>
          <w:rFonts w:eastAsia="Times New Roman"/>
          <w:kern w:val="0"/>
          <w:szCs w:val="24"/>
          <w:lang w:val="zh-CN"/>
        </w:rPr>
        <w:t>3</w:t>
      </w:r>
      <w:r>
        <w:rPr>
          <w:rFonts w:hint="eastAsia" w:ascii="宋体" w:hAnsi="宋体" w:cs="宋体"/>
          <w:kern w:val="0"/>
          <w:szCs w:val="24"/>
          <w:lang w:val="zh-CN"/>
        </w:rPr>
        <w:t>月就职于本公司，担任本公司财务经理，</w:t>
      </w:r>
      <w:r>
        <w:rPr>
          <w:rFonts w:eastAsia="Times New Roman"/>
          <w:kern w:val="0"/>
          <w:szCs w:val="24"/>
          <w:lang w:val="zh-CN"/>
        </w:rPr>
        <w:t>2017</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-2018</w:t>
      </w:r>
      <w:r>
        <w:rPr>
          <w:rFonts w:hint="eastAsia" w:ascii="宋体" w:hAnsi="宋体" w:cs="宋体"/>
          <w:kern w:val="0"/>
          <w:szCs w:val="24"/>
          <w:lang w:val="zh-CN"/>
        </w:rPr>
        <w:t>年</w:t>
      </w:r>
      <w:r>
        <w:rPr>
          <w:rFonts w:eastAsia="Times New Roman"/>
          <w:kern w:val="0"/>
          <w:szCs w:val="24"/>
          <w:lang w:val="zh-CN"/>
        </w:rPr>
        <w:t>7</w:t>
      </w:r>
      <w:r>
        <w:rPr>
          <w:rFonts w:hint="eastAsia" w:ascii="宋体" w:hAnsi="宋体" w:cs="宋体"/>
          <w:kern w:val="0"/>
          <w:szCs w:val="24"/>
          <w:lang w:val="zh-CN"/>
        </w:rPr>
        <w:t>月任公司证券事务代表，现担任本公司董事会秘书。</w:t>
      </w:r>
    </w:p>
    <w:p>
      <w:pPr>
        <w:jc w:val="left"/>
        <w:rPr>
          <w:szCs w:val="24"/>
        </w:rPr>
      </w:pPr>
      <w:r>
        <w:rPr>
          <w:rFonts w:hint="eastAsia"/>
          <w:szCs w:val="24"/>
        </w:rPr>
        <w:t>在股东单位任职情况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在其他单位任职情况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tbl>
      <w:tblPr>
        <w:tblStyle w:val="9"/>
        <w:tblW w:w="0" w:type="auto"/>
        <w:tblInd w:w="28" w:type="dxa"/>
        <w:tblLayout w:type="fixed"/>
        <w:tblCellMar>
          <w:top w:w="0" w:type="dxa"/>
          <w:left w:w="28" w:type="dxa"/>
          <w:bottom w:w="0" w:type="dxa"/>
          <w:right w:w="28" w:type="dxa"/>
        </w:tblCellMar>
      </w:tblPr>
      <w:tblGrid>
        <w:gridCol w:w="1201"/>
        <w:gridCol w:w="3190"/>
        <w:gridCol w:w="1063"/>
        <w:gridCol w:w="1196"/>
        <w:gridCol w:w="1324"/>
        <w:gridCol w:w="1594"/>
      </w:tblGrid>
      <w:tr>
        <w:tc>
          <w:tcPr>
            <w:tcW w:w="120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任职人员姓名</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其他单位名称</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在其他单位担任的职务</w:t>
            </w: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任期起始日期</w:t>
            </w:r>
          </w:p>
        </w:tc>
        <w:tc>
          <w:tcPr>
            <w:tcW w:w="1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任期终止日期</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在其他单位是否领取报酬津贴</w:t>
            </w:r>
          </w:p>
        </w:tc>
      </w:tr>
      <w:tr>
        <w:tc>
          <w:tcPr>
            <w:tcW w:w="120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邹炳德</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宁波鄞州美康国宾门诊部</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理事长</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2010</w:t>
            </w:r>
            <w:r>
              <w:rPr>
                <w:rFonts w:hint="eastAsia"/>
                <w:szCs w:val="24"/>
              </w:rPr>
              <w:t>年</w:t>
            </w:r>
            <w:r>
              <w:rPr>
                <w:szCs w:val="24"/>
              </w:rPr>
              <w:t>02</w:t>
            </w:r>
            <w:r>
              <w:rPr>
                <w:rFonts w:hint="eastAsia"/>
                <w:szCs w:val="24"/>
              </w:rPr>
              <w:t>月</w:t>
            </w:r>
            <w:r>
              <w:rPr>
                <w:szCs w:val="24"/>
              </w:rPr>
              <w:t>04</w:t>
            </w:r>
            <w:r>
              <w:rPr>
                <w:rFonts w:hint="eastAsia"/>
                <w:szCs w:val="24"/>
              </w:rPr>
              <w:t>日</w:t>
            </w:r>
          </w:p>
        </w:tc>
        <w:tc>
          <w:tcPr>
            <w:tcW w:w="13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c>
          <w:tcPr>
            <w:tcW w:w="120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邹炳德</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宁波鄞州美康中医医院</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理事长</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2011</w:t>
            </w:r>
            <w:r>
              <w:rPr>
                <w:rFonts w:hint="eastAsia"/>
                <w:szCs w:val="24"/>
              </w:rPr>
              <w:t>年</w:t>
            </w:r>
            <w:r>
              <w:rPr>
                <w:szCs w:val="24"/>
              </w:rPr>
              <w:t>09</w:t>
            </w:r>
            <w:r>
              <w:rPr>
                <w:rFonts w:hint="eastAsia"/>
                <w:szCs w:val="24"/>
              </w:rPr>
              <w:t>月</w:t>
            </w:r>
            <w:r>
              <w:rPr>
                <w:szCs w:val="24"/>
              </w:rPr>
              <w:t>14</w:t>
            </w:r>
            <w:r>
              <w:rPr>
                <w:rFonts w:hint="eastAsia"/>
                <w:szCs w:val="24"/>
              </w:rPr>
              <w:t>日</w:t>
            </w:r>
          </w:p>
        </w:tc>
        <w:tc>
          <w:tcPr>
            <w:tcW w:w="13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c>
          <w:tcPr>
            <w:tcW w:w="120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卓红叶</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宁波美康盛德投资咨询有限公司</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监事</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2010</w:t>
            </w:r>
            <w:r>
              <w:rPr>
                <w:rFonts w:hint="eastAsia"/>
                <w:szCs w:val="24"/>
              </w:rPr>
              <w:t>年</w:t>
            </w:r>
            <w:r>
              <w:rPr>
                <w:szCs w:val="24"/>
              </w:rPr>
              <w:t>04</w:t>
            </w:r>
            <w:r>
              <w:rPr>
                <w:rFonts w:hint="eastAsia"/>
                <w:szCs w:val="24"/>
              </w:rPr>
              <w:t>月</w:t>
            </w:r>
            <w:r>
              <w:rPr>
                <w:szCs w:val="24"/>
              </w:rPr>
              <w:t>06</w:t>
            </w:r>
            <w:r>
              <w:rPr>
                <w:rFonts w:hint="eastAsia"/>
                <w:szCs w:val="24"/>
              </w:rPr>
              <w:t>日</w:t>
            </w:r>
          </w:p>
        </w:tc>
        <w:tc>
          <w:tcPr>
            <w:tcW w:w="13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c>
          <w:tcPr>
            <w:tcW w:w="120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邹继华</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宁波美康盛达置业有限公司</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监事</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2013</w:t>
            </w:r>
            <w:r>
              <w:rPr>
                <w:rFonts w:hint="eastAsia"/>
                <w:szCs w:val="24"/>
              </w:rPr>
              <w:t>年</w:t>
            </w:r>
            <w:r>
              <w:rPr>
                <w:szCs w:val="24"/>
              </w:rPr>
              <w:t>10</w:t>
            </w:r>
            <w:r>
              <w:rPr>
                <w:rFonts w:hint="eastAsia"/>
                <w:szCs w:val="24"/>
              </w:rPr>
              <w:t>月</w:t>
            </w:r>
            <w:r>
              <w:rPr>
                <w:szCs w:val="24"/>
              </w:rPr>
              <w:t>15</w:t>
            </w:r>
            <w:r>
              <w:rPr>
                <w:rFonts w:hint="eastAsia"/>
                <w:szCs w:val="24"/>
              </w:rPr>
              <w:t>日</w:t>
            </w:r>
          </w:p>
        </w:tc>
        <w:tc>
          <w:tcPr>
            <w:tcW w:w="13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c>
          <w:tcPr>
            <w:tcW w:w="120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 xml:space="preserve">AIMIN YAN </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长江商学院</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教授、副院长</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2014</w:t>
            </w:r>
            <w:r>
              <w:rPr>
                <w:rFonts w:hint="eastAsia"/>
                <w:szCs w:val="24"/>
              </w:rPr>
              <w:t>年</w:t>
            </w:r>
            <w:r>
              <w:rPr>
                <w:szCs w:val="24"/>
              </w:rPr>
              <w:t>09</w:t>
            </w:r>
            <w:r>
              <w:rPr>
                <w:rFonts w:hint="eastAsia"/>
                <w:szCs w:val="24"/>
              </w:rPr>
              <w:t>月</w:t>
            </w:r>
            <w:r>
              <w:rPr>
                <w:szCs w:val="24"/>
              </w:rPr>
              <w:t>01</w:t>
            </w:r>
            <w:r>
              <w:rPr>
                <w:rFonts w:hint="eastAsia"/>
                <w:szCs w:val="24"/>
              </w:rPr>
              <w:t>日</w:t>
            </w:r>
          </w:p>
        </w:tc>
        <w:tc>
          <w:tcPr>
            <w:tcW w:w="13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r>
      <w:tr>
        <w:tc>
          <w:tcPr>
            <w:tcW w:w="120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AIMIN YAN</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新城控股集团股份有限公司</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独立董事</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2016</w:t>
            </w:r>
            <w:r>
              <w:rPr>
                <w:rFonts w:hint="eastAsia"/>
                <w:szCs w:val="24"/>
              </w:rPr>
              <w:t>年</w:t>
            </w:r>
            <w:r>
              <w:rPr>
                <w:szCs w:val="24"/>
              </w:rPr>
              <w:t>05</w:t>
            </w:r>
            <w:r>
              <w:rPr>
                <w:rFonts w:hint="eastAsia"/>
                <w:szCs w:val="24"/>
              </w:rPr>
              <w:t>月</w:t>
            </w:r>
            <w:r>
              <w:rPr>
                <w:szCs w:val="24"/>
              </w:rPr>
              <w:t>13</w:t>
            </w:r>
            <w:r>
              <w:rPr>
                <w:rFonts w:hint="eastAsia"/>
                <w:szCs w:val="24"/>
              </w:rPr>
              <w:t>日</w:t>
            </w:r>
          </w:p>
        </w:tc>
        <w:tc>
          <w:tcPr>
            <w:tcW w:w="13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11</w:t>
            </w:r>
            <w:r>
              <w:rPr>
                <w:rFonts w:hint="eastAsia"/>
                <w:szCs w:val="24"/>
              </w:rPr>
              <w:t>月</w:t>
            </w:r>
            <w:r>
              <w:rPr>
                <w:szCs w:val="24"/>
              </w:rPr>
              <w:t>11</w:t>
            </w:r>
            <w:r>
              <w:rPr>
                <w:rFonts w:hint="eastAsia"/>
                <w:szCs w:val="24"/>
              </w:rPr>
              <w:t>日</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r>
      <w:tr>
        <w:tc>
          <w:tcPr>
            <w:tcW w:w="120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李成艾</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浙江万里学院</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教师、审计研究所副所长</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2005</w:t>
            </w:r>
            <w:r>
              <w:rPr>
                <w:rFonts w:hint="eastAsia"/>
                <w:szCs w:val="24"/>
              </w:rPr>
              <w:t>年</w:t>
            </w:r>
            <w:r>
              <w:rPr>
                <w:szCs w:val="24"/>
              </w:rPr>
              <w:t>07</w:t>
            </w:r>
            <w:r>
              <w:rPr>
                <w:rFonts w:hint="eastAsia"/>
                <w:szCs w:val="24"/>
              </w:rPr>
              <w:t>月</w:t>
            </w:r>
            <w:r>
              <w:rPr>
                <w:szCs w:val="24"/>
              </w:rPr>
              <w:t>01</w:t>
            </w:r>
            <w:r>
              <w:rPr>
                <w:rFonts w:hint="eastAsia"/>
                <w:szCs w:val="24"/>
              </w:rPr>
              <w:t>日</w:t>
            </w:r>
          </w:p>
        </w:tc>
        <w:tc>
          <w:tcPr>
            <w:tcW w:w="13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r>
      <w:tr>
        <w:tc>
          <w:tcPr>
            <w:tcW w:w="120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李成艾</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浙江飞扬国际旅游集团股份有限公司</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独立董事</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2017</w:t>
            </w:r>
            <w:r>
              <w:rPr>
                <w:rFonts w:hint="eastAsia"/>
                <w:szCs w:val="24"/>
              </w:rPr>
              <w:t>年</w:t>
            </w:r>
            <w:r>
              <w:rPr>
                <w:szCs w:val="24"/>
              </w:rPr>
              <w:t>03</w:t>
            </w:r>
            <w:r>
              <w:rPr>
                <w:rFonts w:hint="eastAsia"/>
                <w:szCs w:val="24"/>
              </w:rPr>
              <w:t>月</w:t>
            </w:r>
            <w:r>
              <w:rPr>
                <w:szCs w:val="24"/>
              </w:rPr>
              <w:t>14</w:t>
            </w:r>
            <w:r>
              <w:rPr>
                <w:rFonts w:hint="eastAsia"/>
                <w:szCs w:val="24"/>
              </w:rPr>
              <w:t>日</w:t>
            </w:r>
          </w:p>
        </w:tc>
        <w:tc>
          <w:tcPr>
            <w:tcW w:w="13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r>
      <w:tr>
        <w:tc>
          <w:tcPr>
            <w:tcW w:w="120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李成艾</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宁波慈星股份有限公司</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独立董事</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06</w:t>
            </w:r>
            <w:r>
              <w:rPr>
                <w:rFonts w:hint="eastAsia"/>
                <w:szCs w:val="24"/>
              </w:rPr>
              <w:t>月</w:t>
            </w:r>
            <w:r>
              <w:rPr>
                <w:szCs w:val="24"/>
              </w:rPr>
              <w:t>01</w:t>
            </w:r>
            <w:r>
              <w:rPr>
                <w:rFonts w:hint="eastAsia"/>
                <w:szCs w:val="24"/>
              </w:rPr>
              <w:t>日</w:t>
            </w:r>
          </w:p>
        </w:tc>
        <w:tc>
          <w:tcPr>
            <w:tcW w:w="13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是</w:t>
            </w:r>
          </w:p>
        </w:tc>
      </w:tr>
      <w:tr>
        <w:tc>
          <w:tcPr>
            <w:tcW w:w="120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熊慧萍</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杭州倚天生物技术有限公司</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监事</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2016</w:t>
            </w:r>
            <w:r>
              <w:rPr>
                <w:rFonts w:hint="eastAsia"/>
                <w:szCs w:val="24"/>
              </w:rPr>
              <w:t>年</w:t>
            </w:r>
            <w:r>
              <w:rPr>
                <w:szCs w:val="24"/>
              </w:rPr>
              <w:t>12</w:t>
            </w:r>
            <w:r>
              <w:rPr>
                <w:rFonts w:hint="eastAsia"/>
                <w:szCs w:val="24"/>
              </w:rPr>
              <w:t>月</w:t>
            </w:r>
            <w:r>
              <w:rPr>
                <w:szCs w:val="24"/>
              </w:rPr>
              <w:t>22</w:t>
            </w:r>
            <w:r>
              <w:rPr>
                <w:rFonts w:hint="eastAsia"/>
                <w:szCs w:val="24"/>
              </w:rPr>
              <w:t>日</w:t>
            </w:r>
          </w:p>
        </w:tc>
        <w:tc>
          <w:tcPr>
            <w:tcW w:w="13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c>
          <w:tcPr>
            <w:tcW w:w="120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熊慧萍</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上海曼贝生物技术有限公司</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监事</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2017</w:t>
            </w:r>
            <w:r>
              <w:rPr>
                <w:rFonts w:hint="eastAsia"/>
                <w:szCs w:val="24"/>
              </w:rPr>
              <w:t>年</w:t>
            </w:r>
            <w:r>
              <w:rPr>
                <w:szCs w:val="24"/>
              </w:rPr>
              <w:t>02</w:t>
            </w:r>
            <w:r>
              <w:rPr>
                <w:rFonts w:hint="eastAsia"/>
                <w:szCs w:val="24"/>
              </w:rPr>
              <w:t>月</w:t>
            </w:r>
            <w:r>
              <w:rPr>
                <w:szCs w:val="24"/>
              </w:rPr>
              <w:t>17</w:t>
            </w:r>
            <w:r>
              <w:rPr>
                <w:rFonts w:hint="eastAsia"/>
                <w:szCs w:val="24"/>
              </w:rPr>
              <w:t>日</w:t>
            </w:r>
          </w:p>
        </w:tc>
        <w:tc>
          <w:tcPr>
            <w:tcW w:w="13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bl>
    <w:p>
      <w:pPr>
        <w:jc w:val="left"/>
        <w:rPr>
          <w:szCs w:val="24"/>
        </w:rPr>
      </w:pPr>
      <w:r>
        <w:rPr>
          <w:rFonts w:hint="eastAsia"/>
          <w:szCs w:val="24"/>
        </w:rPr>
        <w:t>公司现任及报告期内离任董事、监事和高级管理人员近三年证券监管机构处罚的情况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3"/>
        <w:outlineLvl w:val="1"/>
        <w:rPr>
          <w:bCs w:val="0"/>
        </w:rPr>
      </w:pPr>
      <w:r>
        <w:rPr>
          <w:rFonts w:hint="eastAsia"/>
          <w:bCs w:val="0"/>
        </w:rPr>
        <w:t>四、董事、监事、高级管理人员报酬情况</w:t>
      </w:r>
    </w:p>
    <w:p>
      <w:pPr>
        <w:jc w:val="left"/>
        <w:rPr>
          <w:szCs w:val="24"/>
        </w:rPr>
      </w:pPr>
      <w:r>
        <w:rPr>
          <w:rFonts w:hint="eastAsia"/>
          <w:szCs w:val="24"/>
        </w:rPr>
        <w:t>董事、监事、高级管理人员报酬的决策程序、确定依据、实际支付情况</w:t>
      </w:r>
    </w:p>
    <w:p>
      <w:pPr>
        <w:autoSpaceDE w:val="0"/>
        <w:autoSpaceDN w:val="0"/>
        <w:adjustRightInd w:val="0"/>
        <w:spacing w:before="0" w:after="0"/>
        <w:jc w:val="left"/>
        <w:rPr>
          <w:rFonts w:eastAsia="Times New Roman"/>
          <w:kern w:val="0"/>
          <w:szCs w:val="24"/>
          <w:lang w:val="zh-CN"/>
        </w:rPr>
      </w:pPr>
      <w:r>
        <w:rPr>
          <w:rFonts w:eastAsia="Times New Roman"/>
          <w:kern w:val="0"/>
          <w:szCs w:val="24"/>
          <w:lang w:val="zh-CN"/>
        </w:rPr>
        <w:t>1</w:t>
      </w:r>
      <w:r>
        <w:rPr>
          <w:rFonts w:hint="eastAsia" w:ascii="宋体" w:hAnsi="宋体" w:cs="宋体"/>
          <w:kern w:val="0"/>
          <w:szCs w:val="24"/>
          <w:lang w:val="zh-CN"/>
        </w:rPr>
        <w:t>、董事、监事、高级管理人员报酬的决策程序：</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公司董事、监事的津贴由薪酬与考核委员会提出，经董事会批准后，提交股东大会审议通过后实施。高级管理人员的绩效考核方案由董事会批准后实施。</w:t>
      </w:r>
    </w:p>
    <w:p>
      <w:pPr>
        <w:autoSpaceDE w:val="0"/>
        <w:autoSpaceDN w:val="0"/>
        <w:adjustRightInd w:val="0"/>
        <w:spacing w:before="0" w:after="0"/>
        <w:jc w:val="left"/>
        <w:rPr>
          <w:rFonts w:eastAsia="Times New Roman"/>
          <w:kern w:val="0"/>
          <w:szCs w:val="24"/>
          <w:lang w:val="zh-CN"/>
        </w:rPr>
      </w:pPr>
      <w:r>
        <w:rPr>
          <w:rFonts w:eastAsia="Times New Roman"/>
          <w:kern w:val="0"/>
          <w:szCs w:val="24"/>
          <w:lang w:val="zh-CN"/>
        </w:rPr>
        <w:t>2</w:t>
      </w:r>
      <w:r>
        <w:rPr>
          <w:rFonts w:hint="eastAsia" w:ascii="宋体" w:hAnsi="宋体" w:cs="宋体"/>
          <w:kern w:val="0"/>
          <w:szCs w:val="24"/>
          <w:lang w:val="zh-CN"/>
        </w:rPr>
        <w:t>、董事、监事、高级管理人员报酬确定依据：</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董事、监事和高级管理人员的报酬按照公司的规定，结合其经营绩效、工作能力、岗位职级等考核确定并发放。</w:t>
      </w:r>
    </w:p>
    <w:p>
      <w:pPr>
        <w:autoSpaceDE w:val="0"/>
        <w:autoSpaceDN w:val="0"/>
        <w:adjustRightInd w:val="0"/>
        <w:spacing w:before="0" w:after="0"/>
        <w:jc w:val="left"/>
        <w:rPr>
          <w:rFonts w:eastAsia="Times New Roman"/>
          <w:kern w:val="0"/>
          <w:szCs w:val="24"/>
          <w:lang w:val="zh-CN"/>
        </w:rPr>
      </w:pPr>
      <w:r>
        <w:rPr>
          <w:rFonts w:eastAsia="Times New Roman"/>
          <w:kern w:val="0"/>
          <w:szCs w:val="24"/>
          <w:lang w:val="zh-CN"/>
        </w:rPr>
        <w:t>3</w:t>
      </w:r>
      <w:r>
        <w:rPr>
          <w:rFonts w:hint="eastAsia" w:ascii="宋体" w:hAnsi="宋体" w:cs="宋体"/>
          <w:kern w:val="0"/>
          <w:szCs w:val="24"/>
          <w:lang w:val="zh-CN"/>
        </w:rPr>
        <w:t>、董事、监事和高级管理人员报酬的实际支付情况：</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公司报告期内董事、监事、高级管理人员共</w:t>
      </w:r>
      <w:r>
        <w:rPr>
          <w:rFonts w:eastAsia="Times New Roman"/>
          <w:kern w:val="0"/>
          <w:szCs w:val="24"/>
          <w:lang w:val="zh-CN"/>
        </w:rPr>
        <w:t>13</w:t>
      </w:r>
      <w:r>
        <w:rPr>
          <w:rFonts w:hint="eastAsia" w:ascii="宋体" w:hAnsi="宋体" w:cs="宋体"/>
          <w:kern w:val="0"/>
          <w:szCs w:val="24"/>
          <w:lang w:val="zh-CN"/>
        </w:rPr>
        <w:t>人，</w:t>
      </w:r>
      <w:r>
        <w:rPr>
          <w:rFonts w:eastAsia="Times New Roman"/>
          <w:kern w:val="0"/>
          <w:szCs w:val="24"/>
          <w:lang w:val="zh-CN"/>
        </w:rPr>
        <w:t>2019</w:t>
      </w:r>
      <w:r>
        <w:rPr>
          <w:rFonts w:hint="eastAsia" w:ascii="宋体" w:hAnsi="宋体" w:cs="宋体"/>
          <w:kern w:val="0"/>
          <w:szCs w:val="24"/>
          <w:lang w:val="zh-CN"/>
        </w:rPr>
        <w:t>年实际支付</w:t>
      </w:r>
      <w:r>
        <w:rPr>
          <w:rFonts w:eastAsia="Times New Roman"/>
          <w:kern w:val="0"/>
          <w:szCs w:val="24"/>
          <w:lang w:val="zh-CN"/>
        </w:rPr>
        <w:t>617.00</w:t>
      </w:r>
      <w:r>
        <w:rPr>
          <w:rFonts w:hint="eastAsia" w:ascii="宋体" w:hAnsi="宋体" w:cs="宋体"/>
          <w:kern w:val="0"/>
          <w:szCs w:val="24"/>
          <w:lang w:val="zh-CN"/>
        </w:rPr>
        <w:t>万元。董事、监事和高级管理人员的薪酬均已按月支付。</w:t>
      </w:r>
    </w:p>
    <w:p>
      <w:pPr>
        <w:jc w:val="left"/>
        <w:rPr>
          <w:szCs w:val="24"/>
        </w:rPr>
      </w:pPr>
      <w:r>
        <w:rPr>
          <w:rFonts w:hint="eastAsia"/>
          <w:szCs w:val="24"/>
        </w:rPr>
        <w:t>公司报告期内董事、监事和高级管理人员报酬情况</w:t>
      </w:r>
    </w:p>
    <w:p>
      <w:pPr>
        <w:jc w:val="right"/>
        <w:rPr>
          <w:szCs w:val="24"/>
        </w:rPr>
      </w:pPr>
      <w:r>
        <w:rPr>
          <w:rFonts w:hint="eastAsia"/>
          <w:szCs w:val="24"/>
        </w:rPr>
        <w:t>单位：万元</w:t>
      </w:r>
    </w:p>
    <w:tbl>
      <w:tblPr>
        <w:tblStyle w:val="9"/>
        <w:tblW w:w="0" w:type="auto"/>
        <w:tblInd w:w="28" w:type="dxa"/>
        <w:tblLayout w:type="fixed"/>
        <w:tblCellMar>
          <w:top w:w="0" w:type="dxa"/>
          <w:left w:w="28" w:type="dxa"/>
          <w:bottom w:w="0" w:type="dxa"/>
          <w:right w:w="28" w:type="dxa"/>
        </w:tblCellMar>
      </w:tblPr>
      <w:tblGrid>
        <w:gridCol w:w="1369"/>
        <w:gridCol w:w="1367"/>
        <w:gridCol w:w="1367"/>
        <w:gridCol w:w="1367"/>
        <w:gridCol w:w="1367"/>
        <w:gridCol w:w="1367"/>
        <w:gridCol w:w="1367"/>
      </w:tblGrid>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姓名</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职务</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性别</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年龄</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任职状态</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从公司获得的税前报酬总额</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是否在公司关联方获取报酬</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邹炳德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董事长</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邹继华</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董事、总经理</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75.24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卓红叶</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董事</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女</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37.02</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吴立山</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监事会主席</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40.67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贾江花</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监事</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女</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宋健</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职工监事</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AIMIN YAN</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独立董事</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李成艾</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独立董事</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女</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方亮</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副总经理</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102.65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沈敏</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副总经理</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63.52</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袁超</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副总经理、财务总监</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43.46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熊慧萍</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董事会秘书</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女</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现任</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37.23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符迎军</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职工监事</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女</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离任</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合计</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617</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jc w:val="left"/>
        <w:rPr>
          <w:szCs w:val="24"/>
        </w:rPr>
      </w:pPr>
      <w:r>
        <w:rPr>
          <w:rFonts w:hint="eastAsia"/>
          <w:szCs w:val="24"/>
        </w:rPr>
        <w:t>公司董事、高级管理人员报告期内被授予的股权激励情况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right"/>
        <w:rPr>
          <w:szCs w:val="24"/>
        </w:rPr>
      </w:pPr>
      <w:r>
        <w:rPr>
          <w:rFonts w:hint="eastAsia"/>
          <w:szCs w:val="24"/>
        </w:rPr>
        <w:t>单位：股</w:t>
      </w:r>
    </w:p>
    <w:tbl>
      <w:tblPr>
        <w:tblStyle w:val="9"/>
        <w:tblW w:w="0" w:type="auto"/>
        <w:tblInd w:w="28" w:type="dxa"/>
        <w:tblLayout w:type="fixed"/>
        <w:tblCellMar>
          <w:top w:w="0" w:type="dxa"/>
          <w:left w:w="28" w:type="dxa"/>
          <w:bottom w:w="0" w:type="dxa"/>
          <w:right w:w="28" w:type="dxa"/>
        </w:tblCellMar>
      </w:tblPr>
      <w:tblGrid>
        <w:gridCol w:w="865"/>
        <w:gridCol w:w="870"/>
        <w:gridCol w:w="869"/>
        <w:gridCol w:w="869"/>
        <w:gridCol w:w="870"/>
        <w:gridCol w:w="870"/>
        <w:gridCol w:w="870"/>
        <w:gridCol w:w="870"/>
        <w:gridCol w:w="870"/>
        <w:gridCol w:w="870"/>
        <w:gridCol w:w="870"/>
      </w:tblGrid>
      <w:tr>
        <w:tblPrEx>
          <w:tblCellMar>
            <w:top w:w="0" w:type="dxa"/>
            <w:left w:w="28" w:type="dxa"/>
            <w:bottom w:w="0" w:type="dxa"/>
            <w:right w:w="28" w:type="dxa"/>
          </w:tblCellMar>
        </w:tblPrEx>
        <w:tc>
          <w:tcPr>
            <w:tcW w:w="86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姓名</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职务</w:t>
            </w:r>
          </w:p>
        </w:tc>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报告期内可行权股数</w:t>
            </w:r>
          </w:p>
        </w:tc>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报告期内已行权股数</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报告期内已行权股数行权价格（元</w:t>
            </w:r>
            <w:r>
              <w:rPr>
                <w:szCs w:val="24"/>
              </w:rPr>
              <w:t>/</w:t>
            </w:r>
            <w:r>
              <w:rPr>
                <w:rFonts w:hint="eastAsia"/>
                <w:szCs w:val="24"/>
              </w:rPr>
              <w:t>股）</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报告期末市价（元</w:t>
            </w:r>
            <w:r>
              <w:rPr>
                <w:szCs w:val="24"/>
              </w:rPr>
              <w:t>/</w:t>
            </w:r>
            <w:r>
              <w:rPr>
                <w:rFonts w:hint="eastAsia"/>
                <w:szCs w:val="24"/>
              </w:rPr>
              <w:t>股）</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期初持有限制性股票数量</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本期已解锁股份数量</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报告期新授予限制性股票数量</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限制性股票的授予价格（元</w:t>
            </w:r>
            <w:r>
              <w:rPr>
                <w:szCs w:val="24"/>
              </w:rPr>
              <w:t>/</w:t>
            </w:r>
            <w:r>
              <w:rPr>
                <w:rFonts w:hint="eastAsia"/>
                <w:szCs w:val="24"/>
              </w:rPr>
              <w:t>股）</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期末持有限制性股票数量</w:t>
            </w:r>
          </w:p>
        </w:tc>
      </w:tr>
      <w:tr>
        <w:tblPrEx>
          <w:tblCellMar>
            <w:top w:w="0" w:type="dxa"/>
            <w:left w:w="28" w:type="dxa"/>
            <w:bottom w:w="0" w:type="dxa"/>
            <w:right w:w="28" w:type="dxa"/>
          </w:tblCellMar>
        </w:tblPrEx>
        <w:tc>
          <w:tcPr>
            <w:tcW w:w="8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卓红叶</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董事</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15,000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35,000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15,000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13.37</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w:t>
            </w:r>
          </w:p>
        </w:tc>
      </w:tr>
      <w:tr>
        <w:tblPrEx>
          <w:tblCellMar>
            <w:top w:w="0" w:type="dxa"/>
            <w:left w:w="28" w:type="dxa"/>
            <w:bottom w:w="0" w:type="dxa"/>
            <w:right w:w="28" w:type="dxa"/>
          </w:tblCellMar>
        </w:tblPrEx>
        <w:tc>
          <w:tcPr>
            <w:tcW w:w="8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方亮</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副总经理</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45,000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105,000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45,000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13.37</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60,000</w:t>
            </w:r>
          </w:p>
        </w:tc>
      </w:tr>
      <w:tr>
        <w:tblPrEx>
          <w:tblCellMar>
            <w:top w:w="0" w:type="dxa"/>
            <w:left w:w="28" w:type="dxa"/>
            <w:bottom w:w="0" w:type="dxa"/>
            <w:right w:w="28" w:type="dxa"/>
          </w:tblCellMar>
        </w:tblPrEx>
        <w:tc>
          <w:tcPr>
            <w:tcW w:w="8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沈敏</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副总经理</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24,000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56,000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24,000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13.37</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32,000</w:t>
            </w:r>
          </w:p>
        </w:tc>
      </w:tr>
      <w:tr>
        <w:tblPrEx>
          <w:tblCellMar>
            <w:top w:w="0" w:type="dxa"/>
            <w:left w:w="28" w:type="dxa"/>
            <w:bottom w:w="0" w:type="dxa"/>
            <w:right w:w="28" w:type="dxa"/>
          </w:tblCellMar>
        </w:tblPrEx>
        <w:tc>
          <w:tcPr>
            <w:tcW w:w="8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熊慧萍</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董事会秘书</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7,500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17,500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7,500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13.37</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r>
      <w:tr>
        <w:tblPrEx>
          <w:tblCellMar>
            <w:top w:w="0" w:type="dxa"/>
            <w:left w:w="28" w:type="dxa"/>
            <w:bottom w:w="0" w:type="dxa"/>
            <w:right w:w="28" w:type="dxa"/>
          </w:tblCellMar>
        </w:tblPrEx>
        <w:tc>
          <w:tcPr>
            <w:tcW w:w="86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91,500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213,500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91,500</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87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122,000</w:t>
            </w:r>
          </w:p>
        </w:tc>
      </w:tr>
    </w:tbl>
    <w:p>
      <w:pPr>
        <w:pStyle w:val="13"/>
        <w:outlineLvl w:val="1"/>
        <w:rPr>
          <w:bCs w:val="0"/>
        </w:rPr>
      </w:pPr>
      <w:r>
        <w:rPr>
          <w:rFonts w:hint="eastAsia"/>
          <w:bCs w:val="0"/>
        </w:rPr>
        <w:t>五、公司员工情况</w:t>
      </w:r>
    </w:p>
    <w:p>
      <w:pPr>
        <w:pStyle w:val="14"/>
        <w:outlineLvl w:val="2"/>
        <w:rPr>
          <w:bCs w:val="0"/>
          <w:szCs w:val="24"/>
        </w:rPr>
      </w:pPr>
      <w:r>
        <w:rPr>
          <w:bCs w:val="0"/>
          <w:szCs w:val="24"/>
        </w:rPr>
        <w:t>1</w:t>
      </w:r>
      <w:r>
        <w:rPr>
          <w:rFonts w:hint="eastAsia"/>
          <w:bCs w:val="0"/>
          <w:szCs w:val="24"/>
        </w:rPr>
        <w:t>、员工数量、专业构成及教育程度</w:t>
      </w:r>
    </w:p>
    <w:tbl>
      <w:tblPr>
        <w:tblStyle w:val="9"/>
        <w:tblW w:w="0" w:type="auto"/>
        <w:tblInd w:w="28" w:type="dxa"/>
        <w:tblLayout w:type="fixed"/>
        <w:tblCellMar>
          <w:top w:w="0" w:type="dxa"/>
          <w:left w:w="28" w:type="dxa"/>
          <w:bottom w:w="0" w:type="dxa"/>
          <w:right w:w="28" w:type="dxa"/>
        </w:tblCellMar>
      </w:tblPr>
      <w:tblGrid>
        <w:gridCol w:w="4784"/>
        <w:gridCol w:w="4784"/>
      </w:tblGrid>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母公司在职员工的数量（人）</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1,065</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主要子公司在职员工的数量（人）</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1,332</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在职员工的数量合计（人）</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2,397</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当期领取薪酬员工总人数（人）</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2,397</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母公司及主要子公司需承担费用的离退休职工人数（人）</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w:t>
            </w:r>
          </w:p>
        </w:tc>
      </w:tr>
      <w:tr>
        <w:tblPrEx>
          <w:tblCellMar>
            <w:top w:w="0" w:type="dxa"/>
            <w:left w:w="28" w:type="dxa"/>
            <w:bottom w:w="0" w:type="dxa"/>
            <w:right w:w="28" w:type="dxa"/>
          </w:tblCellMar>
        </w:tblPrEx>
        <w:tc>
          <w:tcPr>
            <w:tcW w:w="956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专业构成</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专业构成类别</w:t>
            </w:r>
          </w:p>
        </w:tc>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专业构成人数（人）</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生产人员</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销售人员</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331</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技术人员</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914</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财务人员</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104</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行政人员</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554</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其他人员</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194</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478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2,397</w:t>
            </w:r>
          </w:p>
        </w:tc>
      </w:tr>
      <w:tr>
        <w:tblPrEx>
          <w:tblCellMar>
            <w:top w:w="0" w:type="dxa"/>
            <w:left w:w="28" w:type="dxa"/>
            <w:bottom w:w="0" w:type="dxa"/>
            <w:right w:w="28" w:type="dxa"/>
          </w:tblCellMar>
        </w:tblPrEx>
        <w:tc>
          <w:tcPr>
            <w:tcW w:w="956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教育程度</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教育程度类别</w:t>
            </w:r>
          </w:p>
        </w:tc>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数量（人）</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博士</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硕士</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110</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本科</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957</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大专</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898</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423</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478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2,397</w:t>
            </w:r>
          </w:p>
        </w:tc>
      </w:tr>
    </w:tbl>
    <w:p>
      <w:pPr>
        <w:pStyle w:val="14"/>
        <w:outlineLvl w:val="2"/>
        <w:rPr>
          <w:bCs w:val="0"/>
          <w:szCs w:val="24"/>
        </w:rPr>
      </w:pPr>
      <w:r>
        <w:rPr>
          <w:bCs w:val="0"/>
          <w:szCs w:val="24"/>
        </w:rPr>
        <w:t>2</w:t>
      </w:r>
      <w:r>
        <w:rPr>
          <w:rFonts w:hint="eastAsia"/>
          <w:bCs w:val="0"/>
          <w:szCs w:val="24"/>
        </w:rPr>
        <w:t>、薪酬政策</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公司在员工薪酬政策方面一贯坚持外部因素和内部因素相结合的原则，既考虑国家宏观经济、社会物价水平和本地区、本行业的人才竞争等情况，又考虑公司的盈利状况和成本能力等情况，使公司主要人员的薪酬水平具有较强的外部竞争力。员工薪酬的标准按照以岗定责、定薪，与工作绩效挂钩的原则，制定了有利于人才的引进、促进人才发展的激励机制，重点向关键岗位和关键人才倾斜，具有较强的可操作性。</w:t>
      </w:r>
    </w:p>
    <w:p>
      <w:pPr>
        <w:pStyle w:val="14"/>
        <w:outlineLvl w:val="2"/>
        <w:rPr>
          <w:bCs w:val="0"/>
          <w:szCs w:val="24"/>
        </w:rPr>
      </w:pPr>
      <w:r>
        <w:rPr>
          <w:bCs w:val="0"/>
          <w:szCs w:val="24"/>
        </w:rPr>
        <w:t>3</w:t>
      </w:r>
      <w:r>
        <w:rPr>
          <w:rFonts w:hint="eastAsia"/>
          <w:bCs w:val="0"/>
          <w:szCs w:val="24"/>
        </w:rPr>
        <w:t>、培训计划</w:t>
      </w:r>
    </w:p>
    <w:p>
      <w:pPr>
        <w:autoSpaceDE w:val="0"/>
        <w:autoSpaceDN w:val="0"/>
        <w:adjustRightInd w:val="0"/>
        <w:spacing w:before="0" w:after="0"/>
        <w:ind w:firstLine="420"/>
        <w:jc w:val="left"/>
        <w:rPr>
          <w:rFonts w:eastAsiaTheme="minorEastAsia"/>
          <w:kern w:val="0"/>
          <w:szCs w:val="24"/>
          <w:lang w:val="zh-CN"/>
        </w:rPr>
      </w:pPr>
      <w:r>
        <w:rPr>
          <w:rFonts w:hint="eastAsia" w:ascii="宋体" w:hAnsi="宋体" w:cs="宋体"/>
          <w:kern w:val="0"/>
          <w:szCs w:val="24"/>
          <w:lang w:val="zh-CN"/>
        </w:rPr>
        <w:t>公司根据发展的需要和员工内在需求提供多样化的培训，坚持按需施教、务求实效，注重内部培训。在加强对销售人员、管理人员、内部讲师专业培养的同时，公司重点展开新员工类培训以及对各岗位人员系统的业务能力提升类培训，不断的提供员工各项技能，增强员工对企业的归属感，从而增强企业竞争力。</w:t>
      </w:r>
    </w:p>
    <w:p>
      <w:pPr>
        <w:pStyle w:val="14"/>
        <w:outlineLvl w:val="2"/>
        <w:rPr>
          <w:bCs w:val="0"/>
          <w:szCs w:val="24"/>
        </w:rPr>
      </w:pPr>
      <w:r>
        <w:rPr>
          <w:bCs w:val="0"/>
          <w:szCs w:val="24"/>
        </w:rPr>
        <w:t>4</w:t>
      </w:r>
      <w:r>
        <w:rPr>
          <w:rFonts w:hint="eastAsia"/>
          <w:bCs w:val="0"/>
          <w:szCs w:val="24"/>
        </w:rPr>
        <w:t>、劳务外包情况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sectPr>
          <w:pgSz w:w="11906" w:h="16838"/>
          <w:pgMar w:top="1440" w:right="1134" w:bottom="1440" w:left="1134" w:header="851" w:footer="992" w:gutter="0"/>
          <w:cols w:space="425" w:num="1"/>
          <w:docGrid w:type="lines" w:linePitch="312" w:charSpace="0"/>
        </w:sectPr>
      </w:pPr>
    </w:p>
    <w:p>
      <w:pPr>
        <w:pStyle w:val="8"/>
        <w:outlineLvl w:val="0"/>
        <w:rPr>
          <w:bCs w:val="0"/>
          <w:szCs w:val="24"/>
        </w:rPr>
      </w:pPr>
      <w:bookmarkStart w:id="14" w:name="_Toc38911281"/>
      <w:r>
        <w:rPr>
          <w:rFonts w:hint="eastAsia"/>
          <w:bCs w:val="0"/>
          <w:szCs w:val="24"/>
        </w:rPr>
        <w:t>第十节公司治理</w:t>
      </w:r>
      <w:bookmarkEnd w:id="14"/>
    </w:p>
    <w:p>
      <w:pPr>
        <w:pStyle w:val="13"/>
        <w:outlineLvl w:val="1"/>
        <w:rPr>
          <w:bCs w:val="0"/>
        </w:rPr>
      </w:pPr>
      <w:r>
        <w:rPr>
          <w:rFonts w:hint="eastAsia"/>
          <w:bCs w:val="0"/>
        </w:rPr>
        <w:t>一、公司治理的基本状况</w:t>
      </w:r>
    </w:p>
    <w:p>
      <w:pPr>
        <w:autoSpaceDE w:val="0"/>
        <w:autoSpaceDN w:val="0"/>
        <w:adjustRightInd w:val="0"/>
        <w:spacing w:before="0" w:after="0"/>
        <w:ind w:firstLine="300"/>
        <w:rPr>
          <w:rFonts w:eastAsia="Times New Roman"/>
          <w:kern w:val="0"/>
          <w:szCs w:val="24"/>
          <w:lang w:val="zh-CN"/>
        </w:rPr>
      </w:pPr>
      <w:r>
        <w:rPr>
          <w:rFonts w:hint="eastAsia" w:ascii="宋体" w:hAnsi="宋体" w:cs="宋体"/>
          <w:kern w:val="0"/>
          <w:szCs w:val="24"/>
          <w:lang w:val="zh-CN"/>
        </w:rPr>
        <w:t>报告期内，公司严格按照《公司法》《证券法》《上市公司治理准则》《深圳证券交易所创业板股票上市规则》和中国证监会等有关部门的相关法律、法规，以及规范性文件的要求，加强信息披露工作，不断完善公司治理结构，建立健全内部管理和控制制度体系，持续深入开展公司治理活动，促进了公司规范运作，提高了公司治理水平。</w:t>
      </w:r>
    </w:p>
    <w:p>
      <w:pPr>
        <w:autoSpaceDE w:val="0"/>
        <w:autoSpaceDN w:val="0"/>
        <w:adjustRightInd w:val="0"/>
        <w:spacing w:before="0" w:after="0"/>
        <w:ind w:firstLine="300"/>
        <w:rPr>
          <w:rFonts w:eastAsia="Times New Roman"/>
          <w:kern w:val="0"/>
          <w:szCs w:val="24"/>
          <w:lang w:val="zh-CN"/>
        </w:rPr>
      </w:pPr>
      <w:r>
        <w:rPr>
          <w:rFonts w:hint="eastAsia" w:ascii="宋体" w:hAnsi="宋体" w:cs="宋体"/>
          <w:kern w:val="0"/>
          <w:szCs w:val="24"/>
          <w:lang w:val="zh-CN"/>
        </w:rPr>
        <w:t>公司股东大会是公司的最高权力机构，董事会是公司的日常决策机构，下设战略决策委员会、薪酬与考核委员会、提名委员会以及审计委员会四个专门委员会。董事会向股东大会负责，对公司经营活动中的重大事项进行审议并做出决定，或提交股东大会审议。监事会是公司的监督机构，负责对公司董事、管理层的行为及公司的财务进行监督。</w:t>
      </w:r>
    </w:p>
    <w:p>
      <w:pPr>
        <w:autoSpaceDE w:val="0"/>
        <w:autoSpaceDN w:val="0"/>
        <w:adjustRightInd w:val="0"/>
        <w:spacing w:before="0" w:after="0"/>
        <w:ind w:firstLine="300"/>
        <w:rPr>
          <w:rFonts w:eastAsia="Times New Roman"/>
          <w:kern w:val="0"/>
          <w:szCs w:val="24"/>
          <w:lang w:val="zh-CN"/>
        </w:rPr>
      </w:pPr>
      <w:r>
        <w:rPr>
          <w:rFonts w:hint="eastAsia" w:ascii="宋体" w:hAnsi="宋体" w:cs="宋体"/>
          <w:kern w:val="0"/>
          <w:szCs w:val="24"/>
          <w:lang w:val="zh-CN"/>
        </w:rPr>
        <w:t>公司总经理由董事会聘任，在董事会的领导下，全面负责公司的日常经营管理活动。公司股东大会、董事会、监事会、各经营层职责明确，各董事、监事和高级管理人员勤勉尽责，董事、监事能够积极参加公司股东大会、董事会和监事会并能认真履行职责，关联董事能够主动对相关关联交易事项进行回避表决，确保了公司安全、稳定、健康、持续的发展。</w:t>
      </w:r>
    </w:p>
    <w:p>
      <w:pPr>
        <w:autoSpaceDE w:val="0"/>
        <w:autoSpaceDN w:val="0"/>
        <w:adjustRightInd w:val="0"/>
        <w:spacing w:before="0" w:after="0"/>
        <w:ind w:firstLine="300"/>
        <w:jc w:val="left"/>
        <w:rPr>
          <w:rFonts w:eastAsiaTheme="minorEastAsia"/>
          <w:kern w:val="0"/>
          <w:szCs w:val="24"/>
          <w:lang w:val="zh-CN"/>
        </w:rPr>
      </w:pPr>
      <w:r>
        <w:rPr>
          <w:rFonts w:hint="eastAsia" w:ascii="宋体" w:hAnsi="宋体" w:cs="宋体"/>
          <w:kern w:val="0"/>
          <w:szCs w:val="24"/>
          <w:lang w:val="zh-CN"/>
        </w:rPr>
        <w:t>报告期内，公司进一步完善包括《公司章程》等制度，公司的规范运作、治理水平也进一步得到提升。</w:t>
      </w:r>
    </w:p>
    <w:p>
      <w:pPr>
        <w:jc w:val="left"/>
        <w:rPr>
          <w:szCs w:val="24"/>
        </w:rPr>
      </w:pPr>
      <w:r>
        <w:rPr>
          <w:rFonts w:hint="eastAsia"/>
          <w:szCs w:val="24"/>
        </w:rPr>
        <w:t>公司治理的实际状况与中国证监会发布的有关上市公司治理的规范性文件是否存在重大差异</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jc w:val="left"/>
        <w:rPr>
          <w:szCs w:val="24"/>
        </w:rPr>
      </w:pPr>
      <w:r>
        <w:rPr>
          <w:rFonts w:hint="eastAsia"/>
          <w:szCs w:val="24"/>
        </w:rPr>
        <w:t>公司治理的实际状况与中国证监会发布的有关上市公司治理的规范性文件不存在重大差异。</w:t>
      </w:r>
    </w:p>
    <w:p>
      <w:pPr>
        <w:pStyle w:val="13"/>
        <w:outlineLvl w:val="1"/>
        <w:rPr>
          <w:bCs w:val="0"/>
        </w:rPr>
      </w:pPr>
      <w:r>
        <w:rPr>
          <w:rFonts w:hint="eastAsia"/>
          <w:bCs w:val="0"/>
        </w:rPr>
        <w:t>二、公司相对于控股股东在业务、人员、资产、机构、财务等方面的独立情况</w:t>
      </w:r>
    </w:p>
    <w:p>
      <w:pPr>
        <w:autoSpaceDE w:val="0"/>
        <w:autoSpaceDN w:val="0"/>
        <w:adjustRightInd w:val="0"/>
        <w:spacing w:before="0" w:after="0"/>
        <w:ind w:firstLine="420"/>
        <w:jc w:val="left"/>
        <w:rPr>
          <w:rFonts w:eastAsia="Times New Roman"/>
          <w:kern w:val="0"/>
          <w:szCs w:val="24"/>
          <w:lang w:val="zh-CN"/>
        </w:rPr>
      </w:pPr>
      <w:r>
        <w:rPr>
          <w:rFonts w:hint="eastAsia" w:ascii="宋体" w:hAnsi="宋体" w:cs="宋体"/>
          <w:kern w:val="0"/>
          <w:szCs w:val="24"/>
          <w:lang w:val="zh-CN"/>
        </w:rPr>
        <w:t>公司严格按照《公司法》、《证券法》等有关法律、法规和《公司章程》的要求规范运作，在业务、人员、资产、机构和财务等方面与控股股东相互独立，建立了独立完整的业务体系，在自主经营能力不存在受影响的情况。</w:t>
      </w:r>
    </w:p>
    <w:p>
      <w:pPr>
        <w:pStyle w:val="13"/>
        <w:outlineLvl w:val="1"/>
        <w:rPr>
          <w:bCs w:val="0"/>
        </w:rPr>
      </w:pPr>
      <w:r>
        <w:rPr>
          <w:rFonts w:hint="eastAsia"/>
          <w:bCs w:val="0"/>
        </w:rPr>
        <w:t>三、同业竞争情况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3"/>
        <w:outlineLvl w:val="1"/>
        <w:rPr>
          <w:bCs w:val="0"/>
        </w:rPr>
      </w:pPr>
      <w:r>
        <w:rPr>
          <w:rFonts w:hint="eastAsia"/>
          <w:bCs w:val="0"/>
        </w:rPr>
        <w:t>四、报告期内召开的年度股东大会和临时股东大会的有关情况</w:t>
      </w:r>
    </w:p>
    <w:p>
      <w:pPr>
        <w:pStyle w:val="14"/>
        <w:outlineLvl w:val="2"/>
        <w:rPr>
          <w:bCs w:val="0"/>
          <w:szCs w:val="24"/>
        </w:rPr>
      </w:pPr>
      <w:r>
        <w:rPr>
          <w:bCs w:val="0"/>
          <w:szCs w:val="24"/>
        </w:rPr>
        <w:t>1</w:t>
      </w:r>
      <w:r>
        <w:rPr>
          <w:rFonts w:hint="eastAsia"/>
          <w:bCs w:val="0"/>
          <w:szCs w:val="24"/>
        </w:rPr>
        <w:t>、本报告期股东大会情况</w:t>
      </w:r>
    </w:p>
    <w:tbl>
      <w:tblPr>
        <w:tblStyle w:val="9"/>
        <w:tblW w:w="0" w:type="auto"/>
        <w:tblInd w:w="28" w:type="dxa"/>
        <w:tblLayout w:type="fixed"/>
        <w:tblCellMar>
          <w:top w:w="0" w:type="dxa"/>
          <w:left w:w="28" w:type="dxa"/>
          <w:bottom w:w="0" w:type="dxa"/>
          <w:right w:w="28" w:type="dxa"/>
        </w:tblCellMar>
      </w:tblPr>
      <w:tblGrid>
        <w:gridCol w:w="1596"/>
        <w:gridCol w:w="1594"/>
        <w:gridCol w:w="1594"/>
        <w:gridCol w:w="1594"/>
        <w:gridCol w:w="1594"/>
        <w:gridCol w:w="1594"/>
      </w:tblGrid>
      <w:tr>
        <w:tc>
          <w:tcPr>
            <w:tcW w:w="15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会议届次</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会议类型</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投资者参与比例</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召开日期</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披露日期</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披露索引</w:t>
            </w:r>
          </w:p>
        </w:tc>
      </w:tr>
      <w:tr>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年第一次临时股东大会</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临时股东大会</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03</w:t>
            </w:r>
            <w:r>
              <w:rPr>
                <w:rFonts w:hint="eastAsia"/>
                <w:szCs w:val="24"/>
              </w:rPr>
              <w:t>月</w:t>
            </w:r>
            <w:r>
              <w:rPr>
                <w:szCs w:val="24"/>
              </w:rPr>
              <w:t>20</w:t>
            </w:r>
            <w:r>
              <w:rPr>
                <w:rFonts w:hint="eastAsia"/>
                <w:szCs w:val="24"/>
              </w:rPr>
              <w:t>日</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03</w:t>
            </w:r>
            <w:r>
              <w:rPr>
                <w:rFonts w:hint="eastAsia"/>
                <w:szCs w:val="24"/>
              </w:rPr>
              <w:t>月</w:t>
            </w:r>
            <w:r>
              <w:rPr>
                <w:szCs w:val="24"/>
              </w:rPr>
              <w:t>21</w:t>
            </w:r>
            <w:r>
              <w:rPr>
                <w:rFonts w:hint="eastAsia"/>
                <w:szCs w:val="24"/>
              </w:rPr>
              <w:t>日</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巨潮资讯网，公告</w:t>
            </w:r>
            <w:r>
              <w:rPr>
                <w:szCs w:val="24"/>
              </w:rPr>
              <w:t>2019-044</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年第二次临时股东大会</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临时股东大会</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66.06%</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04</w:t>
            </w:r>
            <w:r>
              <w:rPr>
                <w:rFonts w:hint="eastAsia"/>
                <w:szCs w:val="24"/>
              </w:rPr>
              <w:t>月</w:t>
            </w:r>
            <w:r>
              <w:rPr>
                <w:szCs w:val="24"/>
              </w:rPr>
              <w:t>02</w:t>
            </w:r>
            <w:r>
              <w:rPr>
                <w:rFonts w:hint="eastAsia"/>
                <w:szCs w:val="24"/>
              </w:rPr>
              <w:t>日</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04</w:t>
            </w:r>
            <w:r>
              <w:rPr>
                <w:rFonts w:hint="eastAsia"/>
                <w:szCs w:val="24"/>
              </w:rPr>
              <w:t>月</w:t>
            </w:r>
            <w:r>
              <w:rPr>
                <w:szCs w:val="24"/>
              </w:rPr>
              <w:t>03</w:t>
            </w:r>
            <w:r>
              <w:rPr>
                <w:rFonts w:hint="eastAsia"/>
                <w:szCs w:val="24"/>
              </w:rPr>
              <w:t>日</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巨潮资讯网，公告</w:t>
            </w:r>
            <w:r>
              <w:rPr>
                <w:szCs w:val="24"/>
              </w:rPr>
              <w:t>2019-045</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年度股东大会</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年度股东大会</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66.11%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04</w:t>
            </w:r>
            <w:r>
              <w:rPr>
                <w:rFonts w:hint="eastAsia"/>
                <w:szCs w:val="24"/>
              </w:rPr>
              <w:t>月</w:t>
            </w:r>
            <w:r>
              <w:rPr>
                <w:szCs w:val="24"/>
              </w:rPr>
              <w:t>10</w:t>
            </w:r>
            <w:r>
              <w:rPr>
                <w:rFonts w:hint="eastAsia"/>
                <w:szCs w:val="24"/>
              </w:rPr>
              <w:t>日</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04</w:t>
            </w:r>
            <w:r>
              <w:rPr>
                <w:rFonts w:hint="eastAsia"/>
                <w:szCs w:val="24"/>
              </w:rPr>
              <w:t>月</w:t>
            </w:r>
            <w:r>
              <w:rPr>
                <w:szCs w:val="24"/>
              </w:rPr>
              <w:t>11</w:t>
            </w:r>
            <w:r>
              <w:rPr>
                <w:rFonts w:hint="eastAsia"/>
                <w:szCs w:val="24"/>
              </w:rPr>
              <w:t>日</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巨潮资讯网，公告</w:t>
            </w:r>
            <w:r>
              <w:rPr>
                <w:szCs w:val="24"/>
              </w:rPr>
              <w:t>2019-047</w:t>
            </w:r>
          </w:p>
        </w:tc>
      </w:tr>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年第三次临时股东大会</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临时股东大会</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66.41%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08</w:t>
            </w:r>
            <w:r>
              <w:rPr>
                <w:rFonts w:hint="eastAsia"/>
                <w:szCs w:val="24"/>
              </w:rPr>
              <w:t>月</w:t>
            </w:r>
            <w:r>
              <w:rPr>
                <w:szCs w:val="24"/>
              </w:rPr>
              <w:t>02</w:t>
            </w:r>
            <w:r>
              <w:rPr>
                <w:rFonts w:hint="eastAsia"/>
                <w:szCs w:val="24"/>
              </w:rPr>
              <w:t>日</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08</w:t>
            </w:r>
            <w:r>
              <w:rPr>
                <w:rFonts w:hint="eastAsia"/>
                <w:szCs w:val="24"/>
              </w:rPr>
              <w:t>月</w:t>
            </w:r>
            <w:r>
              <w:rPr>
                <w:szCs w:val="24"/>
              </w:rPr>
              <w:t>03</w:t>
            </w:r>
            <w:r>
              <w:rPr>
                <w:rFonts w:hint="eastAsia"/>
                <w:szCs w:val="24"/>
              </w:rPr>
              <w:t>日</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巨潮资讯网，公告</w:t>
            </w:r>
            <w:r>
              <w:rPr>
                <w:szCs w:val="24"/>
              </w:rPr>
              <w:t>2019-086</w:t>
            </w:r>
          </w:p>
        </w:tc>
      </w:tr>
    </w:tbl>
    <w:p>
      <w:pPr>
        <w:pStyle w:val="14"/>
        <w:outlineLvl w:val="2"/>
        <w:rPr>
          <w:bCs w:val="0"/>
          <w:szCs w:val="24"/>
        </w:rPr>
      </w:pPr>
      <w:r>
        <w:rPr>
          <w:bCs w:val="0"/>
          <w:szCs w:val="24"/>
        </w:rPr>
        <w:t>2</w:t>
      </w:r>
      <w:r>
        <w:rPr>
          <w:rFonts w:hint="eastAsia"/>
          <w:bCs w:val="0"/>
          <w:szCs w:val="24"/>
        </w:rPr>
        <w:t>、表决权恢复的优先股股东请求召开临时股东大会</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3"/>
        <w:outlineLvl w:val="1"/>
        <w:rPr>
          <w:bCs w:val="0"/>
        </w:rPr>
      </w:pPr>
      <w:r>
        <w:rPr>
          <w:rFonts w:hint="eastAsia"/>
          <w:bCs w:val="0"/>
        </w:rPr>
        <w:t>五、报告期内独立董事履行职责的情况</w:t>
      </w:r>
    </w:p>
    <w:p>
      <w:pPr>
        <w:pStyle w:val="14"/>
        <w:outlineLvl w:val="2"/>
        <w:rPr>
          <w:bCs w:val="0"/>
          <w:szCs w:val="24"/>
        </w:rPr>
      </w:pPr>
      <w:r>
        <w:rPr>
          <w:bCs w:val="0"/>
          <w:szCs w:val="24"/>
        </w:rPr>
        <w:t>1</w:t>
      </w:r>
      <w:r>
        <w:rPr>
          <w:rFonts w:hint="eastAsia"/>
          <w:bCs w:val="0"/>
          <w:szCs w:val="24"/>
        </w:rPr>
        <w:t>、独立董事出席董事会及股东大会的情况</w:t>
      </w:r>
    </w:p>
    <w:tbl>
      <w:tblPr>
        <w:tblStyle w:val="9"/>
        <w:tblW w:w="0" w:type="auto"/>
        <w:tblInd w:w="28" w:type="dxa"/>
        <w:tblLayout w:type="fixed"/>
        <w:tblCellMar>
          <w:top w:w="0" w:type="dxa"/>
          <w:left w:w="28" w:type="dxa"/>
          <w:bottom w:w="0" w:type="dxa"/>
          <w:right w:w="28" w:type="dxa"/>
        </w:tblCellMar>
      </w:tblPr>
      <w:tblGrid>
        <w:gridCol w:w="1427"/>
        <w:gridCol w:w="1164"/>
        <w:gridCol w:w="1164"/>
        <w:gridCol w:w="1163"/>
        <w:gridCol w:w="1163"/>
        <w:gridCol w:w="1163"/>
        <w:gridCol w:w="1163"/>
        <w:gridCol w:w="1163"/>
      </w:tblGrid>
      <w:tr>
        <w:tblPrEx>
          <w:tblCellMar>
            <w:top w:w="0" w:type="dxa"/>
            <w:left w:w="28" w:type="dxa"/>
            <w:bottom w:w="0" w:type="dxa"/>
            <w:right w:w="28" w:type="dxa"/>
          </w:tblCellMar>
        </w:tblPrEx>
        <w:tc>
          <w:tcPr>
            <w:tcW w:w="9570" w:type="dxa"/>
            <w:gridSpan w:val="8"/>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独立董事出席董事会及股东大会的情况</w:t>
            </w:r>
          </w:p>
        </w:tc>
      </w:tr>
      <w:tr>
        <w:tblPrEx>
          <w:tblCellMar>
            <w:top w:w="0" w:type="dxa"/>
            <w:left w:w="28" w:type="dxa"/>
            <w:bottom w:w="0" w:type="dxa"/>
            <w:right w:w="28" w:type="dxa"/>
          </w:tblCellMar>
        </w:tblPrEx>
        <w:tc>
          <w:tcPr>
            <w:tcW w:w="142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独立董事姓名</w:t>
            </w:r>
          </w:p>
        </w:tc>
        <w:tc>
          <w:tcPr>
            <w:tcW w:w="116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本报告期应参加董事会次数</w:t>
            </w:r>
          </w:p>
        </w:tc>
        <w:tc>
          <w:tcPr>
            <w:tcW w:w="116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现场出席董事会次数</w:t>
            </w:r>
          </w:p>
        </w:tc>
        <w:tc>
          <w:tcPr>
            <w:tcW w:w="11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以通讯方式参加董事会次数</w:t>
            </w:r>
          </w:p>
        </w:tc>
        <w:tc>
          <w:tcPr>
            <w:tcW w:w="11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委托出席董事会次数</w:t>
            </w:r>
          </w:p>
        </w:tc>
        <w:tc>
          <w:tcPr>
            <w:tcW w:w="11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缺席董事会次数</w:t>
            </w:r>
          </w:p>
        </w:tc>
        <w:tc>
          <w:tcPr>
            <w:tcW w:w="11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是否连续两次未亲自参加董事会会议</w:t>
            </w:r>
          </w:p>
        </w:tc>
        <w:tc>
          <w:tcPr>
            <w:tcW w:w="11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出席股东大会次数</w:t>
            </w:r>
          </w:p>
        </w:tc>
      </w:tr>
      <w:tr>
        <w:tblPrEx>
          <w:tblCellMar>
            <w:top w:w="0" w:type="dxa"/>
            <w:left w:w="28" w:type="dxa"/>
            <w:bottom w:w="0" w:type="dxa"/>
            <w:right w:w="28" w:type="dxa"/>
          </w:tblCellMar>
        </w:tblPrEx>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AIMIN YAN</w:t>
            </w:r>
          </w:p>
        </w:tc>
        <w:tc>
          <w:tcPr>
            <w:tcW w:w="116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w:t>
            </w:r>
          </w:p>
        </w:tc>
        <w:tc>
          <w:tcPr>
            <w:tcW w:w="116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w:t>
            </w:r>
          </w:p>
        </w:tc>
      </w:tr>
      <w:tr>
        <w:tblPrEx>
          <w:tblCellMar>
            <w:top w:w="0" w:type="dxa"/>
            <w:left w:w="28" w:type="dxa"/>
            <w:bottom w:w="0" w:type="dxa"/>
            <w:right w:w="28" w:type="dxa"/>
          </w:tblCellMar>
        </w:tblPrEx>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李成艾</w:t>
            </w:r>
          </w:p>
        </w:tc>
        <w:tc>
          <w:tcPr>
            <w:tcW w:w="116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w:t>
            </w:r>
          </w:p>
        </w:tc>
        <w:tc>
          <w:tcPr>
            <w:tcW w:w="116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w:t>
            </w:r>
          </w:p>
        </w:tc>
      </w:tr>
    </w:tbl>
    <w:p>
      <w:pPr>
        <w:jc w:val="left"/>
        <w:rPr>
          <w:szCs w:val="24"/>
        </w:rPr>
      </w:pPr>
      <w:r>
        <w:rPr>
          <w:rFonts w:hint="eastAsia"/>
          <w:szCs w:val="24"/>
        </w:rPr>
        <w:t>连续两次未亲自出席董事会的说明</w:t>
      </w:r>
    </w:p>
    <w:p>
      <w:pPr>
        <w:pStyle w:val="14"/>
        <w:outlineLvl w:val="2"/>
        <w:rPr>
          <w:bCs w:val="0"/>
          <w:szCs w:val="24"/>
        </w:rPr>
      </w:pPr>
      <w:r>
        <w:rPr>
          <w:bCs w:val="0"/>
          <w:szCs w:val="24"/>
        </w:rPr>
        <w:t>2</w:t>
      </w:r>
      <w:r>
        <w:rPr>
          <w:rFonts w:hint="eastAsia"/>
          <w:bCs w:val="0"/>
          <w:szCs w:val="24"/>
        </w:rPr>
        <w:t>、独立董事对公司有关事项提出异议的情况</w:t>
      </w:r>
    </w:p>
    <w:p>
      <w:pPr>
        <w:jc w:val="left"/>
        <w:rPr>
          <w:szCs w:val="24"/>
        </w:rPr>
      </w:pPr>
      <w:r>
        <w:rPr>
          <w:rFonts w:hint="eastAsia"/>
          <w:szCs w:val="24"/>
        </w:rPr>
        <w:t>独立董事对公司有关事项是否提出异议</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jc w:val="left"/>
        <w:rPr>
          <w:szCs w:val="24"/>
        </w:rPr>
      </w:pPr>
      <w:r>
        <w:rPr>
          <w:rFonts w:hint="eastAsia"/>
          <w:szCs w:val="24"/>
        </w:rPr>
        <w:t>报告期内独立董事对公司有关事项未提出异议。</w:t>
      </w:r>
    </w:p>
    <w:p>
      <w:pPr>
        <w:pStyle w:val="14"/>
        <w:outlineLvl w:val="2"/>
        <w:rPr>
          <w:bCs w:val="0"/>
          <w:szCs w:val="24"/>
        </w:rPr>
      </w:pPr>
      <w:r>
        <w:rPr>
          <w:bCs w:val="0"/>
          <w:szCs w:val="24"/>
        </w:rPr>
        <w:t>3</w:t>
      </w:r>
      <w:r>
        <w:rPr>
          <w:rFonts w:hint="eastAsia"/>
          <w:bCs w:val="0"/>
          <w:szCs w:val="24"/>
        </w:rPr>
        <w:t>、独立董事履行职责的其他说明</w:t>
      </w:r>
    </w:p>
    <w:p>
      <w:pPr>
        <w:jc w:val="left"/>
        <w:rPr>
          <w:szCs w:val="24"/>
        </w:rPr>
      </w:pPr>
      <w:r>
        <w:rPr>
          <w:rFonts w:hint="eastAsia"/>
          <w:szCs w:val="24"/>
        </w:rPr>
        <w:t>独立董事对公司有关建议是否被采纳</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jc w:val="left"/>
        <w:rPr>
          <w:szCs w:val="24"/>
        </w:rPr>
      </w:pPr>
      <w:r>
        <w:rPr>
          <w:rFonts w:hint="eastAsia"/>
          <w:szCs w:val="24"/>
        </w:rPr>
        <w:t>独立董事对公司有关建议被采纳或未被采纳的说明</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报告期内，独立董事对公司提出的各项合理建议均被采纳。</w:t>
      </w:r>
    </w:p>
    <w:p>
      <w:pPr>
        <w:pStyle w:val="13"/>
        <w:outlineLvl w:val="1"/>
        <w:rPr>
          <w:bCs w:val="0"/>
        </w:rPr>
      </w:pPr>
      <w:r>
        <w:rPr>
          <w:rFonts w:hint="eastAsia"/>
          <w:bCs w:val="0"/>
        </w:rPr>
        <w:t>六、董事会下设专门委员会在报告期内履行职责情况</w:t>
      </w:r>
    </w:p>
    <w:p>
      <w:pPr>
        <w:autoSpaceDE w:val="0"/>
        <w:autoSpaceDN w:val="0"/>
        <w:adjustRightInd w:val="0"/>
        <w:spacing w:before="0" w:after="0"/>
        <w:ind w:firstLine="300"/>
        <w:jc w:val="left"/>
        <w:rPr>
          <w:rFonts w:eastAsia="Times New Roman"/>
          <w:kern w:val="0"/>
          <w:szCs w:val="24"/>
          <w:lang w:val="zh-CN"/>
        </w:rPr>
      </w:pPr>
      <w:r>
        <w:rPr>
          <w:rFonts w:hint="eastAsia" w:ascii="宋体" w:hAnsi="宋体" w:cs="宋体"/>
          <w:kern w:val="0"/>
          <w:szCs w:val="24"/>
          <w:lang w:val="zh-CN"/>
        </w:rPr>
        <w:t>公司董事会下设审计委员会、战略委员会、提名委员会、薪酬与考核委员会。各专门委员会在报告期内的履职情况如下：</w:t>
      </w:r>
    </w:p>
    <w:p>
      <w:pPr>
        <w:autoSpaceDE w:val="0"/>
        <w:autoSpaceDN w:val="0"/>
        <w:adjustRightInd w:val="0"/>
        <w:spacing w:before="0" w:after="0"/>
        <w:ind w:firstLine="300"/>
        <w:jc w:val="left"/>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年度，公司审计委员会依据审计委员会工作要求，认真履行了相关工作职责，共召开了四次会议，为提高公司内部控制水平，完善内部控制制度，切实有效地监督了公司的外部审计工作发挥专业性作用。</w:t>
      </w:r>
    </w:p>
    <w:p>
      <w:pPr>
        <w:autoSpaceDE w:val="0"/>
        <w:autoSpaceDN w:val="0"/>
        <w:adjustRightInd w:val="0"/>
        <w:spacing w:before="0" w:after="0"/>
        <w:ind w:firstLine="300"/>
        <w:jc w:val="left"/>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年度，公司战略委员会严格按照战略委员会工作要求，积极履行职责，共召开了一次会议，根据公司自身的发展状况，对公司的长期发展战略和其他重大事项，从战略和技术角度提供了规划和建议。</w:t>
      </w:r>
    </w:p>
    <w:p>
      <w:pPr>
        <w:autoSpaceDE w:val="0"/>
        <w:autoSpaceDN w:val="0"/>
        <w:adjustRightInd w:val="0"/>
        <w:spacing w:before="0" w:after="0"/>
        <w:ind w:firstLine="300"/>
        <w:jc w:val="left"/>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度，公司薪酬与考核委员会共召开了两次会议，对公司董事、监事和高级管理人员薪酬及公司股权激励计划解锁条件达成情况和激励对象考核情况等事项进行了讨论审议，充分发挥专业性作用，切实履行了委员会的工作职责。</w:t>
      </w:r>
    </w:p>
    <w:p>
      <w:pPr>
        <w:autoSpaceDE w:val="0"/>
        <w:autoSpaceDN w:val="0"/>
        <w:adjustRightInd w:val="0"/>
        <w:spacing w:before="0" w:after="0"/>
        <w:ind w:firstLine="300"/>
        <w:jc w:val="left"/>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年度，公司未召开提名委员会会议。</w:t>
      </w:r>
    </w:p>
    <w:p>
      <w:pPr>
        <w:pStyle w:val="13"/>
        <w:outlineLvl w:val="1"/>
        <w:rPr>
          <w:bCs w:val="0"/>
        </w:rPr>
      </w:pPr>
      <w:r>
        <w:rPr>
          <w:rFonts w:hint="eastAsia"/>
          <w:bCs w:val="0"/>
        </w:rPr>
        <w:t>七、监事会工作情况</w:t>
      </w:r>
    </w:p>
    <w:p>
      <w:pPr>
        <w:jc w:val="left"/>
        <w:rPr>
          <w:szCs w:val="24"/>
        </w:rPr>
      </w:pPr>
      <w:r>
        <w:rPr>
          <w:rFonts w:hint="eastAsia"/>
          <w:szCs w:val="24"/>
        </w:rPr>
        <w:t>监事会在报告期内的监督活动中发现公司是否存在风险</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jc w:val="left"/>
        <w:rPr>
          <w:szCs w:val="24"/>
        </w:rPr>
      </w:pPr>
      <w:r>
        <w:rPr>
          <w:rFonts w:hint="eastAsia"/>
          <w:szCs w:val="24"/>
        </w:rPr>
        <w:t>公司监事会对报告期内的监督事项无异议。</w:t>
      </w:r>
    </w:p>
    <w:p>
      <w:pPr>
        <w:pStyle w:val="13"/>
        <w:outlineLvl w:val="1"/>
        <w:rPr>
          <w:bCs w:val="0"/>
        </w:rPr>
      </w:pPr>
      <w:r>
        <w:rPr>
          <w:rFonts w:hint="eastAsia"/>
          <w:bCs w:val="0"/>
        </w:rPr>
        <w:t>八、高级管理人员的考评及激励情况</w:t>
      </w:r>
    </w:p>
    <w:p>
      <w:pPr>
        <w:autoSpaceDE w:val="0"/>
        <w:autoSpaceDN w:val="0"/>
        <w:adjustRightInd w:val="0"/>
        <w:spacing w:before="0" w:after="0"/>
        <w:ind w:firstLine="300"/>
        <w:jc w:val="left"/>
        <w:rPr>
          <w:rFonts w:eastAsia="Times New Roman"/>
          <w:kern w:val="0"/>
          <w:szCs w:val="24"/>
          <w:lang w:val="zh-CN"/>
        </w:rPr>
      </w:pPr>
      <w:r>
        <w:rPr>
          <w:rFonts w:hint="eastAsia" w:ascii="宋体" w:hAnsi="宋体" w:cs="宋体"/>
          <w:kern w:val="0"/>
          <w:szCs w:val="24"/>
          <w:lang w:val="zh-CN"/>
        </w:rPr>
        <w:t>公司建立了科学、完善的高级管理人员考评及激励制度，公司高级管理人员根据董事会设定的年度经营目标计划，实施和调整经营策略。根据公司年度经营目标完成情况及高级管理人员的工作业绩，对高级管理人员进行考评，依据考评结果实施奖惩。</w:t>
      </w:r>
    </w:p>
    <w:p>
      <w:pPr>
        <w:pStyle w:val="13"/>
        <w:outlineLvl w:val="1"/>
        <w:rPr>
          <w:bCs w:val="0"/>
        </w:rPr>
      </w:pPr>
      <w:r>
        <w:rPr>
          <w:rFonts w:hint="eastAsia"/>
          <w:bCs w:val="0"/>
        </w:rPr>
        <w:t>九、内部控制评价报告</w:t>
      </w:r>
    </w:p>
    <w:p>
      <w:pPr>
        <w:pStyle w:val="14"/>
        <w:outlineLvl w:val="2"/>
        <w:rPr>
          <w:bCs w:val="0"/>
          <w:szCs w:val="24"/>
        </w:rPr>
      </w:pPr>
      <w:r>
        <w:rPr>
          <w:bCs w:val="0"/>
          <w:szCs w:val="24"/>
        </w:rPr>
        <w:t>1</w:t>
      </w:r>
      <w:r>
        <w:rPr>
          <w:rFonts w:hint="eastAsia"/>
          <w:bCs w:val="0"/>
          <w:szCs w:val="24"/>
        </w:rPr>
        <w:t>、报告期内发现的内部控制重大缺陷的具体情况</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pStyle w:val="14"/>
        <w:outlineLvl w:val="2"/>
        <w:rPr>
          <w:bCs w:val="0"/>
          <w:szCs w:val="24"/>
        </w:rPr>
      </w:pPr>
      <w:r>
        <w:rPr>
          <w:bCs w:val="0"/>
          <w:szCs w:val="24"/>
        </w:rPr>
        <w:t>2</w:t>
      </w:r>
      <w:r>
        <w:rPr>
          <w:rFonts w:hint="eastAsia"/>
          <w:bCs w:val="0"/>
          <w:szCs w:val="24"/>
        </w:rPr>
        <w:t>、内控自我评价报告</w:t>
      </w:r>
    </w:p>
    <w:tbl>
      <w:tblPr>
        <w:tblStyle w:val="9"/>
        <w:tblW w:w="0" w:type="auto"/>
        <w:tblInd w:w="28" w:type="dxa"/>
        <w:tblLayout w:type="fixed"/>
        <w:tblCellMar>
          <w:top w:w="0" w:type="dxa"/>
          <w:left w:w="28" w:type="dxa"/>
          <w:bottom w:w="0" w:type="dxa"/>
          <w:right w:w="28" w:type="dxa"/>
        </w:tblCellMar>
      </w:tblPr>
      <w:tblGrid>
        <w:gridCol w:w="3194"/>
        <w:gridCol w:w="3323"/>
        <w:gridCol w:w="3051"/>
      </w:tblGrid>
      <w:tr>
        <w:tblPrEx>
          <w:tblCellMar>
            <w:top w:w="0" w:type="dxa"/>
            <w:left w:w="28" w:type="dxa"/>
            <w:bottom w:w="0" w:type="dxa"/>
            <w:right w:w="28" w:type="dxa"/>
          </w:tblCellMar>
        </w:tblPrEx>
        <w:tc>
          <w:tcPr>
            <w:tcW w:w="31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内部控制评价报告全文披露日期</w:t>
            </w:r>
          </w:p>
        </w:tc>
        <w:tc>
          <w:tcPr>
            <w:tcW w:w="637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w:t>
            </w:r>
            <w:r>
              <w:rPr>
                <w:szCs w:val="24"/>
              </w:rPr>
              <w:t>04</w:t>
            </w:r>
            <w:r>
              <w:rPr>
                <w:rFonts w:hint="eastAsia"/>
                <w:szCs w:val="24"/>
              </w:rPr>
              <w:t>月</w:t>
            </w:r>
            <w:r>
              <w:rPr>
                <w:szCs w:val="24"/>
              </w:rPr>
              <w:t>27</w:t>
            </w:r>
            <w:r>
              <w:rPr>
                <w:rFonts w:hint="eastAsia"/>
                <w:szCs w:val="24"/>
              </w:rPr>
              <w:t>日</w:t>
            </w:r>
          </w:p>
        </w:tc>
      </w:tr>
      <w:tr>
        <w:tblPrEx>
          <w:tblCellMar>
            <w:top w:w="0" w:type="dxa"/>
            <w:left w:w="28" w:type="dxa"/>
            <w:bottom w:w="0" w:type="dxa"/>
            <w:right w:w="28" w:type="dxa"/>
          </w:tblCellMar>
        </w:tblPrEx>
        <w:tc>
          <w:tcPr>
            <w:tcW w:w="31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内部控制评价报告全文披露索引</w:t>
            </w:r>
          </w:p>
        </w:tc>
        <w:tc>
          <w:tcPr>
            <w:tcW w:w="637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详见公司于</w:t>
            </w:r>
            <w:r>
              <w:rPr>
                <w:szCs w:val="24"/>
              </w:rPr>
              <w:t>2020</w:t>
            </w:r>
            <w:r>
              <w:rPr>
                <w:rFonts w:hint="eastAsia"/>
                <w:szCs w:val="24"/>
              </w:rPr>
              <w:t>年</w:t>
            </w:r>
            <w:r>
              <w:rPr>
                <w:szCs w:val="24"/>
              </w:rPr>
              <w:t>4</w:t>
            </w:r>
            <w:r>
              <w:rPr>
                <w:rFonts w:hint="eastAsia"/>
                <w:szCs w:val="24"/>
              </w:rPr>
              <w:t>月</w:t>
            </w:r>
            <w:r>
              <w:rPr>
                <w:szCs w:val="24"/>
              </w:rPr>
              <w:t>27</w:t>
            </w:r>
            <w:r>
              <w:rPr>
                <w:rFonts w:hint="eastAsia"/>
                <w:szCs w:val="24"/>
              </w:rPr>
              <w:t>日在巨潮资讯网刊登的《</w:t>
            </w:r>
            <w:r>
              <w:rPr>
                <w:szCs w:val="24"/>
              </w:rPr>
              <w:t>2019</w:t>
            </w:r>
            <w:r>
              <w:rPr>
                <w:rFonts w:hint="eastAsia"/>
                <w:szCs w:val="24"/>
              </w:rPr>
              <w:t>年度内部控制的自我评价报告》</w:t>
            </w:r>
          </w:p>
        </w:tc>
      </w:tr>
      <w:tr>
        <w:tblPrEx>
          <w:tblCellMar>
            <w:top w:w="0" w:type="dxa"/>
            <w:left w:w="28" w:type="dxa"/>
            <w:bottom w:w="0" w:type="dxa"/>
            <w:right w:w="28" w:type="dxa"/>
          </w:tblCellMar>
        </w:tblPrEx>
        <w:tc>
          <w:tcPr>
            <w:tcW w:w="31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纳入评价范围单位资产总额占公司合并财务报表资产总额的比例</w:t>
            </w:r>
          </w:p>
        </w:tc>
        <w:tc>
          <w:tcPr>
            <w:tcW w:w="637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r>
      <w:tr>
        <w:tblPrEx>
          <w:tblCellMar>
            <w:top w:w="0" w:type="dxa"/>
            <w:left w:w="28" w:type="dxa"/>
            <w:bottom w:w="0" w:type="dxa"/>
            <w:right w:w="28" w:type="dxa"/>
          </w:tblCellMar>
        </w:tblPrEx>
        <w:tc>
          <w:tcPr>
            <w:tcW w:w="31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纳入评价范围单位营业收入占公司合并财务报表营业收入的比例</w:t>
            </w:r>
          </w:p>
        </w:tc>
        <w:tc>
          <w:tcPr>
            <w:tcW w:w="637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r>
      <w:tr>
        <w:tblPrEx>
          <w:tblCellMar>
            <w:top w:w="0" w:type="dxa"/>
            <w:left w:w="28" w:type="dxa"/>
            <w:bottom w:w="0" w:type="dxa"/>
            <w:right w:w="28" w:type="dxa"/>
          </w:tblCellMar>
        </w:tblPrEx>
        <w:tc>
          <w:tcPr>
            <w:tcW w:w="9568"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缺陷认定标准</w:t>
            </w:r>
          </w:p>
        </w:tc>
      </w:tr>
      <w:tr>
        <w:tblPrEx>
          <w:tblCellMar>
            <w:top w:w="0" w:type="dxa"/>
            <w:left w:w="28" w:type="dxa"/>
            <w:bottom w:w="0" w:type="dxa"/>
            <w:right w:w="28" w:type="dxa"/>
          </w:tblCellMar>
        </w:tblPrEx>
        <w:tc>
          <w:tcPr>
            <w:tcW w:w="31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类别</w:t>
            </w:r>
          </w:p>
        </w:tc>
        <w:tc>
          <w:tcPr>
            <w:tcW w:w="332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财务报告</w:t>
            </w:r>
          </w:p>
        </w:tc>
        <w:tc>
          <w:tcPr>
            <w:tcW w:w="305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非财务报告</w:t>
            </w:r>
          </w:p>
        </w:tc>
      </w:tr>
      <w:tr>
        <w:tblPrEx>
          <w:tblCellMar>
            <w:top w:w="0" w:type="dxa"/>
            <w:left w:w="28" w:type="dxa"/>
            <w:bottom w:w="0" w:type="dxa"/>
            <w:right w:w="28" w:type="dxa"/>
          </w:tblCellMar>
        </w:tblPrEx>
        <w:tc>
          <w:tcPr>
            <w:tcW w:w="31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定性标准</w:t>
            </w:r>
          </w:p>
        </w:tc>
        <w:tc>
          <w:tcPr>
            <w:tcW w:w="332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财务报告重大缺陷的迹象包括：（</w:t>
            </w:r>
            <w:r>
              <w:rPr>
                <w:szCs w:val="24"/>
              </w:rPr>
              <w:t>1</w:t>
            </w:r>
            <w:r>
              <w:rPr>
                <w:rFonts w:hint="eastAsia"/>
                <w:szCs w:val="24"/>
              </w:rPr>
              <w:t>）公司董事、监事和高级管理人员的舞弊行为；（</w:t>
            </w:r>
            <w:r>
              <w:rPr>
                <w:szCs w:val="24"/>
              </w:rPr>
              <w:t>2</w:t>
            </w:r>
            <w:r>
              <w:rPr>
                <w:rFonts w:hint="eastAsia"/>
                <w:szCs w:val="24"/>
              </w:rPr>
              <w:t>）公司更正已公布的财务报告；（</w:t>
            </w:r>
            <w:r>
              <w:rPr>
                <w:szCs w:val="24"/>
              </w:rPr>
              <w:t>3</w:t>
            </w:r>
            <w:r>
              <w:rPr>
                <w:rFonts w:hint="eastAsia"/>
                <w:szCs w:val="24"/>
              </w:rPr>
              <w:t>）注册会计师发现的却未被公司内部控制识别的当期财务报告中的重大错报；（</w:t>
            </w:r>
            <w:r>
              <w:rPr>
                <w:szCs w:val="24"/>
              </w:rPr>
              <w:t>4</w:t>
            </w:r>
            <w:r>
              <w:rPr>
                <w:rFonts w:hint="eastAsia"/>
                <w:szCs w:val="24"/>
              </w:rPr>
              <w:t>）审计委员会和审计部门对公司的对外财务报告和财务报告内部控制监督无效。财务报告重要缺陷的迹象包括：（</w:t>
            </w:r>
            <w:r>
              <w:rPr>
                <w:szCs w:val="24"/>
              </w:rPr>
              <w:t>1</w:t>
            </w:r>
            <w:r>
              <w:rPr>
                <w:rFonts w:hint="eastAsia"/>
                <w:szCs w:val="24"/>
              </w:rPr>
              <w:t>）未依照公认会计准则选择和应用会计政策；（</w:t>
            </w:r>
            <w:r>
              <w:rPr>
                <w:szCs w:val="24"/>
              </w:rPr>
              <w:t>2</w:t>
            </w:r>
            <w:r>
              <w:rPr>
                <w:rFonts w:hint="eastAsia"/>
                <w:szCs w:val="24"/>
              </w:rPr>
              <w:t>）未建立反舞弊程序和控制措施；（</w:t>
            </w:r>
            <w:r>
              <w:rPr>
                <w:szCs w:val="24"/>
              </w:rPr>
              <w:t>3</w:t>
            </w:r>
            <w:r>
              <w:rPr>
                <w:rFonts w:hint="eastAsia"/>
                <w:szCs w:val="24"/>
              </w:rPr>
              <w:t>）对于非常规或特殊交易的账务处理没有建立相应的控制机制或没有实施且没有相应的补偿性控制；（</w:t>
            </w:r>
            <w:r>
              <w:rPr>
                <w:szCs w:val="24"/>
              </w:rPr>
              <w:t>4</w:t>
            </w:r>
            <w:r>
              <w:rPr>
                <w:rFonts w:hint="eastAsia"/>
                <w:szCs w:val="24"/>
              </w:rPr>
              <w:t>）对于期末财务报告过程的控制存在一项或多项缺陷且不能合理保证编制的财务报表达到真实、完整的目标。一般缺陷是指除上述重大缺陷、重要缺陷之外的其他控制缺陷。</w:t>
            </w:r>
          </w:p>
        </w:tc>
        <w:tc>
          <w:tcPr>
            <w:tcW w:w="30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非财务报告缺陷认定主要以缺陷对业务流程有效性的影响程度、发生的可能性作判定。如果缺陷发生的可能性较小，会降低工作效率或效果、或加大效果的不确定性、或使之偏离预期目标为一般缺陷；如果缺陷发生的可能性较高，会显著降低工作效率或效果、或显著加大效果的不确定性、或使之显著偏离预期目标为重要缺陷；如果缺陷发生的可能性高，会严重降低工作效率或效果、或严重加大效果的不确定性、或使之严重偏离预期目标为重大缺陷。</w:t>
            </w:r>
          </w:p>
        </w:tc>
      </w:tr>
      <w:tr>
        <w:tblPrEx>
          <w:tblCellMar>
            <w:top w:w="0" w:type="dxa"/>
            <w:left w:w="28" w:type="dxa"/>
            <w:bottom w:w="0" w:type="dxa"/>
            <w:right w:w="28" w:type="dxa"/>
          </w:tblCellMar>
        </w:tblPrEx>
        <w:tc>
          <w:tcPr>
            <w:tcW w:w="31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定量标准</w:t>
            </w:r>
          </w:p>
        </w:tc>
        <w:tc>
          <w:tcPr>
            <w:tcW w:w="332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定量标准以营业收入、资产总额作为衡量指标。内部控制缺陷可能导致或导致的损失与利润表相关的，以营业收入指标衡量。如果该缺陷单独或连同其他缺陷可能导致的财务报告错报金额小于营业收入的</w:t>
            </w:r>
            <w:r>
              <w:rPr>
                <w:szCs w:val="24"/>
              </w:rPr>
              <w:t>1%</w:t>
            </w:r>
            <w:r>
              <w:rPr>
                <w:rFonts w:hint="eastAsia"/>
                <w:szCs w:val="24"/>
              </w:rPr>
              <w:t>，则认定为一般缺陷；如果超过营业收入的</w:t>
            </w:r>
            <w:r>
              <w:rPr>
                <w:szCs w:val="24"/>
              </w:rPr>
              <w:t>1%</w:t>
            </w:r>
            <w:r>
              <w:rPr>
                <w:rFonts w:hint="eastAsia"/>
                <w:szCs w:val="24"/>
              </w:rPr>
              <w:t>但小于</w:t>
            </w:r>
            <w:r>
              <w:rPr>
                <w:szCs w:val="24"/>
              </w:rPr>
              <w:t>2%</w:t>
            </w:r>
            <w:r>
              <w:rPr>
                <w:rFonts w:hint="eastAsia"/>
                <w:szCs w:val="24"/>
              </w:rPr>
              <w:t>，则认定为重要缺陷；如果超过营业收入的</w:t>
            </w:r>
            <w:r>
              <w:rPr>
                <w:szCs w:val="24"/>
              </w:rPr>
              <w:t>2%</w:t>
            </w:r>
            <w:r>
              <w:rPr>
                <w:rFonts w:hint="eastAsia"/>
                <w:szCs w:val="24"/>
              </w:rPr>
              <w:t>，则认定为重大缺陷。</w:t>
            </w:r>
          </w:p>
        </w:tc>
        <w:tc>
          <w:tcPr>
            <w:tcW w:w="30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定量标准以营业收入、资产总额作为衡量指标。内部控制缺陷可能导致或导致的损失与利润报表相关的，以营业收入指标衡量。如果该缺陷单独或连同其他缺陷可能导致的损失金额小于营业收入的</w:t>
            </w:r>
            <w:r>
              <w:rPr>
                <w:szCs w:val="24"/>
              </w:rPr>
              <w:t>1%</w:t>
            </w:r>
            <w:r>
              <w:rPr>
                <w:rFonts w:hint="eastAsia"/>
                <w:szCs w:val="24"/>
              </w:rPr>
              <w:t>，则认定为一般缺陷；如果超过营业收入的</w:t>
            </w:r>
            <w:r>
              <w:rPr>
                <w:szCs w:val="24"/>
              </w:rPr>
              <w:t>1%</w:t>
            </w:r>
            <w:r>
              <w:rPr>
                <w:rFonts w:hint="eastAsia"/>
                <w:szCs w:val="24"/>
              </w:rPr>
              <w:t>但小于</w:t>
            </w:r>
            <w:r>
              <w:rPr>
                <w:szCs w:val="24"/>
              </w:rPr>
              <w:t>2%</w:t>
            </w:r>
            <w:r>
              <w:rPr>
                <w:rFonts w:hint="eastAsia"/>
                <w:szCs w:val="24"/>
              </w:rPr>
              <w:t>则认定为重要缺陷；如果超过营业收入的</w:t>
            </w:r>
            <w:r>
              <w:rPr>
                <w:szCs w:val="24"/>
              </w:rPr>
              <w:t>2%</w:t>
            </w:r>
            <w:r>
              <w:rPr>
                <w:rFonts w:hint="eastAsia"/>
                <w:szCs w:val="24"/>
              </w:rPr>
              <w:t>，则认定为重大缺陷。</w:t>
            </w:r>
          </w:p>
        </w:tc>
      </w:tr>
      <w:tr>
        <w:tblPrEx>
          <w:tblCellMar>
            <w:top w:w="0" w:type="dxa"/>
            <w:left w:w="28" w:type="dxa"/>
            <w:bottom w:w="0" w:type="dxa"/>
            <w:right w:w="28" w:type="dxa"/>
          </w:tblCellMar>
        </w:tblPrEx>
        <w:tc>
          <w:tcPr>
            <w:tcW w:w="31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财务报告重大缺陷数量（个）</w:t>
            </w:r>
          </w:p>
        </w:tc>
        <w:tc>
          <w:tcPr>
            <w:tcW w:w="637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r>
      <w:tr>
        <w:tblPrEx>
          <w:tblCellMar>
            <w:top w:w="0" w:type="dxa"/>
            <w:left w:w="28" w:type="dxa"/>
            <w:bottom w:w="0" w:type="dxa"/>
            <w:right w:w="28" w:type="dxa"/>
          </w:tblCellMar>
        </w:tblPrEx>
        <w:tc>
          <w:tcPr>
            <w:tcW w:w="31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非财务报告重大缺陷数量（个）</w:t>
            </w:r>
          </w:p>
        </w:tc>
        <w:tc>
          <w:tcPr>
            <w:tcW w:w="637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r>
      <w:tr>
        <w:tblPrEx>
          <w:tblCellMar>
            <w:top w:w="0" w:type="dxa"/>
            <w:left w:w="28" w:type="dxa"/>
            <w:bottom w:w="0" w:type="dxa"/>
            <w:right w:w="28" w:type="dxa"/>
          </w:tblCellMar>
        </w:tblPrEx>
        <w:tc>
          <w:tcPr>
            <w:tcW w:w="31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财务报告重要缺陷数量（个）</w:t>
            </w:r>
          </w:p>
        </w:tc>
        <w:tc>
          <w:tcPr>
            <w:tcW w:w="637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r>
      <w:tr>
        <w:tblPrEx>
          <w:tblCellMar>
            <w:top w:w="0" w:type="dxa"/>
            <w:left w:w="28" w:type="dxa"/>
            <w:bottom w:w="0" w:type="dxa"/>
            <w:right w:w="28" w:type="dxa"/>
          </w:tblCellMar>
        </w:tblPrEx>
        <w:tc>
          <w:tcPr>
            <w:tcW w:w="31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非财务报告重要缺陷数量（个）</w:t>
            </w:r>
          </w:p>
        </w:tc>
        <w:tc>
          <w:tcPr>
            <w:tcW w:w="637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w:t>
            </w:r>
          </w:p>
        </w:tc>
      </w:tr>
    </w:tbl>
    <w:p>
      <w:pPr>
        <w:pStyle w:val="13"/>
        <w:outlineLvl w:val="1"/>
        <w:rPr>
          <w:bCs w:val="0"/>
        </w:rPr>
      </w:pPr>
      <w:r>
        <w:rPr>
          <w:rFonts w:hint="eastAsia"/>
          <w:bCs w:val="0"/>
        </w:rPr>
        <w:t>十、内部控制审计报告或鉴证报告</w:t>
      </w:r>
    </w:p>
    <w:p>
      <w:pPr>
        <w:jc w:val="left"/>
        <w:rPr>
          <w:szCs w:val="24"/>
        </w:rPr>
      </w:pPr>
      <w:r>
        <w:rPr>
          <w:rFonts w:hint="eastAsia"/>
          <w:szCs w:val="24"/>
        </w:rPr>
        <w:t>不适用</w:t>
      </w:r>
    </w:p>
    <w:p>
      <w:pPr>
        <w:jc w:val="left"/>
        <w:rPr>
          <w:szCs w:val="24"/>
        </w:rPr>
        <w:sectPr>
          <w:pgSz w:w="11906" w:h="16838"/>
          <w:pgMar w:top="1440" w:right="1134" w:bottom="1440" w:left="1134" w:header="851" w:footer="992" w:gutter="0"/>
          <w:cols w:space="425" w:num="1"/>
          <w:docGrid w:type="lines" w:linePitch="312" w:charSpace="0"/>
        </w:sectPr>
      </w:pPr>
    </w:p>
    <w:p>
      <w:pPr>
        <w:pStyle w:val="8"/>
        <w:outlineLvl w:val="0"/>
        <w:rPr>
          <w:bCs w:val="0"/>
          <w:szCs w:val="24"/>
        </w:rPr>
      </w:pPr>
      <w:bookmarkStart w:id="15" w:name="_Toc38911282"/>
      <w:r>
        <w:rPr>
          <w:rFonts w:hint="eastAsia"/>
          <w:bCs w:val="0"/>
          <w:szCs w:val="24"/>
        </w:rPr>
        <w:t>第十一节公司债券相关情况</w:t>
      </w:r>
      <w:bookmarkEnd w:id="15"/>
    </w:p>
    <w:p>
      <w:pPr>
        <w:jc w:val="left"/>
        <w:rPr>
          <w:szCs w:val="24"/>
        </w:rPr>
      </w:pPr>
      <w:r>
        <w:rPr>
          <w:rFonts w:hint="eastAsia"/>
          <w:szCs w:val="24"/>
        </w:rPr>
        <w:t>公司是否存在公开发行并在证券交易所上市，且在年度报告批准报出日未到期或到期未能全额兑付的公司债券</w:t>
      </w:r>
    </w:p>
    <w:p>
      <w:pPr>
        <w:jc w:val="left"/>
        <w:rPr>
          <w:szCs w:val="24"/>
        </w:rPr>
      </w:pPr>
      <w:r>
        <w:rPr>
          <w:rFonts w:hint="eastAsia"/>
          <w:szCs w:val="24"/>
        </w:rPr>
        <w:t>否</w:t>
      </w:r>
    </w:p>
    <w:p>
      <w:pPr>
        <w:jc w:val="left"/>
        <w:rPr>
          <w:szCs w:val="24"/>
        </w:rPr>
        <w:sectPr>
          <w:pgSz w:w="11906" w:h="16838"/>
          <w:pgMar w:top="1440" w:right="1134" w:bottom="1440" w:left="1134" w:header="851" w:footer="992" w:gutter="0"/>
          <w:cols w:space="425" w:num="1"/>
          <w:docGrid w:type="lines" w:linePitch="312" w:charSpace="0"/>
        </w:sectPr>
      </w:pPr>
    </w:p>
    <w:p>
      <w:pPr>
        <w:pStyle w:val="8"/>
        <w:outlineLvl w:val="0"/>
        <w:rPr>
          <w:bCs w:val="0"/>
          <w:szCs w:val="24"/>
        </w:rPr>
      </w:pPr>
      <w:bookmarkStart w:id="16" w:name="_Toc38911283"/>
      <w:r>
        <w:rPr>
          <w:rFonts w:hint="eastAsia"/>
          <w:bCs w:val="0"/>
          <w:szCs w:val="24"/>
        </w:rPr>
        <w:t>第十二节财务报告</w:t>
      </w:r>
      <w:bookmarkEnd w:id="16"/>
    </w:p>
    <w:p>
      <w:pPr>
        <w:pStyle w:val="13"/>
        <w:outlineLvl w:val="1"/>
        <w:rPr>
          <w:bCs w:val="0"/>
        </w:rPr>
      </w:pPr>
      <w:r>
        <w:rPr>
          <w:rFonts w:hint="eastAsia"/>
          <w:bCs w:val="0"/>
        </w:rPr>
        <w:t>一、审计报告</w:t>
      </w:r>
    </w:p>
    <w:tbl>
      <w:tblPr>
        <w:tblStyle w:val="9"/>
        <w:tblW w:w="0" w:type="auto"/>
        <w:tblInd w:w="28" w:type="dxa"/>
        <w:tblLayout w:type="fixed"/>
        <w:tblCellMar>
          <w:top w:w="0" w:type="dxa"/>
          <w:left w:w="28" w:type="dxa"/>
          <w:bottom w:w="0" w:type="dxa"/>
          <w:right w:w="28" w:type="dxa"/>
        </w:tblCellMar>
      </w:tblPr>
      <w:tblGrid>
        <w:gridCol w:w="4783"/>
        <w:gridCol w:w="4785"/>
      </w:tblGrid>
      <w:tr>
        <w:tc>
          <w:tcPr>
            <w:tcW w:w="478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审计意见类型</w:t>
            </w:r>
          </w:p>
        </w:tc>
        <w:tc>
          <w:tcPr>
            <w:tcW w:w="478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标准的无保留意见</w:t>
            </w:r>
          </w:p>
        </w:tc>
      </w:tr>
      <w:tr>
        <w:tblPrEx>
          <w:tblCellMar>
            <w:top w:w="0" w:type="dxa"/>
            <w:left w:w="28" w:type="dxa"/>
            <w:bottom w:w="0" w:type="dxa"/>
            <w:right w:w="28" w:type="dxa"/>
          </w:tblCellMar>
        </w:tblPrEx>
        <w:tc>
          <w:tcPr>
            <w:tcW w:w="478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审计报告签署日期</w:t>
            </w:r>
          </w:p>
        </w:tc>
        <w:tc>
          <w:tcPr>
            <w:tcW w:w="478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w:t>
            </w:r>
            <w:r>
              <w:rPr>
                <w:szCs w:val="24"/>
              </w:rPr>
              <w:t>04</w:t>
            </w:r>
            <w:r>
              <w:rPr>
                <w:rFonts w:hint="eastAsia"/>
                <w:szCs w:val="24"/>
              </w:rPr>
              <w:t>月</w:t>
            </w:r>
            <w:r>
              <w:rPr>
                <w:szCs w:val="24"/>
              </w:rPr>
              <w:t>27</w:t>
            </w:r>
            <w:r>
              <w:rPr>
                <w:rFonts w:hint="eastAsia"/>
                <w:szCs w:val="24"/>
              </w:rPr>
              <w:t>日</w:t>
            </w:r>
          </w:p>
        </w:tc>
      </w:tr>
      <w:tr>
        <w:tblPrEx>
          <w:tblCellMar>
            <w:top w:w="0" w:type="dxa"/>
            <w:left w:w="28" w:type="dxa"/>
            <w:bottom w:w="0" w:type="dxa"/>
            <w:right w:w="28" w:type="dxa"/>
          </w:tblCellMar>
        </w:tblPrEx>
        <w:tc>
          <w:tcPr>
            <w:tcW w:w="478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审计机构名称</w:t>
            </w:r>
          </w:p>
        </w:tc>
        <w:tc>
          <w:tcPr>
            <w:tcW w:w="478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立信会计师事务所（特殊普通合伙）</w:t>
            </w:r>
          </w:p>
        </w:tc>
      </w:tr>
      <w:tr>
        <w:tblPrEx>
          <w:tblCellMar>
            <w:top w:w="0" w:type="dxa"/>
            <w:left w:w="28" w:type="dxa"/>
            <w:bottom w:w="0" w:type="dxa"/>
            <w:right w:w="28" w:type="dxa"/>
          </w:tblCellMar>
        </w:tblPrEx>
        <w:tc>
          <w:tcPr>
            <w:tcW w:w="478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注册会计师姓名</w:t>
            </w:r>
          </w:p>
        </w:tc>
        <w:tc>
          <w:tcPr>
            <w:tcW w:w="478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李勇平、陈云艳、李静程</w:t>
            </w:r>
          </w:p>
        </w:tc>
      </w:tr>
    </w:tbl>
    <w:p>
      <w:pPr>
        <w:rPr>
          <w:sz w:val="24"/>
          <w:szCs w:val="24"/>
        </w:rPr>
      </w:pPr>
    </w:p>
    <w:p>
      <w:pPr>
        <w:autoSpaceDE w:val="0"/>
        <w:autoSpaceDN w:val="0"/>
        <w:adjustRightInd w:val="0"/>
        <w:spacing w:before="0" w:after="0"/>
        <w:jc w:val="center"/>
        <w:rPr>
          <w:rFonts w:eastAsia="Times New Roman"/>
          <w:b/>
          <w:kern w:val="0"/>
          <w:sz w:val="24"/>
          <w:szCs w:val="24"/>
          <w:lang w:val="zh-CN"/>
        </w:rPr>
      </w:pPr>
      <w:r>
        <w:rPr>
          <w:rFonts w:hint="eastAsia" w:ascii="宋体" w:hAnsi="宋体" w:cs="宋体"/>
          <w:b/>
          <w:kern w:val="0"/>
          <w:sz w:val="24"/>
          <w:szCs w:val="24"/>
          <w:lang w:val="zh-CN"/>
        </w:rPr>
        <w:t>审计报告</w:t>
      </w:r>
    </w:p>
    <w:p>
      <w:pPr>
        <w:autoSpaceDE w:val="0"/>
        <w:autoSpaceDN w:val="0"/>
        <w:adjustRightInd w:val="0"/>
        <w:spacing w:before="0" w:after="0"/>
        <w:ind w:firstLine="567"/>
        <w:jc w:val="center"/>
        <w:rPr>
          <w:rFonts w:eastAsia="Times New Roman"/>
          <w:kern w:val="0"/>
          <w:sz w:val="28"/>
          <w:szCs w:val="24"/>
          <w:lang w:val="zh-CN"/>
        </w:rPr>
      </w:pPr>
    </w:p>
    <w:p>
      <w:pPr>
        <w:autoSpaceDE w:val="0"/>
        <w:autoSpaceDN w:val="0"/>
        <w:adjustRightInd w:val="0"/>
        <w:spacing w:before="0" w:after="0"/>
        <w:ind w:firstLine="567"/>
        <w:jc w:val="right"/>
        <w:rPr>
          <w:rFonts w:eastAsia="Times New Roman"/>
          <w:kern w:val="0"/>
          <w:sz w:val="21"/>
          <w:szCs w:val="24"/>
          <w:lang w:val="zh-CN"/>
        </w:rPr>
      </w:pPr>
      <w:r>
        <w:rPr>
          <w:rFonts w:hint="eastAsia" w:ascii="宋体" w:hAnsi="宋体" w:cs="宋体"/>
          <w:kern w:val="0"/>
          <w:sz w:val="21"/>
          <w:szCs w:val="24"/>
          <w:highlight w:val="white"/>
          <w:lang w:val="zh-CN"/>
        </w:rPr>
        <w:t>信会师报字</w:t>
      </w:r>
      <w:r>
        <w:rPr>
          <w:rFonts w:eastAsia="Times New Roman"/>
          <w:kern w:val="0"/>
          <w:sz w:val="21"/>
          <w:szCs w:val="24"/>
          <w:highlight w:val="white"/>
          <w:lang w:val="zh-CN"/>
        </w:rPr>
        <w:t>[2020]</w:t>
      </w:r>
      <w:r>
        <w:rPr>
          <w:rFonts w:hint="eastAsia" w:ascii="宋体" w:hAnsi="宋体" w:cs="宋体"/>
          <w:kern w:val="0"/>
          <w:sz w:val="21"/>
          <w:szCs w:val="24"/>
          <w:highlight w:val="white"/>
          <w:lang w:val="zh-CN"/>
        </w:rPr>
        <w:t>第</w:t>
      </w:r>
      <w:r>
        <w:rPr>
          <w:rFonts w:hint="eastAsia" w:ascii="宋体" w:hAnsi="宋体" w:cs="宋体"/>
          <w:kern w:val="0"/>
          <w:sz w:val="21"/>
          <w:szCs w:val="24"/>
          <w:lang w:val="zh-CN"/>
        </w:rPr>
        <w:t>ZF10396</w:t>
      </w:r>
      <w:r>
        <w:rPr>
          <w:rFonts w:hint="eastAsia" w:ascii="宋体" w:hAnsi="宋体" w:cs="宋体"/>
          <w:kern w:val="0"/>
          <w:sz w:val="21"/>
          <w:szCs w:val="24"/>
          <w:highlight w:val="white"/>
          <w:lang w:val="zh-CN"/>
        </w:rPr>
        <w:t>号</w:t>
      </w:r>
    </w:p>
    <w:p>
      <w:pPr>
        <w:autoSpaceDE w:val="0"/>
        <w:autoSpaceDN w:val="0"/>
        <w:adjustRightInd w:val="0"/>
        <w:spacing w:before="0" w:after="0"/>
        <w:ind w:firstLine="567"/>
        <w:rPr>
          <w:rFonts w:eastAsia="Times New Roman"/>
          <w:kern w:val="0"/>
          <w:sz w:val="28"/>
          <w:szCs w:val="24"/>
          <w:lang w:val="zh-CN"/>
        </w:rPr>
      </w:pPr>
    </w:p>
    <w:p>
      <w:pPr>
        <w:autoSpaceDE w:val="0"/>
        <w:autoSpaceDN w:val="0"/>
        <w:adjustRightInd w:val="0"/>
        <w:spacing w:before="0" w:after="0"/>
        <w:rPr>
          <w:rFonts w:eastAsiaTheme="minorEastAsia"/>
          <w:b/>
          <w:kern w:val="0"/>
          <w:sz w:val="21"/>
          <w:szCs w:val="21"/>
          <w:lang w:val="zh-CN"/>
        </w:rPr>
      </w:pPr>
      <w:r>
        <w:rPr>
          <w:rFonts w:hint="eastAsia" w:ascii="宋体" w:hAnsi="宋体" w:cs="宋体"/>
          <w:b/>
          <w:kern w:val="0"/>
          <w:sz w:val="21"/>
          <w:szCs w:val="21"/>
          <w:lang w:val="zh-CN"/>
        </w:rPr>
        <w:t>美康生物科技股份有限公司全体股东：</w:t>
      </w:r>
    </w:p>
    <w:p>
      <w:pPr>
        <w:autoSpaceDE w:val="0"/>
        <w:autoSpaceDN w:val="0"/>
        <w:adjustRightInd w:val="0"/>
        <w:spacing w:before="0" w:after="0"/>
        <w:ind w:firstLine="420"/>
        <w:jc w:val="left"/>
        <w:rPr>
          <w:rFonts w:eastAsiaTheme="minorEastAsia"/>
          <w:b/>
          <w:kern w:val="0"/>
          <w:sz w:val="21"/>
          <w:szCs w:val="21"/>
          <w:lang w:val="zh-CN"/>
        </w:rPr>
      </w:pPr>
      <w:r>
        <w:rPr>
          <w:rFonts w:hint="eastAsia" w:ascii="宋体" w:hAnsi="宋体" w:cs="宋体"/>
          <w:b/>
          <w:kern w:val="0"/>
          <w:sz w:val="21"/>
          <w:szCs w:val="21"/>
          <w:lang w:val="zh-CN"/>
        </w:rPr>
        <w:t>一、审计意见</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我们审计了美康生物科技股份有限公司（以下简称美康生物）财务报表，包括</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日的合并及母公司资产负债表，</w:t>
      </w:r>
      <w:r>
        <w:rPr>
          <w:rFonts w:eastAsia="Times New Roman"/>
          <w:kern w:val="0"/>
          <w:lang w:val="zh-CN"/>
        </w:rPr>
        <w:t>2019</w:t>
      </w:r>
      <w:r>
        <w:rPr>
          <w:rFonts w:hint="eastAsia" w:ascii="宋体" w:hAnsi="宋体" w:cs="宋体"/>
          <w:kern w:val="0"/>
          <w:lang w:val="zh-CN"/>
        </w:rPr>
        <w:t>年度的合并及母公司利润表、合并及母公司现金流量表、合并及母公司所有者权益变动表以及相关财务报表附注。</w:t>
      </w:r>
    </w:p>
    <w:p>
      <w:pPr>
        <w:autoSpaceDE w:val="0"/>
        <w:autoSpaceDN w:val="0"/>
        <w:adjustRightInd w:val="0"/>
        <w:spacing w:before="0" w:after="0"/>
        <w:ind w:firstLine="420"/>
        <w:rPr>
          <w:rFonts w:eastAsiaTheme="minorEastAsia"/>
          <w:kern w:val="0"/>
          <w:lang w:val="zh-CN"/>
        </w:rPr>
      </w:pPr>
      <w:r>
        <w:rPr>
          <w:rFonts w:hint="eastAsia" w:ascii="宋体" w:hAnsi="宋体" w:cs="宋体"/>
          <w:kern w:val="0"/>
          <w:lang w:val="zh-CN"/>
        </w:rPr>
        <w:t>我们认为，后附的财务报表在所有重大方面按照企业会计准则的规定编制，公允反映了美康生物</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日的合并及母公司财务状况以及</w:t>
      </w:r>
      <w:r>
        <w:rPr>
          <w:rFonts w:eastAsia="Times New Roman"/>
          <w:kern w:val="0"/>
          <w:lang w:val="zh-CN"/>
        </w:rPr>
        <w:t>2019</w:t>
      </w:r>
      <w:r>
        <w:rPr>
          <w:rFonts w:hint="eastAsia" w:ascii="宋体" w:hAnsi="宋体" w:cs="宋体"/>
          <w:kern w:val="0"/>
          <w:lang w:val="zh-CN"/>
        </w:rPr>
        <w:t>年度的合并及母公司经营成果和现金流量。</w:t>
      </w:r>
    </w:p>
    <w:p>
      <w:pPr>
        <w:autoSpaceDE w:val="0"/>
        <w:autoSpaceDN w:val="0"/>
        <w:adjustRightInd w:val="0"/>
        <w:spacing w:before="0" w:after="0"/>
        <w:ind w:firstLine="420"/>
        <w:jc w:val="left"/>
        <w:rPr>
          <w:rFonts w:eastAsiaTheme="minorEastAsia"/>
          <w:b/>
          <w:kern w:val="0"/>
          <w:sz w:val="21"/>
          <w:szCs w:val="21"/>
          <w:lang w:val="zh-CN"/>
        </w:rPr>
      </w:pPr>
      <w:r>
        <w:rPr>
          <w:rFonts w:hint="eastAsia" w:ascii="宋体" w:hAnsi="宋体" w:cs="宋体"/>
          <w:b/>
          <w:kern w:val="0"/>
          <w:sz w:val="21"/>
          <w:szCs w:val="21"/>
          <w:lang w:val="zh-CN"/>
        </w:rPr>
        <w:t>二、形成审计意见的基础</w:t>
      </w:r>
    </w:p>
    <w:p>
      <w:pPr>
        <w:autoSpaceDE w:val="0"/>
        <w:autoSpaceDN w:val="0"/>
        <w:adjustRightInd w:val="0"/>
        <w:spacing w:before="0" w:after="0"/>
        <w:ind w:firstLine="420"/>
        <w:rPr>
          <w:rFonts w:eastAsiaTheme="minorEastAsia"/>
          <w:kern w:val="0"/>
          <w:lang w:val="zh-CN"/>
        </w:rPr>
      </w:pPr>
      <w:r>
        <w:rPr>
          <w:rFonts w:hint="eastAsia" w:ascii="宋体" w:hAnsi="宋体" w:cs="宋体"/>
          <w:kern w:val="0"/>
          <w:lang w:val="zh-CN"/>
        </w:rPr>
        <w:t>我们按照中国注册会计师审计准则的规定执行了审计工作。审计报告的</w:t>
      </w:r>
      <w:r>
        <w:rPr>
          <w:rFonts w:eastAsia="Times New Roman"/>
          <w:kern w:val="0"/>
          <w:lang w:val="zh-CN"/>
        </w:rPr>
        <w:t>“</w:t>
      </w:r>
      <w:r>
        <w:rPr>
          <w:rFonts w:hint="eastAsia" w:ascii="宋体" w:hAnsi="宋体" w:cs="宋体"/>
          <w:kern w:val="0"/>
          <w:lang w:val="zh-CN"/>
        </w:rPr>
        <w:t>注册会计师对财务报表审计的责任</w:t>
      </w:r>
      <w:r>
        <w:rPr>
          <w:rFonts w:eastAsia="Times New Roman"/>
          <w:kern w:val="0"/>
          <w:lang w:val="zh-CN"/>
        </w:rPr>
        <w:t>”</w:t>
      </w:r>
      <w:r>
        <w:rPr>
          <w:rFonts w:hint="eastAsia" w:ascii="宋体" w:hAnsi="宋体" w:cs="宋体"/>
          <w:kern w:val="0"/>
          <w:lang w:val="zh-CN"/>
        </w:rPr>
        <w:t>部分进一步阐述了我们在这些准则下的责任。按照中国注册会计师职业道德守则，我们独立于美康生物，并履行了职业道德方面的其他责任。我们相信，我们获取的审计证据是充分、适当的，为发表审计意见提供了基础。</w:t>
      </w:r>
    </w:p>
    <w:p>
      <w:pPr>
        <w:autoSpaceDE w:val="0"/>
        <w:autoSpaceDN w:val="0"/>
        <w:adjustRightInd w:val="0"/>
        <w:spacing w:before="0" w:after="0"/>
        <w:ind w:left="147" w:firstLine="273"/>
        <w:jc w:val="left"/>
        <w:rPr>
          <w:rFonts w:eastAsiaTheme="minorEastAsia"/>
          <w:b/>
          <w:kern w:val="0"/>
          <w:sz w:val="21"/>
          <w:szCs w:val="21"/>
          <w:lang w:val="zh-CN"/>
        </w:rPr>
      </w:pPr>
      <w:r>
        <w:rPr>
          <w:rFonts w:hint="eastAsia" w:ascii="宋体" w:hAnsi="宋体" w:cs="宋体"/>
          <w:b/>
          <w:kern w:val="0"/>
          <w:sz w:val="21"/>
          <w:szCs w:val="21"/>
          <w:lang w:val="zh-CN"/>
        </w:rPr>
        <w:t>三、关键审计事项</w:t>
      </w:r>
    </w:p>
    <w:p>
      <w:pPr>
        <w:autoSpaceDE w:val="0"/>
        <w:autoSpaceDN w:val="0"/>
        <w:adjustRightInd w:val="0"/>
        <w:spacing w:before="0" w:after="0"/>
        <w:ind w:left="147" w:firstLine="273"/>
        <w:jc w:val="left"/>
        <w:rPr>
          <w:rFonts w:eastAsiaTheme="minorEastAsia"/>
          <w:b/>
          <w:kern w:val="0"/>
          <w:sz w:val="24"/>
          <w:szCs w:val="24"/>
          <w:lang w:val="zh-CN"/>
        </w:rPr>
      </w:pPr>
      <w:r>
        <w:rPr>
          <w:rFonts w:hint="eastAsia" w:ascii="宋体" w:hAnsi="宋体" w:cs="宋体"/>
          <w:kern w:val="0"/>
          <w:lang w:val="zh-CN"/>
        </w:rPr>
        <w:t>关键审计事项是我们根据职业判断，认为对本期财务报表审计最为重要的事项。这些事项的应对以对财务报表整体进行审计并形成审计意见为背景，我们不对这些事项单独发表意见。我们确定下列事项是需要在审计报告中沟通的关键审计事项。</w:t>
      </w:r>
    </w:p>
    <w:tbl>
      <w:tblPr>
        <w:tblStyle w:val="9"/>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10" w:type="dxa"/>
          <w:left w:w="10" w:type="dxa"/>
          <w:bottom w:w="10" w:type="dxa"/>
          <w:right w:w="10" w:type="dxa"/>
        </w:tblCellMar>
      </w:tblPr>
      <w:tblGrid>
        <w:gridCol w:w="3977"/>
        <w:gridCol w:w="568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059"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关键审计事项</w:t>
            </w:r>
          </w:p>
        </w:tc>
        <w:tc>
          <w:tcPr>
            <w:tcW w:w="2941" w:type="pct"/>
          </w:tcPr>
          <w:p>
            <w:pPr>
              <w:autoSpaceDE w:val="0"/>
              <w:autoSpaceDN w:val="0"/>
              <w:adjustRightInd w:val="0"/>
              <w:spacing w:before="0" w:after="0"/>
              <w:jc w:val="center"/>
              <w:rPr>
                <w:rFonts w:eastAsia="Times New Roman"/>
                <w:b/>
                <w:kern w:val="0"/>
                <w:szCs w:val="24"/>
                <w:lang w:val="zh-CN"/>
              </w:rPr>
            </w:pPr>
            <w:r>
              <w:rPr>
                <w:rFonts w:hint="eastAsia" w:ascii="宋体" w:hAnsi="宋体" w:cs="宋体"/>
                <w:b/>
                <w:kern w:val="0"/>
                <w:szCs w:val="24"/>
                <w:lang w:val="zh-CN"/>
              </w:rPr>
              <w:t>该事项在审计中是如何应对的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059" w:type="pct"/>
          </w:tcPr>
          <w:p>
            <w:pPr>
              <w:autoSpaceDE w:val="0"/>
              <w:autoSpaceDN w:val="0"/>
              <w:adjustRightInd w:val="0"/>
              <w:spacing w:before="0" w:after="0"/>
              <w:jc w:val="left"/>
              <w:rPr>
                <w:rFonts w:eastAsia="Times New Roman"/>
                <w:b/>
                <w:kern w:val="0"/>
                <w:szCs w:val="24"/>
                <w:lang w:val="zh-CN"/>
              </w:rPr>
            </w:pPr>
            <w:r>
              <w:rPr>
                <w:rFonts w:hint="eastAsia" w:ascii="宋体" w:hAnsi="宋体" w:cs="宋体"/>
                <w:b/>
                <w:kern w:val="0"/>
                <w:szCs w:val="24"/>
                <w:lang w:val="zh-CN"/>
              </w:rPr>
              <w:t>（一）收入确认</w:t>
            </w:r>
          </w:p>
        </w:tc>
        <w:tc>
          <w:tcPr>
            <w:tcW w:w="2941" w:type="pct"/>
          </w:tcPr>
          <w:p>
            <w:pPr>
              <w:autoSpaceDE w:val="0"/>
              <w:autoSpaceDN w:val="0"/>
              <w:adjustRightInd w:val="0"/>
              <w:spacing w:before="0" w:after="0"/>
              <w:jc w:val="left"/>
              <w:rPr>
                <w:rFonts w:eastAsia="Times New Roman"/>
                <w:kern w:val="0"/>
                <w:szCs w:val="24"/>
                <w:lang w:val="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059" w:type="pct"/>
          </w:tcPr>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美康生物主要从事体外诊断试剂、仪器的研发、生产和销售，并提供第三方医学诊断服务。</w:t>
            </w:r>
            <w:r>
              <w:rPr>
                <w:rFonts w:eastAsia="Times New Roman"/>
                <w:kern w:val="0"/>
                <w:szCs w:val="24"/>
                <w:lang w:val="zh-CN"/>
              </w:rPr>
              <w:t>2019</w:t>
            </w:r>
            <w:r>
              <w:rPr>
                <w:rFonts w:hint="eastAsia" w:ascii="宋体" w:hAnsi="宋体" w:cs="宋体"/>
                <w:kern w:val="0"/>
                <w:szCs w:val="24"/>
                <w:lang w:val="zh-CN"/>
              </w:rPr>
              <w:t>年度，美康生物主营业务收入为人民币</w:t>
            </w:r>
            <w:r>
              <w:rPr>
                <w:rFonts w:eastAsia="Times New Roman"/>
                <w:kern w:val="0"/>
                <w:szCs w:val="24"/>
                <w:lang w:val="zh-CN"/>
              </w:rPr>
              <w:t>308,096.78</w:t>
            </w:r>
            <w:r>
              <w:rPr>
                <w:rFonts w:hint="eastAsia" w:ascii="宋体" w:hAnsi="宋体" w:cs="宋体"/>
                <w:kern w:val="0"/>
                <w:szCs w:val="24"/>
                <w:lang w:val="zh-CN"/>
              </w:rPr>
              <w:t>万元，贵公司关于营业收入确认的会计政策披露情况详见合并报表附注三（二十三）。</w:t>
            </w:r>
          </w:p>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由于收入是美康生物关键业绩指标之一，从而存在管理层为了达到特定目标或期望而操纵收入确认时点的固有风险，我们将美康生物收入确认识别为关键审计事项。</w:t>
            </w:r>
          </w:p>
        </w:tc>
        <w:tc>
          <w:tcPr>
            <w:tcW w:w="2941" w:type="pct"/>
          </w:tcPr>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针对收入确认，我们实施的审计程序主要包括：（</w:t>
            </w:r>
            <w:r>
              <w:rPr>
                <w:rFonts w:eastAsia="Times New Roman"/>
                <w:kern w:val="0"/>
                <w:szCs w:val="24"/>
                <w:lang w:val="zh-CN"/>
              </w:rPr>
              <w:t>1</w:t>
            </w:r>
            <w:r>
              <w:rPr>
                <w:rFonts w:hint="eastAsia" w:ascii="宋体" w:hAnsi="宋体" w:cs="宋体"/>
                <w:kern w:val="0"/>
                <w:szCs w:val="24"/>
                <w:lang w:val="zh-CN"/>
              </w:rPr>
              <w:t>）对美康生物的销售与收款内部控制循环进行了解并执行穿行测试，并对收入确认等重要的控制点执行了控制测试；（</w:t>
            </w:r>
            <w:r>
              <w:rPr>
                <w:rFonts w:eastAsia="Times New Roman"/>
                <w:kern w:val="0"/>
                <w:szCs w:val="24"/>
                <w:lang w:val="zh-CN"/>
              </w:rPr>
              <w:t>2</w:t>
            </w:r>
            <w:r>
              <w:rPr>
                <w:rFonts w:hint="eastAsia" w:ascii="宋体" w:hAnsi="宋体" w:cs="宋体"/>
                <w:kern w:val="0"/>
                <w:szCs w:val="24"/>
                <w:lang w:val="zh-CN"/>
              </w:rPr>
              <w:t>）对收入和成本执行分析程序，包括本期各月度收入、成本、毛利波动分析，主要产品本期收入、成本、毛利率与上期比较分析等分析程序；（</w:t>
            </w:r>
            <w:r>
              <w:rPr>
                <w:rFonts w:eastAsia="Times New Roman"/>
                <w:kern w:val="0"/>
                <w:szCs w:val="24"/>
                <w:lang w:val="zh-CN"/>
              </w:rPr>
              <w:t>3</w:t>
            </w:r>
            <w:r>
              <w:rPr>
                <w:rFonts w:hint="eastAsia" w:ascii="宋体" w:hAnsi="宋体" w:cs="宋体"/>
                <w:kern w:val="0"/>
                <w:szCs w:val="24"/>
                <w:lang w:val="zh-CN"/>
              </w:rPr>
              <w:t>）检查主要客户的合同，确定与收货或服务及退货权或退款权有关的条款，并评价美康生物收入确认是否符合会计准则的要求；（</w:t>
            </w:r>
            <w:r>
              <w:rPr>
                <w:rFonts w:eastAsia="Times New Roman"/>
                <w:kern w:val="0"/>
                <w:szCs w:val="24"/>
                <w:lang w:val="zh-CN"/>
              </w:rPr>
              <w:t>4</w:t>
            </w:r>
            <w:r>
              <w:rPr>
                <w:rFonts w:hint="eastAsia" w:ascii="宋体" w:hAnsi="宋体" w:cs="宋体"/>
                <w:kern w:val="0"/>
                <w:szCs w:val="24"/>
                <w:lang w:val="zh-CN"/>
              </w:rPr>
              <w:t>）按照抽样原则选择报告年度的样本，检查其销售合同、发票、发货单、客户签收记录、收款凭证等资料，检查美康生物收入确认是否与披露的会计政策一致；针对仪器销售收入，检查仪器的安装验收报告；（</w:t>
            </w:r>
            <w:r>
              <w:rPr>
                <w:rFonts w:eastAsia="Times New Roman"/>
                <w:kern w:val="0"/>
                <w:szCs w:val="24"/>
                <w:lang w:val="zh-CN"/>
              </w:rPr>
              <w:t>5</w:t>
            </w:r>
            <w:r>
              <w:rPr>
                <w:rFonts w:hint="eastAsia" w:ascii="宋体" w:hAnsi="宋体" w:cs="宋体"/>
                <w:kern w:val="0"/>
                <w:szCs w:val="24"/>
                <w:lang w:val="zh-CN"/>
              </w:rPr>
              <w:t>）对营业收入执行跨期测试，确认美康生物的收入确认是否记录在正确的会计期间；（</w:t>
            </w:r>
            <w:r>
              <w:rPr>
                <w:rFonts w:eastAsia="Times New Roman"/>
                <w:kern w:val="0"/>
                <w:szCs w:val="24"/>
                <w:lang w:val="zh-CN"/>
              </w:rPr>
              <w:t>6</w:t>
            </w:r>
            <w:r>
              <w:rPr>
                <w:rFonts w:hint="eastAsia" w:ascii="宋体" w:hAnsi="宋体" w:cs="宋体"/>
                <w:kern w:val="0"/>
                <w:szCs w:val="24"/>
                <w:lang w:val="zh-CN"/>
              </w:rPr>
              <w:t>）按照抽样原则选择客户样本，询证报告期内的应收账款余额及收入金额。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059" w:type="pct"/>
          </w:tcPr>
          <w:p>
            <w:pPr>
              <w:autoSpaceDE w:val="0"/>
              <w:autoSpaceDN w:val="0"/>
              <w:adjustRightInd w:val="0"/>
              <w:spacing w:before="0" w:after="0"/>
              <w:jc w:val="left"/>
              <w:rPr>
                <w:rFonts w:eastAsia="Times New Roman"/>
                <w:kern w:val="0"/>
                <w:szCs w:val="24"/>
                <w:lang w:val="zh-CN"/>
              </w:rPr>
            </w:pPr>
            <w:r>
              <w:rPr>
                <w:rFonts w:hint="eastAsia" w:ascii="宋体" w:hAnsi="宋体" w:cs="宋体"/>
                <w:b/>
                <w:kern w:val="0"/>
                <w:szCs w:val="24"/>
                <w:lang w:val="zh-CN"/>
              </w:rPr>
              <w:t>（二）商誉减值</w:t>
            </w:r>
          </w:p>
        </w:tc>
        <w:tc>
          <w:tcPr>
            <w:tcW w:w="2941" w:type="pct"/>
          </w:tcPr>
          <w:p>
            <w:pPr>
              <w:autoSpaceDE w:val="0"/>
              <w:autoSpaceDN w:val="0"/>
              <w:adjustRightInd w:val="0"/>
              <w:spacing w:before="0" w:after="0"/>
              <w:jc w:val="left"/>
              <w:rPr>
                <w:rFonts w:eastAsia="Times New Roman"/>
                <w:kern w:val="0"/>
                <w:szCs w:val="24"/>
                <w:lang w:val="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059" w:type="pct"/>
          </w:tcPr>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如合并报表附注三（十八）和五（十五）所述，截止</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31</w:t>
            </w:r>
            <w:r>
              <w:rPr>
                <w:rFonts w:hint="eastAsia" w:ascii="宋体" w:hAnsi="宋体" w:cs="宋体"/>
                <w:kern w:val="0"/>
                <w:szCs w:val="24"/>
                <w:lang w:val="zh-CN"/>
              </w:rPr>
              <w:t>日，美康生物合并财务报表中商誉账面余额为人民币</w:t>
            </w:r>
            <w:r>
              <w:rPr>
                <w:rFonts w:eastAsia="Times New Roman"/>
                <w:kern w:val="0"/>
                <w:szCs w:val="24"/>
                <w:lang w:val="zh-CN"/>
              </w:rPr>
              <w:t>79,627.24</w:t>
            </w:r>
            <w:r>
              <w:rPr>
                <w:rFonts w:hint="eastAsia" w:ascii="宋体" w:hAnsi="宋体" w:cs="宋体"/>
                <w:kern w:val="0"/>
                <w:szCs w:val="24"/>
                <w:lang w:val="zh-CN"/>
              </w:rPr>
              <w:t>万元，商誉减值准备余额为人民币</w:t>
            </w:r>
            <w:r>
              <w:rPr>
                <w:rFonts w:eastAsia="Times New Roman"/>
                <w:kern w:val="0"/>
                <w:szCs w:val="24"/>
                <w:lang w:val="zh-CN"/>
              </w:rPr>
              <w:t>77,990.29</w:t>
            </w:r>
            <w:r>
              <w:rPr>
                <w:rFonts w:hint="eastAsia" w:ascii="宋体" w:hAnsi="宋体" w:cs="宋体"/>
                <w:kern w:val="0"/>
                <w:szCs w:val="24"/>
                <w:lang w:val="zh-CN"/>
              </w:rPr>
              <w:t>万元。根据企业会计准则，管理层须每年对商誉进行减值测试。由于每个被收购的子公司就是一个资产组，因此企业合并形成的商誉被分配至相对应的子公司以进行减值测试。减值测试以包含商誉的资产组的可收回金额为基础，资产组的可收回金额按照资产组的预计未来现金流量的现值与资产的公允价值减去处置费用后的净额两者之间较高者确定，其预计的未来现金流量以</w:t>
            </w:r>
            <w:r>
              <w:rPr>
                <w:rFonts w:eastAsia="Times New Roman"/>
                <w:kern w:val="0"/>
                <w:szCs w:val="24"/>
                <w:lang w:val="zh-CN"/>
              </w:rPr>
              <w:t>5</w:t>
            </w:r>
            <w:r>
              <w:rPr>
                <w:rFonts w:hint="eastAsia" w:ascii="宋体" w:hAnsi="宋体" w:cs="宋体"/>
                <w:kern w:val="0"/>
                <w:szCs w:val="24"/>
                <w:lang w:val="zh-CN"/>
              </w:rPr>
              <w:t>年期财务预算为基础来确定。由于商誉减值过程涉及重大判断，该事项对于我们的审计而言是重要的，为此我们确定商誉减值为关键审计事项。</w:t>
            </w:r>
          </w:p>
        </w:tc>
        <w:tc>
          <w:tcPr>
            <w:tcW w:w="2941" w:type="pct"/>
          </w:tcPr>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针对商誉减值问题，我们实施的审计程序主要包括：（</w:t>
            </w:r>
            <w:r>
              <w:rPr>
                <w:rFonts w:eastAsia="Times New Roman"/>
                <w:kern w:val="0"/>
                <w:szCs w:val="24"/>
                <w:lang w:val="zh-CN"/>
              </w:rPr>
              <w:t>1</w:t>
            </w:r>
            <w:r>
              <w:rPr>
                <w:rFonts w:hint="eastAsia" w:ascii="宋体" w:hAnsi="宋体" w:cs="宋体"/>
                <w:kern w:val="0"/>
                <w:szCs w:val="24"/>
                <w:lang w:val="zh-CN"/>
              </w:rPr>
              <w:t>）评估管理层采用的估值模型；（</w:t>
            </w:r>
            <w:r>
              <w:rPr>
                <w:rFonts w:eastAsia="Times New Roman"/>
                <w:kern w:val="0"/>
                <w:szCs w:val="24"/>
                <w:lang w:val="zh-CN"/>
              </w:rPr>
              <w:t>2</w:t>
            </w:r>
            <w:r>
              <w:rPr>
                <w:rFonts w:hint="eastAsia" w:ascii="宋体" w:hAnsi="宋体" w:cs="宋体"/>
                <w:kern w:val="0"/>
                <w:szCs w:val="24"/>
                <w:lang w:val="zh-CN"/>
              </w:rPr>
              <w:t>）将未来现金流量预测期间的收入增长率和毛利率等与被测试公司的历史情况进行比较，并分析其合理性；（</w:t>
            </w:r>
            <w:r>
              <w:rPr>
                <w:rFonts w:eastAsia="Times New Roman"/>
                <w:kern w:val="0"/>
                <w:szCs w:val="24"/>
                <w:lang w:val="zh-CN"/>
              </w:rPr>
              <w:t>3</w:t>
            </w:r>
            <w:r>
              <w:rPr>
                <w:rFonts w:hint="eastAsia" w:ascii="宋体" w:hAnsi="宋体" w:cs="宋体"/>
                <w:kern w:val="0"/>
                <w:szCs w:val="24"/>
                <w:lang w:val="zh-CN"/>
              </w:rPr>
              <w:t>）评估了折现现金流量模型中的折现率和永续增长率等参数的适当性；（</w:t>
            </w:r>
            <w:r>
              <w:rPr>
                <w:rFonts w:eastAsia="Times New Roman"/>
                <w:kern w:val="0"/>
                <w:szCs w:val="24"/>
                <w:lang w:val="zh-CN"/>
              </w:rPr>
              <w:t>4</w:t>
            </w:r>
            <w:r>
              <w:rPr>
                <w:rFonts w:hint="eastAsia" w:ascii="宋体" w:hAnsi="宋体" w:cs="宋体"/>
                <w:kern w:val="0"/>
                <w:szCs w:val="24"/>
                <w:lang w:val="zh-CN"/>
              </w:rPr>
              <w:t>）将预计未来现金流量现值时的基础数据与历史数据及其他支持性证据进行核对，并考虑合理性；（</w:t>
            </w:r>
            <w:r>
              <w:rPr>
                <w:rFonts w:eastAsia="Times New Roman"/>
                <w:kern w:val="0"/>
                <w:szCs w:val="24"/>
                <w:lang w:val="zh-CN"/>
              </w:rPr>
              <w:t>5</w:t>
            </w:r>
            <w:r>
              <w:rPr>
                <w:rFonts w:hint="eastAsia" w:ascii="宋体" w:hAnsi="宋体" w:cs="宋体"/>
                <w:kern w:val="0"/>
                <w:szCs w:val="24"/>
                <w:lang w:val="zh-CN"/>
              </w:rPr>
              <w:t>）对金额重大的商誉及存在减值迹象的商誉，我们获取外部估值专家出具的商誉减值测试涉及的资产组价值评估报告，评估报告中所涉及的评估减值测试模型是否符合现行的企业会计准则，并评估了外部评估专家的独立性及专业胜任能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059" w:type="pct"/>
          </w:tcPr>
          <w:p>
            <w:pPr>
              <w:autoSpaceDE w:val="0"/>
              <w:autoSpaceDN w:val="0"/>
              <w:adjustRightInd w:val="0"/>
              <w:spacing w:before="0" w:after="0"/>
              <w:jc w:val="left"/>
              <w:rPr>
                <w:rFonts w:eastAsia="Times New Roman"/>
                <w:kern w:val="0"/>
                <w:szCs w:val="24"/>
                <w:lang w:val="zh-CN"/>
              </w:rPr>
            </w:pPr>
            <w:r>
              <w:rPr>
                <w:rFonts w:hint="eastAsia" w:ascii="宋体" w:hAnsi="宋体" w:cs="宋体"/>
                <w:b/>
                <w:kern w:val="0"/>
                <w:szCs w:val="24"/>
                <w:lang w:val="zh-CN"/>
              </w:rPr>
              <w:t>（三）应收账款的可回收性</w:t>
            </w:r>
          </w:p>
        </w:tc>
        <w:tc>
          <w:tcPr>
            <w:tcW w:w="2941" w:type="pct"/>
          </w:tcPr>
          <w:p>
            <w:pPr>
              <w:autoSpaceDE w:val="0"/>
              <w:autoSpaceDN w:val="0"/>
              <w:adjustRightInd w:val="0"/>
              <w:spacing w:before="0" w:after="0"/>
              <w:jc w:val="left"/>
              <w:rPr>
                <w:rFonts w:eastAsia="Times New Roman"/>
                <w:kern w:val="0"/>
                <w:szCs w:val="24"/>
                <w:lang w:val="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 w:type="dxa"/>
            <w:left w:w="10" w:type="dxa"/>
            <w:bottom w:w="10" w:type="dxa"/>
            <w:right w:w="10" w:type="dxa"/>
          </w:tblCellMar>
        </w:tblPrEx>
        <w:tc>
          <w:tcPr>
            <w:tcW w:w="2059" w:type="pct"/>
          </w:tcPr>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如合并报表附注三（九）和五（三）所述，截止</w:t>
            </w:r>
            <w:r>
              <w:rPr>
                <w:rFonts w:eastAsia="Times New Roman"/>
                <w:kern w:val="0"/>
                <w:szCs w:val="24"/>
                <w:lang w:val="zh-CN"/>
              </w:rPr>
              <w:t>2019</w:t>
            </w:r>
            <w:r>
              <w:rPr>
                <w:rFonts w:hint="eastAsia" w:ascii="宋体" w:hAnsi="宋体" w:cs="宋体"/>
                <w:kern w:val="0"/>
                <w:szCs w:val="24"/>
                <w:lang w:val="zh-CN"/>
              </w:rPr>
              <w:t>年</w:t>
            </w:r>
            <w:r>
              <w:rPr>
                <w:rFonts w:eastAsia="Times New Roman"/>
                <w:kern w:val="0"/>
                <w:szCs w:val="24"/>
                <w:lang w:val="zh-CN"/>
              </w:rPr>
              <w:t>12</w:t>
            </w:r>
            <w:r>
              <w:rPr>
                <w:rFonts w:hint="eastAsia" w:ascii="宋体" w:hAnsi="宋体" w:cs="宋体"/>
                <w:kern w:val="0"/>
                <w:szCs w:val="24"/>
                <w:lang w:val="zh-CN"/>
              </w:rPr>
              <w:t>月</w:t>
            </w:r>
            <w:r>
              <w:rPr>
                <w:rFonts w:eastAsia="Times New Roman"/>
                <w:kern w:val="0"/>
                <w:szCs w:val="24"/>
                <w:lang w:val="zh-CN"/>
              </w:rPr>
              <w:t>31</w:t>
            </w:r>
            <w:r>
              <w:rPr>
                <w:rFonts w:hint="eastAsia" w:ascii="宋体" w:hAnsi="宋体" w:cs="宋体"/>
                <w:kern w:val="0"/>
                <w:szCs w:val="24"/>
                <w:lang w:val="zh-CN"/>
              </w:rPr>
              <w:t>日，美康生物应收账款余额为人民币</w:t>
            </w:r>
            <w:r>
              <w:rPr>
                <w:rFonts w:eastAsia="Times New Roman"/>
                <w:kern w:val="0"/>
                <w:szCs w:val="24"/>
                <w:lang w:val="zh-CN"/>
              </w:rPr>
              <w:t>116,623.54</w:t>
            </w:r>
            <w:r>
              <w:rPr>
                <w:rFonts w:hint="eastAsia" w:ascii="宋体" w:hAnsi="宋体" w:cs="宋体"/>
                <w:kern w:val="0"/>
                <w:szCs w:val="24"/>
                <w:lang w:val="zh-CN"/>
              </w:rPr>
              <w:t>万元，应收账款坏账准备余额为人民币</w:t>
            </w:r>
            <w:r>
              <w:rPr>
                <w:rFonts w:eastAsia="Times New Roman"/>
                <w:kern w:val="0"/>
                <w:szCs w:val="24"/>
                <w:lang w:val="zh-CN"/>
              </w:rPr>
              <w:t>8,956.26</w:t>
            </w:r>
            <w:r>
              <w:rPr>
                <w:rFonts w:hint="eastAsia" w:ascii="宋体" w:hAnsi="宋体" w:cs="宋体"/>
                <w:kern w:val="0"/>
                <w:szCs w:val="24"/>
                <w:lang w:val="zh-CN"/>
              </w:rPr>
              <w:t>万元。美康生物生物自</w:t>
            </w:r>
            <w:r>
              <w:rPr>
                <w:rFonts w:eastAsia="Times New Roman"/>
                <w:kern w:val="0"/>
                <w:szCs w:val="24"/>
                <w:lang w:val="zh-CN"/>
              </w:rPr>
              <w:t xml:space="preserve"> 2019 </w:t>
            </w:r>
            <w:r>
              <w:rPr>
                <w:rFonts w:hint="eastAsia" w:ascii="宋体" w:hAnsi="宋体" w:cs="宋体"/>
                <w:kern w:val="0"/>
                <w:szCs w:val="24"/>
                <w:lang w:val="zh-CN"/>
              </w:rPr>
              <w:t>年</w:t>
            </w:r>
            <w:r>
              <w:rPr>
                <w:rFonts w:eastAsia="Times New Roman"/>
                <w:kern w:val="0"/>
                <w:szCs w:val="24"/>
                <w:lang w:val="zh-CN"/>
              </w:rPr>
              <w:t xml:space="preserve"> 1 </w:t>
            </w:r>
            <w:r>
              <w:rPr>
                <w:rFonts w:hint="eastAsia" w:ascii="宋体" w:hAnsi="宋体" w:cs="宋体"/>
                <w:kern w:val="0"/>
                <w:szCs w:val="24"/>
                <w:lang w:val="zh-CN"/>
              </w:rPr>
              <w:t>月</w:t>
            </w:r>
            <w:r>
              <w:rPr>
                <w:rFonts w:eastAsia="Times New Roman"/>
                <w:kern w:val="0"/>
                <w:szCs w:val="24"/>
                <w:lang w:val="zh-CN"/>
              </w:rPr>
              <w:t xml:space="preserve"> 1 </w:t>
            </w:r>
            <w:r>
              <w:rPr>
                <w:rFonts w:hint="eastAsia" w:ascii="宋体" w:hAnsi="宋体" w:cs="宋体"/>
                <w:kern w:val="0"/>
                <w:szCs w:val="24"/>
                <w:lang w:val="zh-CN"/>
              </w:rPr>
              <w:t>日起执行新金融工具准则。由于公司管理层在确定应收账款可回收性时需要运用重大会计估计和判断，且影响金额重大，为此我们确定应收账款的可回收性为关键审计事项。</w:t>
            </w:r>
          </w:p>
        </w:tc>
        <w:tc>
          <w:tcPr>
            <w:tcW w:w="2941" w:type="pct"/>
          </w:tcPr>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针对应收账款的可回收性问题，我们实施的审计程序主要包括：（</w:t>
            </w:r>
            <w:r>
              <w:rPr>
                <w:rFonts w:eastAsia="Times New Roman"/>
                <w:kern w:val="0"/>
                <w:szCs w:val="24"/>
                <w:lang w:val="zh-CN"/>
              </w:rPr>
              <w:t>1</w:t>
            </w:r>
            <w:r>
              <w:rPr>
                <w:rFonts w:hint="eastAsia" w:ascii="宋体" w:hAnsi="宋体" w:cs="宋体"/>
                <w:kern w:val="0"/>
                <w:szCs w:val="24"/>
                <w:lang w:val="zh-CN"/>
              </w:rPr>
              <w:t>）了解管理层与信用控制、账款回收和评估应收款项减值准备相关的关键财务报告内部控制，并评价这些内部控制的设计和运行有效性；（</w:t>
            </w:r>
            <w:r>
              <w:rPr>
                <w:rFonts w:eastAsia="Times New Roman"/>
                <w:kern w:val="0"/>
                <w:szCs w:val="24"/>
                <w:lang w:val="zh-CN"/>
              </w:rPr>
              <w:t>2</w:t>
            </w:r>
            <w:r>
              <w:rPr>
                <w:rFonts w:hint="eastAsia" w:ascii="宋体" w:hAnsi="宋体" w:cs="宋体"/>
                <w:kern w:val="0"/>
                <w:szCs w:val="24"/>
                <w:lang w:val="zh-CN"/>
              </w:rPr>
              <w:t>）了解公司的信用政策，结合行业特点及信用风险特征，评价管理层制定的相关会计政策是否符合企业会计准则的规定；（</w:t>
            </w:r>
            <w:r>
              <w:rPr>
                <w:rFonts w:eastAsia="Times New Roman"/>
                <w:kern w:val="0"/>
                <w:szCs w:val="24"/>
                <w:lang w:val="zh-CN"/>
              </w:rPr>
              <w:t>3</w:t>
            </w:r>
            <w:r>
              <w:rPr>
                <w:rFonts w:hint="eastAsia" w:ascii="宋体" w:hAnsi="宋体" w:cs="宋体"/>
                <w:kern w:val="0"/>
                <w:szCs w:val="24"/>
                <w:lang w:val="zh-CN"/>
              </w:rPr>
              <w:t>）复核管理层对应收账款进行减值测试的相关考虑及客观证据，关注管理层是否充分识别已发生减值的项目；（</w:t>
            </w:r>
            <w:r>
              <w:rPr>
                <w:rFonts w:eastAsia="Times New Roman"/>
                <w:kern w:val="0"/>
                <w:szCs w:val="24"/>
                <w:lang w:val="zh-CN"/>
              </w:rPr>
              <w:t>4</w:t>
            </w:r>
            <w:r>
              <w:rPr>
                <w:rFonts w:hint="eastAsia" w:ascii="宋体" w:hAnsi="宋体" w:cs="宋体"/>
                <w:kern w:val="0"/>
                <w:szCs w:val="24"/>
                <w:lang w:val="zh-CN"/>
              </w:rPr>
              <w:t>）对于按照信用风险特征组合计算预期信用损失的应收账款，复核管理层对划分的组合以及基于历史信用损失经验并结合当前状况及对未来经济状况的预测等对不同组合估计的预期信用损失率的合理性，包括对迁徙率、历史损失率的重新计算，参考历史审计经验及前瞻性信息，对预期损失率的合理性进行评估，并选取样本测试应收账款的组合分类和账龄划分的准确性，重新计算预期信用损失计提金额的准确性；（</w:t>
            </w:r>
            <w:r>
              <w:rPr>
                <w:rFonts w:eastAsia="Times New Roman"/>
                <w:kern w:val="0"/>
                <w:szCs w:val="24"/>
                <w:lang w:val="zh-CN"/>
              </w:rPr>
              <w:t>5</w:t>
            </w:r>
            <w:r>
              <w:rPr>
                <w:rFonts w:hint="eastAsia" w:ascii="宋体" w:hAnsi="宋体" w:cs="宋体"/>
                <w:kern w:val="0"/>
                <w:szCs w:val="24"/>
                <w:lang w:val="zh-CN"/>
              </w:rPr>
              <w:t>）测试资产负债表日后收到的回款；（</w:t>
            </w:r>
            <w:r>
              <w:rPr>
                <w:rFonts w:eastAsia="Times New Roman"/>
                <w:kern w:val="0"/>
                <w:szCs w:val="24"/>
                <w:lang w:val="zh-CN"/>
              </w:rPr>
              <w:t>6</w:t>
            </w:r>
            <w:r>
              <w:rPr>
                <w:rFonts w:hint="eastAsia" w:ascii="宋体" w:hAnsi="宋体" w:cs="宋体"/>
                <w:kern w:val="0"/>
                <w:szCs w:val="24"/>
                <w:lang w:val="zh-CN"/>
              </w:rPr>
              <w:t>）按照抽样原则选择样本发送应收账款函证。</w:t>
            </w:r>
          </w:p>
        </w:tc>
      </w:tr>
    </w:tbl>
    <w:p>
      <w:pPr>
        <w:autoSpaceDE w:val="0"/>
        <w:autoSpaceDN w:val="0"/>
        <w:adjustRightInd w:val="0"/>
        <w:spacing w:before="0" w:after="0"/>
        <w:ind w:firstLine="420"/>
        <w:jc w:val="left"/>
        <w:rPr>
          <w:rFonts w:eastAsiaTheme="minorEastAsia"/>
          <w:b/>
          <w:kern w:val="0"/>
          <w:sz w:val="21"/>
          <w:szCs w:val="21"/>
          <w:lang w:val="zh-CN"/>
        </w:rPr>
      </w:pPr>
      <w:r>
        <w:rPr>
          <w:rFonts w:hint="eastAsia" w:ascii="宋体" w:hAnsi="宋体" w:cs="宋体"/>
          <w:b/>
          <w:kern w:val="0"/>
          <w:sz w:val="21"/>
          <w:szCs w:val="21"/>
          <w:lang w:val="zh-CN"/>
        </w:rPr>
        <w:t>四、其他信息</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美康生物管理层（以下简称管理层）对其他信息负责。其他信息包括美康生物</w:t>
      </w:r>
      <w:r>
        <w:rPr>
          <w:rFonts w:eastAsia="Times New Roman"/>
          <w:kern w:val="0"/>
          <w:lang w:val="zh-CN"/>
        </w:rPr>
        <w:t>2019</w:t>
      </w:r>
      <w:r>
        <w:rPr>
          <w:rFonts w:hint="eastAsia" w:ascii="宋体" w:hAnsi="宋体" w:cs="宋体"/>
          <w:kern w:val="0"/>
          <w:lang w:val="zh-CN"/>
        </w:rPr>
        <w:t>年年度报告中涵盖的信息，但不包括财务报表和我们的审计报告。</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我们对财务报表发表的审计意见不涵盖其他信息，我们也不对其他信息发表任何形式的鉴证结论。</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结合我们对财务报表的审计，我们的责任是阅读其他信息，在此过程中，考虑其他信息是否与财务报表或我们在审计过程中了解到的情况存在重大不一致或者似乎存在重大错报。</w:t>
      </w:r>
    </w:p>
    <w:p>
      <w:pPr>
        <w:autoSpaceDE w:val="0"/>
        <w:autoSpaceDN w:val="0"/>
        <w:adjustRightInd w:val="0"/>
        <w:spacing w:before="0" w:after="0"/>
        <w:ind w:firstLine="420"/>
        <w:rPr>
          <w:rFonts w:eastAsiaTheme="minorEastAsia"/>
          <w:kern w:val="0"/>
          <w:sz w:val="24"/>
          <w:szCs w:val="24"/>
          <w:lang w:val="zh-CN"/>
        </w:rPr>
      </w:pPr>
      <w:r>
        <w:rPr>
          <w:rFonts w:hint="eastAsia" w:ascii="宋体" w:hAnsi="宋体" w:cs="宋体"/>
          <w:kern w:val="0"/>
          <w:lang w:val="zh-CN"/>
        </w:rPr>
        <w:t>基于我们已执行的工作，如果我们确定其他信息存在重大错报，我们应当报告该事实。在这方面，我们无任何事项需要报告。</w:t>
      </w:r>
    </w:p>
    <w:p>
      <w:pPr>
        <w:autoSpaceDE w:val="0"/>
        <w:autoSpaceDN w:val="0"/>
        <w:adjustRightInd w:val="0"/>
        <w:spacing w:before="0" w:after="0"/>
        <w:ind w:firstLine="420"/>
        <w:jc w:val="left"/>
        <w:rPr>
          <w:rFonts w:eastAsiaTheme="minorEastAsia"/>
          <w:b/>
          <w:kern w:val="0"/>
          <w:sz w:val="21"/>
          <w:szCs w:val="21"/>
          <w:lang w:val="zh-CN"/>
        </w:rPr>
      </w:pPr>
      <w:r>
        <w:rPr>
          <w:rFonts w:hint="eastAsia" w:ascii="宋体" w:hAnsi="宋体" w:cs="宋体"/>
          <w:b/>
          <w:kern w:val="0"/>
          <w:sz w:val="21"/>
          <w:szCs w:val="21"/>
          <w:lang w:val="zh-CN"/>
        </w:rPr>
        <w:t>五、管理层和治理层对财务报表的责任</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管理层负责按照企业会计准则的规定编制财务报表，使其实现公允反映，并设计、执行和维护必要的内部控制，以使财务报表不存在由于舞弊或错误导致的重大错报。</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在编制财务报表时，管理层负责评估美康生物的持续经营能力，披露与持续经营相关的事项（如适用），并运用持续经营假设，除非计划进行清算、终止运营或别无其他现实的选择。</w:t>
      </w:r>
    </w:p>
    <w:p>
      <w:pPr>
        <w:autoSpaceDE w:val="0"/>
        <w:autoSpaceDN w:val="0"/>
        <w:adjustRightInd w:val="0"/>
        <w:spacing w:before="0" w:after="0"/>
        <w:ind w:firstLine="420"/>
        <w:rPr>
          <w:rFonts w:eastAsiaTheme="minorEastAsia"/>
          <w:kern w:val="0"/>
          <w:sz w:val="28"/>
          <w:szCs w:val="24"/>
          <w:lang w:val="zh-CN"/>
        </w:rPr>
      </w:pPr>
      <w:r>
        <w:rPr>
          <w:rFonts w:hint="eastAsia" w:ascii="宋体" w:hAnsi="宋体" w:cs="宋体"/>
          <w:kern w:val="0"/>
          <w:lang w:val="zh-CN"/>
        </w:rPr>
        <w:t>治理层负责监督美康生物的财务报告过程。</w:t>
      </w:r>
    </w:p>
    <w:p>
      <w:pPr>
        <w:autoSpaceDE w:val="0"/>
        <w:autoSpaceDN w:val="0"/>
        <w:adjustRightInd w:val="0"/>
        <w:spacing w:before="0" w:after="0"/>
        <w:ind w:firstLine="420"/>
        <w:jc w:val="left"/>
        <w:rPr>
          <w:rFonts w:eastAsiaTheme="minorEastAsia"/>
          <w:b/>
          <w:kern w:val="0"/>
          <w:sz w:val="21"/>
          <w:szCs w:val="21"/>
          <w:lang w:val="zh-CN"/>
        </w:rPr>
      </w:pPr>
      <w:r>
        <w:rPr>
          <w:rFonts w:hint="eastAsia" w:ascii="宋体" w:hAnsi="宋体" w:cs="宋体"/>
          <w:b/>
          <w:kern w:val="0"/>
          <w:sz w:val="21"/>
          <w:szCs w:val="21"/>
          <w:lang w:val="zh-CN"/>
        </w:rPr>
        <w:t>六、注册会计师对财务报表审计的责任</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在按照审计准则执行审计工作的过程中，我们运用职业判断，并保持职业怀疑。同时，我们也执行以下工作：</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）了解与审计相关的内部控制，以设计恰当的审计程序，但目的并非对内部控制的有效性发表意见。</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）评价管理层选用会计政策的恰当性和作出会计估计及相关披露的合理性。</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w:t>
      </w:r>
      <w:r>
        <w:rPr>
          <w:rFonts w:eastAsia="Times New Roman"/>
          <w:kern w:val="0"/>
          <w:lang w:val="zh-CN"/>
        </w:rPr>
        <w:t>4</w:t>
      </w:r>
      <w:r>
        <w:rPr>
          <w:rFonts w:hint="eastAsia" w:ascii="宋体" w:hAnsi="宋体" w:cs="宋体"/>
          <w:kern w:val="0"/>
          <w:lang w:val="zh-CN"/>
        </w:rPr>
        <w:t>）对管理层使用持续经营假设的恰当性得出结论。同时，根据获取的审计证据，就可能导致对美康生物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美康生物不能持续经营。</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w:t>
      </w:r>
      <w:r>
        <w:rPr>
          <w:rFonts w:eastAsia="Times New Roman"/>
          <w:kern w:val="0"/>
          <w:lang w:val="zh-CN"/>
        </w:rPr>
        <w:t>5</w:t>
      </w:r>
      <w:r>
        <w:rPr>
          <w:rFonts w:hint="eastAsia" w:ascii="宋体" w:hAnsi="宋体" w:cs="宋体"/>
          <w:kern w:val="0"/>
          <w:lang w:val="zh-CN"/>
        </w:rPr>
        <w:t>）评价财务报表的总体列报、结构和内容，并评价财务报表是否公允反映相关交易和事项。</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w:t>
      </w:r>
      <w:r>
        <w:rPr>
          <w:rFonts w:eastAsia="Times New Roman"/>
          <w:kern w:val="0"/>
          <w:lang w:val="zh-CN"/>
        </w:rPr>
        <w:t>6</w:t>
      </w:r>
      <w:r>
        <w:rPr>
          <w:rFonts w:hint="eastAsia" w:ascii="宋体" w:hAnsi="宋体" w:cs="宋体"/>
          <w:kern w:val="0"/>
          <w:lang w:val="zh-CN"/>
        </w:rPr>
        <w:t>）就美康生物中实体或业务活动的财务信息获取充分、适当的审计证据，以对财务报表发表审计意见。我们负责指导、监督和执行集团审计，并对审计意见承担全部责任。</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我们与治理层就计划的审计范围、时间安排和重大审计发现等事项进行沟通，包括沟通我们在审计中识别出的值得关注的内部控制缺陷。</w:t>
      </w:r>
    </w:p>
    <w:p>
      <w:pPr>
        <w:autoSpaceDE w:val="0"/>
        <w:autoSpaceDN w:val="0"/>
        <w:adjustRightInd w:val="0"/>
        <w:spacing w:before="0" w:after="0"/>
        <w:ind w:firstLine="420"/>
        <w:rPr>
          <w:rFonts w:eastAsia="Times New Roman"/>
          <w:kern w:val="0"/>
          <w:lang w:val="zh-CN"/>
        </w:rPr>
      </w:pPr>
      <w:r>
        <w:rPr>
          <w:rFonts w:hint="eastAsia" w:ascii="宋体" w:hAnsi="宋体" w:cs="宋体"/>
          <w:kern w:val="0"/>
          <w:lang w:val="zh-CN"/>
        </w:rPr>
        <w:t>我们还就已遵守与独立性相关的职业道德要求向治理层提供声明，并与治理层沟通可能被合理认为影响我们独立性的所有关系和其他事项，以及相关的防范措施（如适用）。</w:t>
      </w:r>
    </w:p>
    <w:p>
      <w:pPr>
        <w:autoSpaceDE w:val="0"/>
        <w:autoSpaceDN w:val="0"/>
        <w:adjustRightInd w:val="0"/>
        <w:spacing w:before="0" w:after="0"/>
        <w:ind w:firstLine="420"/>
        <w:rPr>
          <w:rFonts w:eastAsia="Times New Roman"/>
          <w:kern w:val="0"/>
          <w:sz w:val="28"/>
          <w:szCs w:val="24"/>
          <w:lang w:val="zh-CN"/>
        </w:rPr>
      </w:pPr>
      <w:r>
        <w:rPr>
          <w:rFonts w:hint="eastAsia" w:ascii="宋体" w:hAnsi="宋体" w:cs="宋体"/>
          <w:kern w:val="0"/>
          <w:lang w:val="zh-CN"/>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pPr>
        <w:autoSpaceDE w:val="0"/>
        <w:autoSpaceDN w:val="0"/>
        <w:adjustRightInd w:val="0"/>
        <w:spacing w:before="0" w:after="0"/>
        <w:rPr>
          <w:rFonts w:eastAsiaTheme="minorEastAsia"/>
          <w:kern w:val="0"/>
          <w:sz w:val="28"/>
          <w:szCs w:val="24"/>
          <w:lang w:val="zh-CN"/>
        </w:rPr>
      </w:pPr>
    </w:p>
    <w:p>
      <w:pPr>
        <w:autoSpaceDE w:val="0"/>
        <w:autoSpaceDN w:val="0"/>
        <w:adjustRightInd w:val="0"/>
        <w:spacing w:before="0" w:after="0"/>
        <w:ind w:firstLine="275"/>
        <w:jc w:val="right"/>
        <w:rPr>
          <w:rFonts w:eastAsia="Times New Roman"/>
          <w:b/>
          <w:kern w:val="0"/>
          <w:sz w:val="21"/>
          <w:szCs w:val="21"/>
          <w:lang w:val="zh-CN"/>
        </w:rPr>
      </w:pPr>
      <w:r>
        <w:rPr>
          <w:rFonts w:hint="eastAsia" w:ascii="宋体" w:hAnsi="宋体" w:cs="宋体"/>
          <w:b/>
          <w:kern w:val="0"/>
          <w:sz w:val="21"/>
          <w:szCs w:val="21"/>
          <w:lang w:val="zh-CN"/>
        </w:rPr>
        <w:t>立信会计师事务所</w:t>
      </w:r>
      <w:r>
        <w:rPr>
          <w:rFonts w:eastAsia="Times New Roman"/>
          <w:b/>
          <w:kern w:val="0"/>
          <w:sz w:val="21"/>
          <w:szCs w:val="21"/>
          <w:lang w:val="zh-CN"/>
        </w:rPr>
        <w:tab/>
      </w:r>
      <w:r>
        <w:rPr>
          <w:rFonts w:eastAsia="Times New Roman"/>
          <w:b/>
          <w:kern w:val="0"/>
          <w:sz w:val="21"/>
          <w:szCs w:val="21"/>
          <w:lang w:val="zh-CN"/>
        </w:rPr>
        <w:t xml:space="preserve"> </w:t>
      </w:r>
      <w:r>
        <w:rPr>
          <w:rFonts w:hint="eastAsia" w:ascii="宋体" w:hAnsi="宋体" w:cs="宋体"/>
          <w:b/>
          <w:kern w:val="0"/>
          <w:sz w:val="21"/>
          <w:szCs w:val="21"/>
          <w:lang w:val="zh-CN"/>
        </w:rPr>
        <w:t>中国注册会计师：李勇平（项目合伙人）</w:t>
      </w:r>
    </w:p>
    <w:p>
      <w:pPr>
        <w:autoSpaceDE w:val="0"/>
        <w:autoSpaceDN w:val="0"/>
        <w:adjustRightInd w:val="0"/>
        <w:spacing w:before="0" w:after="0"/>
        <w:ind w:right="844" w:firstLine="275"/>
        <w:jc w:val="center"/>
        <w:rPr>
          <w:rFonts w:eastAsia="Times New Roman"/>
          <w:b/>
          <w:kern w:val="0"/>
          <w:sz w:val="21"/>
          <w:szCs w:val="21"/>
          <w:lang w:val="zh-CN"/>
        </w:rPr>
      </w:pPr>
      <w:r>
        <w:rPr>
          <w:rFonts w:hint="eastAsia" w:ascii="宋体" w:hAnsi="宋体" w:cs="宋体"/>
          <w:b/>
          <w:kern w:val="0"/>
          <w:sz w:val="21"/>
          <w:szCs w:val="21"/>
          <w:lang w:val="zh-CN"/>
        </w:rPr>
        <w:t xml:space="preserve"> </w:t>
      </w:r>
      <w:r>
        <w:rPr>
          <w:rFonts w:ascii="宋体" w:hAnsi="宋体" w:cs="宋体"/>
          <w:b/>
          <w:kern w:val="0"/>
          <w:sz w:val="21"/>
          <w:szCs w:val="21"/>
          <w:lang w:val="zh-CN"/>
        </w:rPr>
        <w:t xml:space="preserve">    </w:t>
      </w:r>
      <w:r>
        <w:rPr>
          <w:rFonts w:hint="eastAsia" w:ascii="宋体" w:hAnsi="宋体" w:cs="宋体"/>
          <w:b/>
          <w:kern w:val="0"/>
          <w:sz w:val="21"/>
          <w:szCs w:val="21"/>
          <w:lang w:val="zh-CN"/>
        </w:rPr>
        <w:t>（特殊普通合伙）</w:t>
      </w:r>
    </w:p>
    <w:p>
      <w:pPr>
        <w:autoSpaceDE w:val="0"/>
        <w:autoSpaceDN w:val="0"/>
        <w:adjustRightInd w:val="0"/>
        <w:spacing w:before="0" w:after="0"/>
        <w:ind w:right="840" w:firstLine="275"/>
        <w:jc w:val="center"/>
        <w:rPr>
          <w:rFonts w:eastAsia="Times New Roman"/>
          <w:b/>
          <w:kern w:val="0"/>
          <w:sz w:val="21"/>
          <w:szCs w:val="21"/>
          <w:lang w:val="zh-CN"/>
        </w:rPr>
      </w:pPr>
      <w:r>
        <w:rPr>
          <w:rFonts w:hint="eastAsia" w:eastAsiaTheme="minorEastAsia"/>
          <w:kern w:val="0"/>
          <w:sz w:val="21"/>
          <w:szCs w:val="21"/>
          <w:lang w:val="zh-CN"/>
        </w:rPr>
        <w:t xml:space="preserve"> </w:t>
      </w:r>
      <w:r>
        <w:rPr>
          <w:rFonts w:eastAsiaTheme="minorEastAsia"/>
          <w:kern w:val="0"/>
          <w:sz w:val="21"/>
          <w:szCs w:val="21"/>
          <w:lang w:val="zh-CN"/>
        </w:rPr>
        <w:t xml:space="preserve">            </w:t>
      </w:r>
      <w:r>
        <w:rPr>
          <w:rFonts w:eastAsiaTheme="minorEastAsia"/>
          <w:kern w:val="0"/>
          <w:sz w:val="21"/>
          <w:szCs w:val="21"/>
          <w:lang w:val="zh-CN"/>
        </w:rPr>
        <w:tab/>
      </w:r>
      <w:r>
        <w:rPr>
          <w:rFonts w:eastAsiaTheme="minorEastAsia"/>
          <w:kern w:val="0"/>
          <w:sz w:val="21"/>
          <w:szCs w:val="21"/>
          <w:lang w:val="zh-CN"/>
        </w:rPr>
        <w:t xml:space="preserve">                                  </w:t>
      </w:r>
      <w:r>
        <w:rPr>
          <w:rFonts w:hint="eastAsia" w:ascii="宋体" w:hAnsi="宋体" w:cs="宋体"/>
          <w:b/>
          <w:kern w:val="0"/>
          <w:sz w:val="21"/>
          <w:szCs w:val="21"/>
          <w:lang w:val="zh-CN"/>
        </w:rPr>
        <w:t>中国注册会计师：陈云艳</w:t>
      </w:r>
    </w:p>
    <w:p>
      <w:pPr>
        <w:autoSpaceDE w:val="0"/>
        <w:autoSpaceDN w:val="0"/>
        <w:adjustRightInd w:val="0"/>
        <w:spacing w:before="0" w:after="0"/>
        <w:ind w:firstLine="275"/>
        <w:rPr>
          <w:rFonts w:eastAsia="Times New Roman"/>
          <w:b/>
          <w:kern w:val="0"/>
          <w:sz w:val="21"/>
          <w:szCs w:val="21"/>
          <w:lang w:val="zh-CN"/>
        </w:rPr>
      </w:pPr>
    </w:p>
    <w:p>
      <w:pPr>
        <w:autoSpaceDE w:val="0"/>
        <w:autoSpaceDN w:val="0"/>
        <w:adjustRightInd w:val="0"/>
        <w:spacing w:before="0" w:after="0"/>
        <w:ind w:firstLine="1261" w:firstLineChars="600"/>
        <w:rPr>
          <w:rFonts w:eastAsia="Times New Roman"/>
          <w:b/>
          <w:kern w:val="0"/>
          <w:sz w:val="21"/>
          <w:szCs w:val="21"/>
          <w:lang w:val="zh-CN"/>
        </w:rPr>
      </w:pPr>
      <w:r>
        <w:rPr>
          <w:rFonts w:eastAsia="Times New Roman"/>
          <w:b/>
          <w:kern w:val="0"/>
          <w:sz w:val="21"/>
          <w:szCs w:val="21"/>
          <w:lang w:val="zh-CN"/>
        </w:rPr>
        <w:t xml:space="preserve">                                            </w:t>
      </w:r>
      <w:r>
        <w:rPr>
          <w:rFonts w:hint="eastAsia" w:ascii="宋体" w:hAnsi="宋体" w:cs="宋体"/>
          <w:b/>
          <w:kern w:val="0"/>
          <w:sz w:val="21"/>
          <w:szCs w:val="21"/>
          <w:lang w:val="zh-CN"/>
        </w:rPr>
        <w:t>中国注册会计师：李静程</w:t>
      </w:r>
    </w:p>
    <w:p>
      <w:pPr>
        <w:autoSpaceDE w:val="0"/>
        <w:autoSpaceDN w:val="0"/>
        <w:adjustRightInd w:val="0"/>
        <w:spacing w:before="0" w:after="0"/>
        <w:ind w:firstLine="275"/>
        <w:rPr>
          <w:rFonts w:eastAsia="Times New Roman"/>
          <w:b/>
          <w:kern w:val="0"/>
          <w:sz w:val="21"/>
          <w:szCs w:val="21"/>
          <w:lang w:val="zh-CN"/>
        </w:rPr>
      </w:pPr>
    </w:p>
    <w:p>
      <w:pPr>
        <w:autoSpaceDE w:val="0"/>
        <w:autoSpaceDN w:val="0"/>
        <w:adjustRightInd w:val="0"/>
        <w:spacing w:before="0" w:after="0"/>
        <w:ind w:firstLine="274"/>
        <w:rPr>
          <w:rFonts w:eastAsia="Times New Roman"/>
          <w:kern w:val="0"/>
          <w:sz w:val="21"/>
          <w:szCs w:val="21"/>
          <w:lang w:val="zh-CN"/>
        </w:rPr>
      </w:pPr>
    </w:p>
    <w:p>
      <w:pPr>
        <w:autoSpaceDE w:val="0"/>
        <w:autoSpaceDN w:val="0"/>
        <w:adjustRightInd w:val="0"/>
        <w:spacing w:before="0" w:after="0"/>
        <w:ind w:firstLine="274"/>
        <w:rPr>
          <w:rFonts w:eastAsia="Times New Roman"/>
          <w:kern w:val="0"/>
          <w:sz w:val="21"/>
          <w:szCs w:val="21"/>
          <w:lang w:val="zh-CN"/>
        </w:rPr>
      </w:pPr>
    </w:p>
    <w:p>
      <w:pPr>
        <w:autoSpaceDE w:val="0"/>
        <w:autoSpaceDN w:val="0"/>
        <w:adjustRightInd w:val="0"/>
        <w:spacing w:before="0" w:after="0"/>
        <w:ind w:firstLine="275"/>
        <w:jc w:val="right"/>
        <w:rPr>
          <w:rFonts w:eastAsia="Times New Roman"/>
          <w:b/>
          <w:kern w:val="0"/>
          <w:sz w:val="21"/>
          <w:szCs w:val="21"/>
          <w:lang w:val="zh-CN"/>
        </w:rPr>
      </w:pPr>
      <w:r>
        <w:rPr>
          <w:rFonts w:hint="eastAsia" w:ascii="宋体" w:hAnsi="宋体" w:cs="宋体"/>
          <w:b/>
          <w:kern w:val="0"/>
          <w:sz w:val="21"/>
          <w:szCs w:val="21"/>
          <w:lang w:val="zh-CN"/>
        </w:rPr>
        <w:t>中国</w:t>
      </w:r>
      <w:r>
        <w:rPr>
          <w:rFonts w:eastAsia="Times New Roman"/>
          <w:b/>
          <w:kern w:val="0"/>
          <w:sz w:val="21"/>
          <w:szCs w:val="21"/>
          <w:lang w:val="zh-CN"/>
        </w:rPr>
        <w:t>•</w:t>
      </w:r>
      <w:r>
        <w:rPr>
          <w:rFonts w:hint="eastAsia" w:ascii="宋体" w:hAnsi="宋体" w:cs="宋体"/>
          <w:b/>
          <w:kern w:val="0"/>
          <w:sz w:val="21"/>
          <w:szCs w:val="21"/>
          <w:lang w:val="zh-CN"/>
        </w:rPr>
        <w:t>上海</w:t>
      </w:r>
      <w:r>
        <w:rPr>
          <w:rFonts w:eastAsia="Times New Roman"/>
          <w:b/>
          <w:kern w:val="0"/>
          <w:sz w:val="21"/>
          <w:szCs w:val="21"/>
          <w:lang w:val="zh-CN"/>
        </w:rPr>
        <w:tab/>
      </w:r>
      <w:r>
        <w:rPr>
          <w:rFonts w:eastAsia="Times New Roman"/>
          <w:b/>
          <w:kern w:val="0"/>
          <w:sz w:val="21"/>
          <w:szCs w:val="21"/>
          <w:lang w:val="zh-CN"/>
        </w:rPr>
        <w:tab/>
      </w:r>
      <w:r>
        <w:rPr>
          <w:rFonts w:eastAsia="Times New Roman"/>
          <w:b/>
          <w:kern w:val="0"/>
          <w:sz w:val="21"/>
          <w:szCs w:val="21"/>
          <w:lang w:val="zh-CN"/>
        </w:rPr>
        <w:t xml:space="preserve">   </w:t>
      </w:r>
      <w:r>
        <w:rPr>
          <w:rFonts w:eastAsia="Times New Roman"/>
          <w:b/>
          <w:kern w:val="0"/>
          <w:sz w:val="21"/>
          <w:szCs w:val="21"/>
          <w:lang w:val="zh-CN"/>
        </w:rPr>
        <w:tab/>
      </w:r>
      <w:r>
        <w:rPr>
          <w:rFonts w:eastAsia="Times New Roman"/>
          <w:b/>
          <w:kern w:val="0"/>
          <w:sz w:val="21"/>
          <w:szCs w:val="21"/>
          <w:lang w:val="zh-CN"/>
        </w:rPr>
        <w:t xml:space="preserve">     </w:t>
      </w:r>
      <w:r>
        <w:rPr>
          <w:rFonts w:eastAsia="Times New Roman"/>
          <w:b/>
          <w:kern w:val="0"/>
          <w:sz w:val="21"/>
          <w:szCs w:val="21"/>
          <w:highlight w:val="white"/>
          <w:lang w:val="zh-CN"/>
        </w:rPr>
        <w:t>2020</w:t>
      </w:r>
      <w:r>
        <w:rPr>
          <w:rFonts w:hint="eastAsia" w:ascii="宋体" w:hAnsi="宋体" w:cs="宋体"/>
          <w:b/>
          <w:kern w:val="0"/>
          <w:sz w:val="21"/>
          <w:szCs w:val="21"/>
          <w:highlight w:val="white"/>
          <w:lang w:val="zh-CN"/>
        </w:rPr>
        <w:t>年</w:t>
      </w:r>
      <w:r>
        <w:rPr>
          <w:rFonts w:eastAsia="Times New Roman"/>
          <w:b/>
          <w:kern w:val="0"/>
          <w:sz w:val="21"/>
          <w:szCs w:val="21"/>
          <w:highlight w:val="white"/>
          <w:lang w:val="zh-CN"/>
        </w:rPr>
        <w:t>4</w:t>
      </w:r>
      <w:r>
        <w:rPr>
          <w:rFonts w:hint="eastAsia" w:ascii="宋体" w:hAnsi="宋体" w:cs="宋体"/>
          <w:b/>
          <w:kern w:val="0"/>
          <w:sz w:val="21"/>
          <w:szCs w:val="21"/>
          <w:highlight w:val="white"/>
          <w:lang w:val="zh-CN"/>
        </w:rPr>
        <w:t>月</w:t>
      </w:r>
      <w:r>
        <w:rPr>
          <w:rFonts w:eastAsia="Times New Roman"/>
          <w:b/>
          <w:kern w:val="0"/>
          <w:sz w:val="21"/>
          <w:szCs w:val="21"/>
          <w:highlight w:val="white"/>
          <w:lang w:val="zh-CN"/>
        </w:rPr>
        <w:t>27</w:t>
      </w:r>
      <w:r>
        <w:rPr>
          <w:rFonts w:hint="eastAsia" w:ascii="宋体" w:hAnsi="宋体" w:cs="宋体"/>
          <w:b/>
          <w:kern w:val="0"/>
          <w:sz w:val="21"/>
          <w:szCs w:val="21"/>
          <w:highlight w:val="white"/>
          <w:lang w:val="zh-CN"/>
        </w:rPr>
        <w:t>日</w:t>
      </w:r>
    </w:p>
    <w:p>
      <w:pPr>
        <w:autoSpaceDE w:val="0"/>
        <w:autoSpaceDN w:val="0"/>
        <w:adjustRightInd w:val="0"/>
        <w:spacing w:before="0" w:after="0"/>
        <w:jc w:val="center"/>
        <w:rPr>
          <w:rFonts w:eastAsia="Times New Roman"/>
          <w:b/>
          <w:kern w:val="0"/>
          <w:sz w:val="36"/>
          <w:szCs w:val="24"/>
          <w:lang w:val="zh-CN"/>
        </w:rPr>
      </w:pPr>
    </w:p>
    <w:p>
      <w:pPr>
        <w:pStyle w:val="13"/>
        <w:outlineLvl w:val="1"/>
        <w:rPr>
          <w:bCs w:val="0"/>
        </w:rPr>
      </w:pPr>
      <w:r>
        <w:rPr>
          <w:rFonts w:hint="eastAsia"/>
          <w:bCs w:val="0"/>
        </w:rPr>
        <w:t>二、财务报表</w:t>
      </w:r>
    </w:p>
    <w:p>
      <w:pPr>
        <w:jc w:val="left"/>
        <w:rPr>
          <w:szCs w:val="24"/>
        </w:rPr>
      </w:pPr>
      <w:r>
        <w:rPr>
          <w:rFonts w:hint="eastAsia"/>
          <w:szCs w:val="24"/>
        </w:rPr>
        <w:t>财务附注中报表的单位为：元</w:t>
      </w:r>
    </w:p>
    <w:p>
      <w:pPr>
        <w:pStyle w:val="14"/>
        <w:outlineLvl w:val="2"/>
        <w:rPr>
          <w:bCs w:val="0"/>
          <w:szCs w:val="24"/>
        </w:rPr>
      </w:pPr>
      <w:r>
        <w:rPr>
          <w:bCs w:val="0"/>
          <w:szCs w:val="24"/>
        </w:rPr>
        <w:t>1</w:t>
      </w:r>
      <w:r>
        <w:rPr>
          <w:rFonts w:hint="eastAsia"/>
          <w:bCs w:val="0"/>
          <w:szCs w:val="24"/>
        </w:rPr>
        <w:t>、合并资产负债表</w:t>
      </w:r>
    </w:p>
    <w:p>
      <w:pPr>
        <w:jc w:val="left"/>
        <w:rPr>
          <w:szCs w:val="24"/>
        </w:rPr>
      </w:pPr>
      <w:r>
        <w:rPr>
          <w:rFonts w:hint="eastAsia"/>
          <w:szCs w:val="24"/>
        </w:rPr>
        <w:t>编制单位：美康生物科技股份有限公司</w:t>
      </w:r>
    </w:p>
    <w:p>
      <w:pPr>
        <w:jc w:val="center"/>
        <w:rPr>
          <w:szCs w:val="24"/>
        </w:rPr>
      </w:pPr>
      <w:r>
        <w:rPr>
          <w:szCs w:val="24"/>
        </w:rPr>
        <w:t>2019</w:t>
      </w:r>
      <w:r>
        <w:rPr>
          <w:rFonts w:hint="eastAsia"/>
          <w:szCs w:val="24"/>
        </w:rPr>
        <w:t>年</w:t>
      </w:r>
      <w:r>
        <w:rPr>
          <w:szCs w:val="24"/>
        </w:rPr>
        <w:t>12</w:t>
      </w:r>
      <w:r>
        <w:rPr>
          <w:rFonts w:hint="eastAsia"/>
          <w:szCs w:val="24"/>
        </w:rPr>
        <w:t>月</w:t>
      </w:r>
      <w:r>
        <w:rPr>
          <w:szCs w:val="24"/>
        </w:rPr>
        <w:t>31</w:t>
      </w:r>
      <w:r>
        <w:rPr>
          <w:rFonts w:hint="eastAsia"/>
          <w:szCs w:val="24"/>
        </w:rPr>
        <w:t>日</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2967"/>
        <w:gridCol w:w="3300"/>
        <w:gridCol w:w="3301"/>
      </w:tblGrid>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项目</w:t>
            </w:r>
          </w:p>
        </w:tc>
        <w:tc>
          <w:tcPr>
            <w:tcW w:w="330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2019年12月31日</w:t>
            </w: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2018年12月31日</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流动资产：</w:t>
            </w:r>
          </w:p>
        </w:tc>
        <w:tc>
          <w:tcPr>
            <w:tcW w:w="330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货币资金</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436,585,439.19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417,288,640.73</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结算备付金</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拆出资金</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交易性金融资产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以公允价值计量且其变动计入当期损益的金融资产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衍生金融资产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应收票据</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2,407,764.60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应收账款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1,076,672,780.13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1,305,469,274.95</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应收款项融资</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17,370,342.71</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预付款项</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66,991,974.33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102,451,879.49</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应收保费</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应收分保账款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应收分保合同准备金</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其他应收款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105,609,025.49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150,595,595.76</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其中：应收利息</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应收股利</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9,802,979.34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买入返售金融资产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存货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409,521,107.83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388,413,307.90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合同资产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持有待售资产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一年内到期的非流动资产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其他流动资产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18,711,903.37</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13,543,618.66</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流动资产合计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2,131,462,573.05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2,380,170,082.09</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非流动资产：</w:t>
            </w:r>
          </w:p>
        </w:tc>
        <w:tc>
          <w:tcPr>
            <w:tcW w:w="330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发放贷款和垫款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债权投资</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可供出售金融资产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30,600,000.00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其他债权投资</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持有至到期投资</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长期应收款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长期股权投资</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304,157,908.35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247,456,230.38</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其他权益工具投资</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30,006,000.00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其他非流动金融资产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投资性房地产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固定资产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489,931,010.87</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414,937,464.27</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在建工程</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416,280,843.65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307,014,414.17</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生产性生物资产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油气资产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使用权资产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无形资产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171,641,587.06</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190,550,968.56</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开发支出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商誉</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16,369,548.84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836,469,565.74</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长期待摊费用</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91,466,365.69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80,446,373.13</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递延所得税资产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50,946,721.51</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31,744,055.02</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其他非流动资产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38,597,442.23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77,660,304.16</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非流动资产合计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1,609,397,428.20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2,216,879,375.43</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资产总计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3,740,860,001.25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4,597,049,457.52</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流动负债：</w:t>
            </w:r>
          </w:p>
        </w:tc>
        <w:tc>
          <w:tcPr>
            <w:tcW w:w="330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短期借款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1,207,438,720.83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1,130,490,000.00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向中央银行借款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拆入资金</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交易性金融负债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以公允价值计量且其变动计入当期损益的金融负债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衍生金融负债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应付票据</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55,090,000.00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应付账款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281,940,002.24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176,508,332.56</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预收款项</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51,216,784.35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37,540,679.10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合同负债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卖出回购金融资产款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吸收存款及同业存放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代理买卖证券款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代理承销证券款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应付职工薪酬</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101,829,622.39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74,955,903.64</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应交税费</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45,121,699.12</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101,575,463.25</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其他应付款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319,411,811.44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259,892,109.90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其中：应付利息</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1,842,654.03</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应付股利</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应付手续费及佣金</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应付分保账款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持有待售负债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一年内到期的非流动负债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52,430,206.25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323,014,975.58</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其他流动负债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流动负债合计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2,059,388,846.62</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2,159,067,464.03</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非流动负债：</w:t>
            </w:r>
          </w:p>
        </w:tc>
        <w:tc>
          <w:tcPr>
            <w:tcW w:w="330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保险合同准备金</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长期借款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243,010,000.00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120,000,000.00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应付债券</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其中：优先股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永续债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租赁负债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长期应付款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长期应付职工薪酬</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预计负债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递延收益</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13,640,155.15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21,741,300.89</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递延所得税负债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36,494,820.77</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26,371,854.69</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其他非流动负债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非流动负债合计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293,144,975.92</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168,113,155.58</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负债合计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2,352,533,822.54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2,327,180,619.61</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所有者权益：</w:t>
            </w:r>
          </w:p>
        </w:tc>
        <w:tc>
          <w:tcPr>
            <w:tcW w:w="330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股本</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345,302,620.00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346,397,300.00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其他权益工具</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其中：优先股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永续债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资本公积</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595,289,666.68</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572,135,742.13</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减：库存股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30,859,416.00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85,572,413.00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其他综合收益</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734,602.89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193,149.62</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专项储备</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盈余公积</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121,181,021.44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119,009,437.30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一般风险准备</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未分配利润</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305,597,444.78</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918,195,494.69</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归属于母公司所有者权益合计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1,337,245,939.79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1,870,358,710.74</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少数股东权益</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51,080,238.92</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399,510,127.17</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所有者权益合计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1,388,326,178.71</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2,269,868,837.91</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负债和所有者权益总计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3,740,860,001.25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4,597,049,457.52</w:t>
            </w:r>
          </w:p>
        </w:tc>
      </w:tr>
    </w:tbl>
    <w:p>
      <w:pPr>
        <w:spacing w:before="300"/>
        <w:rPr>
          <w:szCs w:val="24"/>
        </w:rPr>
      </w:pPr>
      <w:r>
        <w:rPr>
          <w:rFonts w:hint="eastAsia"/>
          <w:szCs w:val="24"/>
        </w:rPr>
        <w:t>法定代表人：邹炳德</w:t>
      </w:r>
      <w:r>
        <w:rPr>
          <w:szCs w:val="24"/>
        </w:rPr>
        <w:t xml:space="preserve">                      </w:t>
      </w:r>
      <w:r>
        <w:rPr>
          <w:rFonts w:hint="eastAsia"/>
          <w:szCs w:val="24"/>
        </w:rPr>
        <w:t>主管会计工作负责人：袁超</w:t>
      </w:r>
      <w:r>
        <w:rPr>
          <w:szCs w:val="24"/>
        </w:rPr>
        <w:t xml:space="preserve">                      </w:t>
      </w:r>
      <w:r>
        <w:rPr>
          <w:rFonts w:hint="eastAsia"/>
          <w:szCs w:val="24"/>
        </w:rPr>
        <w:t>会计机构负责人：胡浩</w:t>
      </w:r>
    </w:p>
    <w:p>
      <w:pPr>
        <w:pStyle w:val="14"/>
        <w:outlineLvl w:val="2"/>
        <w:rPr>
          <w:bCs w:val="0"/>
          <w:szCs w:val="24"/>
        </w:rPr>
      </w:pPr>
      <w:r>
        <w:rPr>
          <w:bCs w:val="0"/>
          <w:szCs w:val="24"/>
        </w:rPr>
        <w:t>2</w:t>
      </w:r>
      <w:r>
        <w:rPr>
          <w:rFonts w:hint="eastAsia"/>
          <w:bCs w:val="0"/>
          <w:szCs w:val="24"/>
        </w:rPr>
        <w:t>、母公司资产负债表</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2967"/>
        <w:gridCol w:w="3300"/>
        <w:gridCol w:w="3301"/>
      </w:tblGrid>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项目</w:t>
            </w:r>
          </w:p>
        </w:tc>
        <w:tc>
          <w:tcPr>
            <w:tcW w:w="330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2019年12月31日</w:t>
            </w: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2018年12月31日</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流动资产：</w:t>
            </w:r>
          </w:p>
        </w:tc>
        <w:tc>
          <w:tcPr>
            <w:tcW w:w="330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货币资金</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276,277,614.82</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253,573,190.96</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交易性金融资产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以公允价值计量且其变动计入当期损益的金融资产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衍生金融资产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应收票据</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1,502,764.60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应收账款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446,292,345.05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529,578,756.65</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应收款项融资</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12,361,510.71</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预付款项</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19,252,195.14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71,263,606.04</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其他应收款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413,709,857.84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372,090,632.22</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其中：应收利息</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应收股利</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9,802,979.34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存货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124,164,172.46</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109,712,818.41</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合同资产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持有待售资产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一年内到期的非流动资产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其他流动资产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5,015,392.63</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流动资产合计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1,292,057,696.02</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1,342,737,161.51</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非流动资产：</w:t>
            </w:r>
          </w:p>
        </w:tc>
        <w:tc>
          <w:tcPr>
            <w:tcW w:w="330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债权投资</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可供出售金融资产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其他债权投资</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持有至到期投资</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长期应收款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长期股权投资</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1,274,082,650.69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1,695,358,086.03</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其他权益工具投资</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6,000.00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其他非流动金融资产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投资性房地产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固定资产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372,264,339.13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319,911,673.53</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在建工程</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413,662,182.93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299,641,019.60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生产性生物资产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油气资产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使用权资产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无形资产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108,861,334.61</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80,147,588.67</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开发支出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商誉</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长期待摊费用</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43,992,795.23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35,366,509.81</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递延所得税资产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20,619,802.54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12,567,904.91</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其他非流动资产</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32,544,771.80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40,762,139.22</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非流动资产合计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2,266,033,876.93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2,483,754,921.77</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资产总计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3,558,091,572.95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3,826,492,083.28</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流动负债：</w:t>
            </w:r>
          </w:p>
        </w:tc>
        <w:tc>
          <w:tcPr>
            <w:tcW w:w="330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短期借款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1,202,438,720.83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1,098,000,000.00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交易性金融负债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以公允价值计量且其变动计入当期损益的金融负债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衍生金融负债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应付票据</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应付账款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201,173,155.07</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105,565,614.66</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预收款项</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27,052,550.79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19,455,609.38</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合同负债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应付职工薪酬</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65,228,353.80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45,228,728.62</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应交税费</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20,848,531.45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47,038,452.16</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其他应付款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341,831,543.30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279,300,900.03</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其中：应付利息</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应付股利</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持有待售负债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一年内到期的非流动负债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52,430,206.25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139,382,263.19</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其他流动负债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流动负债合计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1,911,003,061.49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1,753,971,568.04</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非流动负债：</w:t>
            </w:r>
          </w:p>
        </w:tc>
        <w:tc>
          <w:tcPr>
            <w:tcW w:w="330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长期借款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243,010,000.00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120,000,000.00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应付债券</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其中：优先股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永续债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租赁负债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长期应付款</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长期应付职工薪酬</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预计负债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递延收益</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5,683,873.90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8,106,144.64</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递延所得税负债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34,859,066.62</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23,043,676.93</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其他非流动负债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非流动负债合计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283,552,940.52</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151,149,821.57</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负债合计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2,194,556,002.01</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1,905,121,389.61</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所有者权益：</w:t>
            </w:r>
          </w:p>
        </w:tc>
        <w:tc>
          <w:tcPr>
            <w:tcW w:w="330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股本</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345,302,620.00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346,397,300.00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其他权益工具</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其中：优先股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永续债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资本公积</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592,941,211.48</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608,813,786.51</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减：库存股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30,859,416.00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85,572,413.00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其他综合收益</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专项储备</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盈余公积</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120,166,454.01</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117,994,869.87</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未分配利润</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335,984,701.45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933,737,150.29</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所有者权益合计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1,363,535,570.94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1,921,370,693.67</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负债和所有者权益总计</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3,558,091,572.95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3,826,492,083.28</w:t>
            </w:r>
          </w:p>
        </w:tc>
      </w:tr>
    </w:tbl>
    <w:p>
      <w:pPr>
        <w:jc w:val="left"/>
        <w:rPr>
          <w:szCs w:val="24"/>
        </w:rPr>
      </w:pPr>
    </w:p>
    <w:p>
      <w:pPr>
        <w:pStyle w:val="14"/>
        <w:outlineLvl w:val="2"/>
        <w:rPr>
          <w:bCs w:val="0"/>
          <w:szCs w:val="24"/>
        </w:rPr>
      </w:pPr>
      <w:r>
        <w:rPr>
          <w:bCs w:val="0"/>
          <w:szCs w:val="24"/>
        </w:rPr>
        <w:t>3</w:t>
      </w:r>
      <w:r>
        <w:rPr>
          <w:rFonts w:hint="eastAsia"/>
          <w:bCs w:val="0"/>
          <w:szCs w:val="24"/>
        </w:rPr>
        <w:t>、合并利润表</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3080"/>
        <w:gridCol w:w="3210"/>
        <w:gridCol w:w="3277"/>
      </w:tblGrid>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项目</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2019年度</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2018年度</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一、营业总收入</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3,133,447,697.27</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3,135,122,919.82</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其中：营业收入</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3,133,447,697.27</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3,135,122,919.82</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利息收入</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已赚保费</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手续费及佣金收入</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二、营业总成本</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2,861,228,034.65</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2,790,840,746.41</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其中：营业成本</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2,055,878,787.38</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2,039,765,449.71</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利息支出</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手续费及佣金支出</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退保金</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赔付支出净额</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提取保险责任合同准备金净额</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保单红利支出</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分保费用</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税金及附加</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14,381,222.26</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17,564,865.58</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销售费用</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364,526,005.91</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315,854,011.55</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管理费用</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218,893,732.94</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225,317,687.53</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研发费用</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128,260,150.80</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109,640,346.03</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财务费用</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79,288,135.36</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82,698,386.01</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其中：利息费用</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81,401,606.23</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84,176,816.76</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利息收入</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1,903,911.74</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2,022,025.61</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加：其他收益</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25,520,754.92</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27,647,136.37</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投资收益（损失以“－”号填列）</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31,216,244.69</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10,476,205.89</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其中：对联营企业和合营企业的投资收益</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15,554,108.81</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2,441,102.84</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以摊余成本计量的金融资产终止确认收益</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汇兑收益（损失以“-”号填列）</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净敞口套期收益（损失以“－”号填列）</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公允价值变动收益（损失以“－”号填列）</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信用减值损失（损失以“-”号填列）</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-69,121,685.59</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资产减值损失（损失以“-”号填列）</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-782,979,398.78</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-41,907,549.75</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资产处置收益（损失以“-”号填列）</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-2,284,784.78</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1,213,933.82</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三、营业利润（亏损以“－”号填列）</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-525,429,206.92</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341,711,899.74</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加：营业外收入</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2,317,399.68</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226,988.10</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减：营业外支出</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1,962,861.62</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1,531,129.31</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四、利润总额（亏损总额以“－”号填列）</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-525,074,668.86</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340,407,758.53</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减：所得税费用</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51,552,049.56</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91,727,701.35</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五、净利润（净亏损以“－”号填列）</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-576,626,718.42</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248,680,057.18</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（一）按经营持续性分类</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1.持续经营净利润（净亏损以“－”号填列）</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-576,626,718.42</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248,680,057.18</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2.终止经营净利润（净亏损以“－”号填列）</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（二）按所有权归属分类</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1.归属于母公司所有者的净利润</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-559,912,183.23</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241,172,082.63</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2.少数股东损益</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-16,714,535.19</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7,507,974.55</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六、其他综合收益的税后净额</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1,522,332.91</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5,190,601.36</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归属母公司所有者的其他综合收益的税后净额</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241,453.27</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-186,286.33</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（一）不能重分类进损益的其他综合收益</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-300,000.00</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1.重新计量设定受益计划变动额</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2.权益法下不能转损益的其他综合收益</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3.其他权益工具投资公允价值变动</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-300,000.00</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4.企业自身信用风险公允价值变动</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5.其他</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（二）将重分类进损益的其他综合收益</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541,453.27</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-186,286.33</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1.权益法下可转损益的其他综合收益</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2.其他债权投资公允价值变动</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3.可供出售金融资产公允价值变动损益</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4.金融资产重分类计入其他综合收益的金额</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5.持有至到期投资重分类为可供出售金融资产损益</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6.其他债权投资信用减值准备</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7.现金流量套期储备</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8.外币财务报表折算差额</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541,453.27</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-186,286.33</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9.其他</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归属于少数股东的其他综合收益的税后净额</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1,280,879.64</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5,376,887.69</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七、综合收益总额</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-575,104,385.51</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253,870,658.54</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归属于母公司所有者的综合收益总额</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-559,670,729.96</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240,985,796.30</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归属于少数股东的综合收益总额</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-15,433,655.55</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12,884,862.24</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八、每股收益：</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（一）基本每股收益</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-1.63</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0.71</w:t>
            </w:r>
          </w:p>
        </w:tc>
      </w:tr>
      <w:tr>
        <w:tblPrEx>
          <w:tblCellMar>
            <w:top w:w="0" w:type="dxa"/>
            <w:left w:w="28" w:type="dxa"/>
            <w:bottom w:w="0" w:type="dxa"/>
            <w:right w:w="28" w:type="dxa"/>
          </w:tblCellMar>
        </w:tblPrEx>
        <w:tc>
          <w:tcPr>
            <w:tcW w:w="30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　　（二）稀释每股收益</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-1.63</w:t>
            </w:r>
          </w:p>
        </w:tc>
        <w:tc>
          <w:tcPr>
            <w:tcW w:w="327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Cs w:val="24"/>
              </w:rPr>
            </w:pPr>
            <w:r>
              <w:rPr>
                <w:szCs w:val="24"/>
              </w:rPr>
              <w:t>0.70</w:t>
            </w:r>
          </w:p>
        </w:tc>
      </w:tr>
    </w:tbl>
    <w:p>
      <w:pPr>
        <w:jc w:val="left"/>
        <w:rPr>
          <w:szCs w:val="24"/>
        </w:rPr>
      </w:pPr>
      <w:r>
        <w:rPr>
          <w:rFonts w:hint="eastAsia"/>
          <w:szCs w:val="24"/>
        </w:rPr>
        <w:t>本期发生同一控制下企业合并的，被合并方在合并前实现的净利润为：</w:t>
      </w:r>
      <w:r>
        <w:rPr>
          <w:szCs w:val="24"/>
        </w:rPr>
        <w:t>0.00</w:t>
      </w:r>
      <w:r>
        <w:rPr>
          <w:rFonts w:hint="eastAsia"/>
          <w:szCs w:val="24"/>
        </w:rPr>
        <w:t>元，上期被合并方实现的净利润为：</w:t>
      </w:r>
      <w:r>
        <w:rPr>
          <w:szCs w:val="24"/>
        </w:rPr>
        <w:t>0.00</w:t>
      </w:r>
      <w:r>
        <w:rPr>
          <w:rFonts w:hint="eastAsia"/>
          <w:szCs w:val="24"/>
        </w:rPr>
        <w:t>元。</w:t>
      </w:r>
    </w:p>
    <w:p>
      <w:pPr>
        <w:spacing w:before="300"/>
        <w:rPr>
          <w:szCs w:val="24"/>
        </w:rPr>
      </w:pPr>
      <w:r>
        <w:rPr>
          <w:rFonts w:hint="eastAsia"/>
          <w:szCs w:val="24"/>
        </w:rPr>
        <w:t>法定代表人：邹炳德</w:t>
      </w:r>
      <w:r>
        <w:rPr>
          <w:szCs w:val="24"/>
        </w:rPr>
        <w:t xml:space="preserve">                      </w:t>
      </w:r>
      <w:r>
        <w:rPr>
          <w:rFonts w:hint="eastAsia"/>
          <w:szCs w:val="24"/>
        </w:rPr>
        <w:t>主管会计工作负责人：袁超</w:t>
      </w:r>
      <w:r>
        <w:rPr>
          <w:szCs w:val="24"/>
        </w:rPr>
        <w:t xml:space="preserve">                      </w:t>
      </w:r>
      <w:r>
        <w:rPr>
          <w:rFonts w:hint="eastAsia"/>
          <w:szCs w:val="24"/>
        </w:rPr>
        <w:t>会计机构负责人：胡浩</w:t>
      </w:r>
    </w:p>
    <w:p>
      <w:pPr>
        <w:pStyle w:val="14"/>
        <w:outlineLvl w:val="2"/>
        <w:rPr>
          <w:bCs w:val="0"/>
          <w:szCs w:val="24"/>
        </w:rPr>
      </w:pPr>
      <w:r>
        <w:rPr>
          <w:bCs w:val="0"/>
          <w:szCs w:val="24"/>
        </w:rPr>
        <w:t>4</w:t>
      </w:r>
      <w:r>
        <w:rPr>
          <w:rFonts w:hint="eastAsia"/>
          <w:bCs w:val="0"/>
          <w:szCs w:val="24"/>
        </w:rPr>
        <w:t>、母公司利润表</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2967"/>
        <w:gridCol w:w="3300"/>
        <w:gridCol w:w="3301"/>
      </w:tblGrid>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项目</w:t>
            </w:r>
          </w:p>
        </w:tc>
        <w:tc>
          <w:tcPr>
            <w:tcW w:w="330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2019年度</w:t>
            </w: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2018年度</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一、营业收入</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1,240,946,372.04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1,349,087,950.97</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减：营业成本</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623,566,043.73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727,795,766.77</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税金及附加</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7,348,431.51</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8,800,461.21</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销售费用</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166,309,792.26</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168,302,354.01</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管理费用</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99,622,268.44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101,248,069.80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研发费用</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86,989,478.59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57,779,449.36</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财务费用</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61,088,070.24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52,433,064.36</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其中：利息费用</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72,565,940.42</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61,193,506.45</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利息收入</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11,036,334.92</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8,721,631.12</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加：其他收益</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6,696,385.27</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16,778,215.56</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投资收益（损失以“－”号填列）</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39,629,057.96</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26,092,626.68</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其中：对联营企业和合营企业的投资收益</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24,171,914.22</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20,356,998.42</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以摊余成本计量的金融资产终止确认收益（损失以“-”号填列）</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净敞口套期收益（损失以“－”号填列）</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公允价值变动收益（损失以“－”号填列）</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信用减值损失（损失以“-”号填列）</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-61,006,180.63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资产减值损失（损失以“-”号填列）</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-736,382,861.08</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-21,224,530.34</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资产处置收益（损失以“-”号填列）</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848,601.52</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二、营业利润（亏损以“－”号填列）</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-554,192,709.69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254,375,097.36</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加：营业外收入</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891,444.28</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8,881.28</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减：营业外支出</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625,994.48</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1,290,385.20</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三、利润总额（亏损总额以“－”号填列）</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-553,927,259.89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253,093,593.44</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减：所得税费用</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13,155,163.67</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38,916,960.58</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四、净利润（净亏损以“－”号填列）</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-567,082,423.56</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214,176,632.86</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（一）持续经营净利润（净亏损以“－”号填列）</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-567,082,423.56</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214,176,632.86</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（二）终止经营净利润（净亏损以“－”号填列）</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五、其他综合收益的税后净额</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（一）不能重分类进损益的其他综合收益</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1.重新计量设定受益计划变动额</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2.权益法下不能转损益的其他综合收益</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3.其他权益工具投资公允价值变动</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4.企业自身信用风险公允价值变动</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5.其他</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（二）将重分类进损益的其他综合收益</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1.权益法下可转损益的其他综合收益</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2.其他债权投资公允价值变动</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3.可供出售金融资产公允价值变动损益</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4.金融资产重分类计入其他综合收益的金额</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5.持有至到期投资重分类为可供出售金融资产损益</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6.其他债权投资信用减值准备</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7.现金流量套期储备</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8.外币财务报表折算差额</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9.其他</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六、综合收益总额</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-567,082,423.56</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214,176,632.86</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七、每股收益：</w:t>
            </w:r>
          </w:p>
        </w:tc>
        <w:tc>
          <w:tcPr>
            <w:tcW w:w="330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（一）基本每股收益</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0.63</w:t>
            </w:r>
          </w:p>
        </w:tc>
      </w:tr>
      <w:tr>
        <w:tblPrEx>
          <w:tblCellMar>
            <w:top w:w="0" w:type="dxa"/>
            <w:left w:w="28" w:type="dxa"/>
            <w:bottom w:w="0" w:type="dxa"/>
            <w:right w:w="28" w:type="dxa"/>
          </w:tblCellMar>
        </w:tblPrEx>
        <w:tc>
          <w:tcPr>
            <w:tcW w:w="29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（二）稀释每股收益</w:t>
            </w:r>
          </w:p>
        </w:tc>
        <w:tc>
          <w:tcPr>
            <w:tcW w:w="3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0.62</w:t>
            </w:r>
          </w:p>
        </w:tc>
      </w:tr>
    </w:tbl>
    <w:p>
      <w:pPr>
        <w:jc w:val="right"/>
        <w:rPr>
          <w:szCs w:val="24"/>
        </w:rPr>
      </w:pPr>
    </w:p>
    <w:p>
      <w:pPr>
        <w:pStyle w:val="14"/>
        <w:outlineLvl w:val="2"/>
        <w:rPr>
          <w:bCs w:val="0"/>
          <w:szCs w:val="24"/>
        </w:rPr>
      </w:pPr>
      <w:r>
        <w:rPr>
          <w:bCs w:val="0"/>
          <w:szCs w:val="24"/>
        </w:rPr>
        <w:t>5</w:t>
      </w:r>
      <w:r>
        <w:rPr>
          <w:rFonts w:hint="eastAsia"/>
          <w:bCs w:val="0"/>
          <w:szCs w:val="24"/>
        </w:rPr>
        <w:t>、合并现金流量表</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2966"/>
        <w:gridCol w:w="3301"/>
        <w:gridCol w:w="3301"/>
      </w:tblGrid>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项目</w:t>
            </w: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2019年度</w:t>
            </w: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2018年度</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一、经营活动产生的现金流量：</w:t>
            </w: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销售商品、提供劳务收到的现金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3,513,212,482.78</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3,250,237,662.57</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客户存款和同业存放款项净增加额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向中央银行借款净增加额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向其他金融机构拆入资金净增加额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收到原保险合同保费取得的现金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收到再保业务现金净额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保户储金及投资款净增加额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收取利息、手续费及佣金的现金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拆入资金净增加额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回购业务资金净增加额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代理买卖证券收到的现金净额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收到的税费返还</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10,526,447.83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3,208,988.92</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收到其他与经营活动有关的现金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60,691,402.96</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45,136,913.99</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经营活动现金流入小计</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3,584,430,333.57</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3,298,583,565.48</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购买商品、接受劳务支付的现金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1,997,166,619.25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1,934,410,460.52</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客户贷款及垫款净增加额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存放中央银行和同业款项净增加额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支付原保险合同赔付款项的现金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拆出资金净增加额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支付利息、手续费及佣金的现金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支付保单红利的现金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支付给职工以及为职工支付的现金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356,142,127.70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340,702,600.61</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支付的各项税费</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236,456,865.12</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221,316,819.10</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支付其他与经营活动有关的现金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393,494,000.67</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383,350,453.53</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经营活动现金流出小计</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2,983,259,612.74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2,879,780,333.76</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经营活动产生的现金流量净额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601,170,720.83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418,803,231.72</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二、投资活动产生的现金流量：</w:t>
            </w: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收回投资收到的现金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161,000,000.00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1,007,641,763.00</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取得投资收益收到的现金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24,859,467.95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7,656,110.57</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处置固定资产、无形资产和其他长期资产收回的现金净额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11,121,103.03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11,105,315.04</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处置子公司及其他营业单位收到的现金净额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17,018,377.06</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6,250,000.00</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收到其他与投资活动有关的现金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43,898,465.00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29,552,271.06</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投资活动现金流入小计</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257,897,413.04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1,062,205,459.67</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购建固定资产、无形资产和其他长期资产支付的现金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363,203,049.03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446,217,543.99</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投资支付的现金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164,600,000.00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843,310,900.00</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质押贷款净增加额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取得子公司及其他营业单位支付的现金净额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178,635,600.00</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支付其他与投资活动有关的现金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18,646,336.50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45,180,366.21</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投资活动现金流出小计</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546,449,385.53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1,513,344,410.20</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投资活动产生的现金流量净额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-288,551,972.49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-451,138,950.53</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三、筹资活动产生的现金流量：</w:t>
            </w: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吸收投资收到的现金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5,689,118.01</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1,313,637.00</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其中：子公司吸收少数股东投资收到的现金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5,689,118.01</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1,313,637.00</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取得借款收到的现金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2,083,000,000.00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1,656,490,000.00</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收到其他与筹资活动有关的现金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40,243,538.45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772,916,399.93</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筹资活动现金流入小计</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2,128,932,656.46</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2,430,720,036.93</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偿还债务支付的现金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1,869,880,000.00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1,388,800,000.00</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分配股利、利润或偿付利息支付的现金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128,628,768.04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116,398,013.62</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其中：子公司支付给少数股东的股利、利润</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支付其他与筹资活动有关的现金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421,178,356.01</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858,853,491.54</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筹资活动现金流出小计</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2,419,687,124.05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2,364,051,505.16</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筹资活动产生的现金流量净额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-290,754,467.59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66,668,531.77</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四、汇率变动对现金及现金等价物的影响</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-798,254.49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2,341,724.34</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五、现金及现金等价物净增加额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21,066,026.26</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36,674,537.30</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加：期初现金及现金等价物余额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415,519,412.93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378,844,875.63</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六、期末现金及现金等价物余额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436,585,439.19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415,519,412.93</w:t>
            </w:r>
          </w:p>
        </w:tc>
      </w:tr>
    </w:tbl>
    <w:p>
      <w:pPr>
        <w:pStyle w:val="14"/>
        <w:outlineLvl w:val="2"/>
        <w:rPr>
          <w:bCs w:val="0"/>
          <w:szCs w:val="24"/>
        </w:rPr>
      </w:pPr>
      <w:r>
        <w:rPr>
          <w:bCs w:val="0"/>
          <w:szCs w:val="24"/>
        </w:rPr>
        <w:t>6</w:t>
      </w:r>
      <w:r>
        <w:rPr>
          <w:rFonts w:hint="eastAsia"/>
          <w:bCs w:val="0"/>
          <w:szCs w:val="24"/>
        </w:rPr>
        <w:t>、母公司现金流量表</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2966"/>
        <w:gridCol w:w="3301"/>
        <w:gridCol w:w="3301"/>
      </w:tblGrid>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项目</w:t>
            </w: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2019年度</w:t>
            </w: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2018年度</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一、经营活动产生的现金流量：</w:t>
            </w: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销售商品、提供劳务收到的现金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1,459,653,405.40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1,423,574,022.98</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收到的税费返还</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9,341,899.10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724,804.71</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收到其他与经营活动有关的现金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21,019,174.94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21,677,653.87</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经营活动现金流入小计</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1,490,014,479.44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1,445,976,481.56</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购买商品、接受劳务支付的现金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430,501,981.62</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611,772,542.19</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支付给职工以及为职工支付的现金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155,418,752.50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161,052,303.07</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支付的各项税费</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103,371,658.53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110,467,942.47</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支付其他与经营活动有关的现金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196,143,687.60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195,405,714.09</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经营活动现金流出小计</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885,436,080.25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1,078,698,501.82</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经营活动产生的现金流量净额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604,578,399.19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367,277,979.74</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二、投资活动产生的现金流量：</w:t>
            </w: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收回投资收到的现金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34,165,288.10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661,721,763.00</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取得投资收益收到的现金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24,089,913.49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5,032,547.94</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处置固定资产、无形资产和其他长期资产收回的现金净额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39,238,531.68</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5,679,189.02</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处置子公司及其他营业单位收到的现金净额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收到其他与投资活动有关的现金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1,586,441,629.03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1,843,043,408.58</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投资活动现金流入小计</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1,683,935,362.30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2,515,476,908.54</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购建固定资产、无形资产和其他长期资产支付的现金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240,972,421.33</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343,374,324.39</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投资支付的现金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239,896,185.70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1,007,260,435.00</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取得子公司及其他营业单位支付的现金净额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支付其他与投资活动有关的现金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1,999,106,965.05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1,875,175,992.26</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投资活动现金流出小计</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2,479,975,572.08</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3,225,810,751.65</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投资活动产生的现金流量净额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-796,040,209.78</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-710,333,843.11</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三、筹资活动产生的现金流量：</w:t>
            </w: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吸收投资收到的现金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取得借款收到的现金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2,072,000,000.00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1,616,000,000.00</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收到其他与筹资活动有关的现金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591,319,348.34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1,059,924,949.74</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筹资活动现金流入小计</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2,663,319,348.34</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2,675,924,949.74</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偿还债务支付的现金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1,824,000,000.00</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1,338,000,000.00</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分配股利、利润或偿付利息支付的现金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122,743,949.91</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103,887,327.47</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支付其他与筹资活动有关的现金</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501,789,936.18</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902,118,882.07</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筹资活动现金流出小计</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2,448,533,886.09</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2,344,006,209.54</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筹资活动产生的现金流量净额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214,785,462.25</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331,918,740.20</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四、汇率变动对现金及现金等价物的影响</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五、现金及现金等价物净增加额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23,323,651.66</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-11,137,123.17</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　　加：期初现金及现金等价物余额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252,953,963.16</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264,091,086.33</w:t>
            </w:r>
          </w:p>
        </w:tc>
      </w:tr>
      <w:tr>
        <w:tblPrEx>
          <w:tblCellMar>
            <w:top w:w="0" w:type="dxa"/>
            <w:left w:w="28" w:type="dxa"/>
            <w:bottom w:w="0" w:type="dxa"/>
            <w:right w:w="28" w:type="dxa"/>
          </w:tblCellMar>
        </w:tblPrEx>
        <w:tc>
          <w:tcPr>
            <w:tcW w:w="296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六、期末现金及现金等价物余额</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276,277,614.82</w:t>
            </w:r>
          </w:p>
        </w:tc>
        <w:tc>
          <w:tcPr>
            <w:tcW w:w="330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252,953,963.16</w:t>
            </w:r>
          </w:p>
        </w:tc>
      </w:tr>
    </w:tbl>
    <w:p>
      <w:pPr>
        <w:jc w:val="right"/>
        <w:rPr>
          <w:szCs w:val="24"/>
        </w:rPr>
      </w:pPr>
    </w:p>
    <w:p>
      <w:pPr>
        <w:pStyle w:val="14"/>
        <w:outlineLvl w:val="2"/>
        <w:rPr>
          <w:bCs w:val="0"/>
          <w:szCs w:val="24"/>
        </w:rPr>
      </w:pPr>
      <w:r>
        <w:rPr>
          <w:bCs w:val="0"/>
          <w:szCs w:val="24"/>
        </w:rPr>
        <w:t>7</w:t>
      </w:r>
      <w:r>
        <w:rPr>
          <w:rFonts w:hint="eastAsia"/>
          <w:bCs w:val="0"/>
          <w:szCs w:val="24"/>
        </w:rPr>
        <w:t>、合并所有者权益变动表</w:t>
      </w:r>
    </w:p>
    <w:p>
      <w:pPr>
        <w:jc w:val="left"/>
        <w:rPr>
          <w:szCs w:val="24"/>
        </w:rPr>
      </w:pPr>
      <w:r>
        <w:rPr>
          <w:rFonts w:hint="eastAsia"/>
          <w:szCs w:val="24"/>
        </w:rPr>
        <w:t>本期金额</w:t>
      </w:r>
    </w:p>
    <w:tbl>
      <w:tblPr>
        <w:tblStyle w:val="9"/>
        <w:tblW w:w="0" w:type="auto"/>
        <w:tblInd w:w="28" w:type="dxa"/>
        <w:tblLayout w:type="fixed"/>
        <w:tblCellMar>
          <w:top w:w="0" w:type="dxa"/>
          <w:left w:w="28" w:type="dxa"/>
          <w:bottom w:w="0" w:type="dxa"/>
          <w:right w:w="28" w:type="dxa"/>
        </w:tblCellMar>
      </w:tblPr>
      <w:tblGrid>
        <w:gridCol w:w="1253"/>
        <w:gridCol w:w="493"/>
        <w:gridCol w:w="466"/>
        <w:gridCol w:w="467"/>
        <w:gridCol w:w="468"/>
        <w:gridCol w:w="583"/>
        <w:gridCol w:w="584"/>
        <w:gridCol w:w="584"/>
        <w:gridCol w:w="584"/>
        <w:gridCol w:w="583"/>
        <w:gridCol w:w="584"/>
        <w:gridCol w:w="584"/>
        <w:gridCol w:w="584"/>
        <w:gridCol w:w="584"/>
        <w:gridCol w:w="584"/>
        <w:gridCol w:w="578"/>
      </w:tblGrid>
      <w:tr>
        <w:tc>
          <w:tcPr>
            <w:tcW w:w="125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项目</w:t>
            </w:r>
          </w:p>
        </w:tc>
        <w:tc>
          <w:tcPr>
            <w:tcW w:w="8310" w:type="dxa"/>
            <w:gridSpan w:val="15"/>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2019年度</w:t>
            </w:r>
          </w:p>
        </w:tc>
      </w:tr>
      <w:tr>
        <w:tblPrEx>
          <w:tblCellMar>
            <w:top w:w="0" w:type="dxa"/>
            <w:left w:w="28" w:type="dxa"/>
            <w:bottom w:w="0" w:type="dxa"/>
            <w:right w:w="28" w:type="dxa"/>
          </w:tblCellMar>
        </w:tblPrEx>
        <w:tc>
          <w:tcPr>
            <w:tcW w:w="1253"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7148" w:type="dxa"/>
            <w:gridSpan w:val="13"/>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归属于母公司所有者权益</w:t>
            </w:r>
          </w:p>
        </w:tc>
        <w:tc>
          <w:tcPr>
            <w:tcW w:w="58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少数股东权益</w:t>
            </w:r>
          </w:p>
        </w:tc>
        <w:tc>
          <w:tcPr>
            <w:tcW w:w="57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所有者权益合计</w:t>
            </w:r>
          </w:p>
        </w:tc>
      </w:tr>
      <w:tr>
        <w:tblPrEx>
          <w:tblCellMar>
            <w:top w:w="0" w:type="dxa"/>
            <w:left w:w="28" w:type="dxa"/>
            <w:bottom w:w="0" w:type="dxa"/>
            <w:right w:w="28" w:type="dxa"/>
          </w:tblCellMar>
        </w:tblPrEx>
        <w:tc>
          <w:tcPr>
            <w:tcW w:w="1253"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49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股本</w:t>
            </w:r>
          </w:p>
        </w:tc>
        <w:tc>
          <w:tcPr>
            <w:tcW w:w="1401"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其他权益工具</w:t>
            </w:r>
          </w:p>
        </w:tc>
        <w:tc>
          <w:tcPr>
            <w:tcW w:w="58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资本公积</w:t>
            </w:r>
          </w:p>
        </w:tc>
        <w:tc>
          <w:tcPr>
            <w:tcW w:w="58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减：库存股</w:t>
            </w:r>
          </w:p>
        </w:tc>
        <w:tc>
          <w:tcPr>
            <w:tcW w:w="58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其他综合收益</w:t>
            </w:r>
          </w:p>
        </w:tc>
        <w:tc>
          <w:tcPr>
            <w:tcW w:w="58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专项储备</w:t>
            </w:r>
          </w:p>
        </w:tc>
        <w:tc>
          <w:tcPr>
            <w:tcW w:w="58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盈余公积</w:t>
            </w:r>
          </w:p>
        </w:tc>
        <w:tc>
          <w:tcPr>
            <w:tcW w:w="58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一般风险准备</w:t>
            </w:r>
          </w:p>
        </w:tc>
        <w:tc>
          <w:tcPr>
            <w:tcW w:w="58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未分配利润</w:t>
            </w:r>
          </w:p>
        </w:tc>
        <w:tc>
          <w:tcPr>
            <w:tcW w:w="58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其他</w:t>
            </w:r>
          </w:p>
        </w:tc>
        <w:tc>
          <w:tcPr>
            <w:tcW w:w="58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小计</w:t>
            </w:r>
          </w:p>
        </w:tc>
        <w:tc>
          <w:tcPr>
            <w:tcW w:w="584"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578"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r>
      <w:tr>
        <w:tblPrEx>
          <w:tblCellMar>
            <w:top w:w="0" w:type="dxa"/>
            <w:left w:w="28" w:type="dxa"/>
            <w:bottom w:w="0" w:type="dxa"/>
            <w:right w:w="28" w:type="dxa"/>
          </w:tblCellMar>
        </w:tblPrEx>
        <w:tc>
          <w:tcPr>
            <w:tcW w:w="1253"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493"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46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优先股</w:t>
            </w:r>
          </w:p>
        </w:tc>
        <w:tc>
          <w:tcPr>
            <w:tcW w:w="4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永续债</w:t>
            </w:r>
          </w:p>
        </w:tc>
        <w:tc>
          <w:tcPr>
            <w:tcW w:w="4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其他</w:t>
            </w:r>
          </w:p>
        </w:tc>
        <w:tc>
          <w:tcPr>
            <w:tcW w:w="583"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584"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584"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584"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583"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584"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584"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584"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584"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584"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578"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r>
      <w:tr>
        <w:tblPrEx>
          <w:tblCellMar>
            <w:top w:w="0" w:type="dxa"/>
            <w:left w:w="28" w:type="dxa"/>
            <w:bottom w:w="0" w:type="dxa"/>
            <w:right w:w="28" w:type="dxa"/>
          </w:tblCellMar>
        </w:tblPrEx>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一、上年期末余额</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346,397,300.00</w:t>
            </w: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572,135,742.13</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85,572,413.00</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193,149.62</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119,009,437.30</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918,195,494.69</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1,870,358,710.74</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399,510,127.17</w:t>
            </w: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2,269,868,837.91</w:t>
            </w: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加：会计政策变更</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前期差错更正</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同一控制下企业合并</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其他</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二、本年期初余额</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346,397,300.00</w:t>
            </w: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572,135,742.13</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85,572,413.00</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193,149.62</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119,009,437.30</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918,195,494.69</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1,870,358,710.74</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399,510,127.17</w:t>
            </w: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2,269,868,837.91</w:t>
            </w: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三、本期增减变动金额（减少以“－”号填列）</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-1,094,680.00</w:t>
            </w: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23,153,924.55</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-54,712,997.00</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541,453.27</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2,171,584.14</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-612,598,049.91</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-533,112,770.95</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-348,429,888.25</w:t>
            </w: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-881,542,659.20</w:t>
            </w: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（一）综合收益总额</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241,453.27</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-559,912,183.23</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-559,670,729.96</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-15,433,655.55</w:t>
            </w: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-575,104,385.51</w:t>
            </w: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（二）所有者投入和减少资本</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-1,094,680.00</w:t>
            </w: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-20,199,788.68</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-54,712,997.00</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33,418,528.32</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-12,535,546.90</w:t>
            </w: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20,882,981.42</w:t>
            </w: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1．所有者投入的普通股</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-1,094,680.00</w:t>
            </w: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-15,648,577.89</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-54,712,997.00</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37,969,739.11</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5,680,000.00</w:t>
            </w: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43,649,739.11</w:t>
            </w: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2．其他权益工具持有者投入资本</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3．股份支付计入所有者权益的金额</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-1,822,067.29</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-1,822,067.29</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-7,308.38</w:t>
            </w: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-1,829,375.67</w:t>
            </w: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4．其他</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-2,729,143.50</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-2,729,143.50</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-18,208,238.52</w:t>
            </w: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-20,937,382.02</w:t>
            </w: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（三）利润分配</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2,171,584.14</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-52,385,866.68</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-50,214,282.54</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-42,630,000.00</w:t>
            </w: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-92,844,282.54</w:t>
            </w: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1．提取盈余公积</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2,171,584.14</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-2,171,584.14</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2．提取一般风险准备</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3．对所有者（或股东）的分配</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-50,214,282.54</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-50,214,282.54</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-42,630,000.00</w:t>
            </w: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-92,844,282.54</w:t>
            </w: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4．其他</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（四）所有者权益内部结转</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300,000.00</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-300,000.00</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1．资本公积转增资本（或股本）</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2．盈余公积转增资本（或股本）</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3．盈余公积弥补亏损</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4．设定受益计划变动额结转留存收益</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5．其他综合收益结转留存收益</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300,000.00</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-300,000.00</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6．其他</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（五）专项储备</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1．本期提取</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2．本期使用</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（六）其他</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43,353,713.23</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43,353,713.23</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-277,830,685.80</w:t>
            </w:r>
          </w:p>
        </w:tc>
        <w:tc>
          <w:tcPr>
            <w:tcW w:w="57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-234,476,972.57</w:t>
            </w:r>
          </w:p>
        </w:tc>
      </w:tr>
      <w:tr>
        <w:tc>
          <w:tcPr>
            <w:tcW w:w="12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四、本期期末余额</w:t>
            </w:r>
          </w:p>
        </w:tc>
        <w:tc>
          <w:tcPr>
            <w:tcW w:w="4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345,302,620.00</w:t>
            </w:r>
          </w:p>
        </w:tc>
        <w:tc>
          <w:tcPr>
            <w:tcW w:w="4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595,289,666.68</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30,859,416.00</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734,602.89</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121,181,021.44</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305,597,444.78</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1,337,245,939.79</w:t>
            </w:r>
          </w:p>
        </w:tc>
        <w:tc>
          <w:tcPr>
            <w:tcW w:w="5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51,080,238.92</w:t>
            </w:r>
          </w:p>
        </w:tc>
        <w:tc>
          <w:tcPr>
            <w:tcW w:w="578" w:type="dxa"/>
            <w:tcBorders>
              <w:top w:val="single" w:color="auto" w:sz="4" w:space="0"/>
              <w:left w:val="single" w:color="auto" w:sz="4" w:space="0"/>
              <w:bottom w:val="single" w:color="auto" w:sz="4" w:space="0"/>
              <w:right w:val="single" w:color="auto" w:sz="4" w:space="0"/>
            </w:tcBorders>
            <w:vAlign w:val="center"/>
          </w:tcPr>
          <w:p>
            <w:pPr>
              <w:jc w:val="right"/>
            </w:pPr>
            <w:r>
              <w:t>1,388,326,178.71</w:t>
            </w:r>
          </w:p>
        </w:tc>
      </w:tr>
    </w:tbl>
    <w:p>
      <w:pPr>
        <w:jc w:val="right"/>
        <w:rPr>
          <w:szCs w:val="24"/>
        </w:rPr>
      </w:pPr>
      <w:r>
        <w:rPr>
          <w:rFonts w:hint="eastAsia"/>
          <w:szCs w:val="24"/>
        </w:rPr>
        <w:t>单位：元</w:t>
      </w:r>
    </w:p>
    <w:p>
      <w:pPr>
        <w:jc w:val="left"/>
        <w:rPr>
          <w:szCs w:val="24"/>
        </w:rPr>
      </w:pPr>
    </w:p>
    <w:p>
      <w:pPr>
        <w:jc w:val="left"/>
        <w:rPr>
          <w:szCs w:val="24"/>
        </w:rPr>
      </w:pPr>
      <w:r>
        <w:rPr>
          <w:rFonts w:hint="eastAsia"/>
          <w:szCs w:val="24"/>
        </w:rPr>
        <w:t>上期金额</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1212"/>
        <w:gridCol w:w="490"/>
        <w:gridCol w:w="449"/>
        <w:gridCol w:w="449"/>
        <w:gridCol w:w="491"/>
        <w:gridCol w:w="576"/>
        <w:gridCol w:w="577"/>
        <w:gridCol w:w="577"/>
        <w:gridCol w:w="577"/>
        <w:gridCol w:w="576"/>
        <w:gridCol w:w="577"/>
        <w:gridCol w:w="589"/>
        <w:gridCol w:w="567"/>
        <w:gridCol w:w="567"/>
        <w:gridCol w:w="643"/>
        <w:gridCol w:w="651"/>
      </w:tblGrid>
      <w:tr>
        <w:tblPrEx>
          <w:tblCellMar>
            <w:top w:w="0" w:type="dxa"/>
            <w:left w:w="28" w:type="dxa"/>
            <w:bottom w:w="0" w:type="dxa"/>
            <w:right w:w="28" w:type="dxa"/>
          </w:tblCellMar>
        </w:tblPrEx>
        <w:tc>
          <w:tcPr>
            <w:tcW w:w="121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8356" w:type="dxa"/>
            <w:gridSpan w:val="15"/>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2018</w:t>
            </w:r>
            <w:r>
              <w:rPr>
                <w:rFonts w:hint="eastAsia"/>
                <w:szCs w:val="24"/>
              </w:rPr>
              <w:t>年年度</w:t>
            </w:r>
          </w:p>
        </w:tc>
      </w:tr>
      <w:tr>
        <w:tblPrEx>
          <w:tblCellMar>
            <w:top w:w="0" w:type="dxa"/>
            <w:left w:w="28" w:type="dxa"/>
            <w:bottom w:w="0" w:type="dxa"/>
            <w:right w:w="28" w:type="dxa"/>
          </w:tblCellMar>
        </w:tblPrEx>
        <w:tc>
          <w:tcPr>
            <w:tcW w:w="121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062" w:type="dxa"/>
            <w:gridSpan w:val="1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归属于母公司所有者权益</w:t>
            </w:r>
          </w:p>
        </w:tc>
        <w:tc>
          <w:tcPr>
            <w:tcW w:w="64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少数股东权益</w:t>
            </w:r>
          </w:p>
        </w:tc>
        <w:tc>
          <w:tcPr>
            <w:tcW w:w="651"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所有者权益合计</w:t>
            </w:r>
          </w:p>
        </w:tc>
      </w:tr>
      <w:tr>
        <w:tblPrEx>
          <w:tblCellMar>
            <w:top w:w="0" w:type="dxa"/>
            <w:left w:w="28" w:type="dxa"/>
            <w:bottom w:w="0" w:type="dxa"/>
            <w:right w:w="28" w:type="dxa"/>
          </w:tblCellMar>
        </w:tblPrEx>
        <w:tc>
          <w:tcPr>
            <w:tcW w:w="121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490"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股本</w:t>
            </w:r>
          </w:p>
        </w:tc>
        <w:tc>
          <w:tcPr>
            <w:tcW w:w="1389"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其他权益工具</w:t>
            </w:r>
          </w:p>
        </w:tc>
        <w:tc>
          <w:tcPr>
            <w:tcW w:w="57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资本公积</w:t>
            </w:r>
          </w:p>
        </w:tc>
        <w:tc>
          <w:tcPr>
            <w:tcW w:w="57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减：库存股</w:t>
            </w:r>
          </w:p>
        </w:tc>
        <w:tc>
          <w:tcPr>
            <w:tcW w:w="57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其他综合收益</w:t>
            </w:r>
          </w:p>
        </w:tc>
        <w:tc>
          <w:tcPr>
            <w:tcW w:w="57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专项储备</w:t>
            </w:r>
          </w:p>
        </w:tc>
        <w:tc>
          <w:tcPr>
            <w:tcW w:w="57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盈余公积</w:t>
            </w:r>
          </w:p>
        </w:tc>
        <w:tc>
          <w:tcPr>
            <w:tcW w:w="57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一般风险准备</w:t>
            </w:r>
          </w:p>
        </w:tc>
        <w:tc>
          <w:tcPr>
            <w:tcW w:w="589"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未分配利润</w:t>
            </w:r>
          </w:p>
        </w:tc>
        <w:tc>
          <w:tcPr>
            <w:tcW w:w="5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5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小计</w:t>
            </w:r>
          </w:p>
        </w:tc>
        <w:tc>
          <w:tcPr>
            <w:tcW w:w="64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651"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21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490"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优先股</w:t>
            </w:r>
          </w:p>
        </w:tc>
        <w:tc>
          <w:tcPr>
            <w:tcW w:w="44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永续债</w:t>
            </w:r>
          </w:p>
        </w:tc>
        <w:tc>
          <w:tcPr>
            <w:tcW w:w="4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57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57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57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57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57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57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589"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64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651"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一、上年期末余额</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346,960,900.00</w:t>
            </w: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598,950,623.95</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93,014,399.00</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379,435.95</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97,591,774.01</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712,910,541.45</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1,663,778,876.36</w:t>
            </w: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139,581,990.31</w:t>
            </w: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1,803,360,866.67</w:t>
            </w: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加：会计政策变更</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前期差错更正</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同一控制下企业合并</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200,000,000.00</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228,887,592.29</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228,887,592.29</w:t>
            </w: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254,540,823.66</w:t>
            </w: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483,428,415.95</w:t>
            </w: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二、本年期初余额</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346,960,900.00</w:t>
            </w: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798,950,623.95</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93,014,399.00</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379,435.95</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97,591,774.01</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741,798,133.74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1,892,666,468.65</w:t>
            </w: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394,122,813.97</w:t>
            </w: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2,286,789,282.62</w:t>
            </w: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三、本期增减变动金额（减少以</w:t>
            </w:r>
            <w:r>
              <w:rPr>
                <w:szCs w:val="24"/>
              </w:rPr>
              <w:t>“</w:t>
            </w:r>
            <w:r>
              <w:rPr>
                <w:rFonts w:hint="eastAsia"/>
                <w:szCs w:val="24"/>
              </w:rPr>
              <w:t>－</w:t>
            </w:r>
            <w:r>
              <w:rPr>
                <w:szCs w:val="24"/>
              </w:rPr>
              <w:t>”</w:t>
            </w:r>
            <w:r>
              <w:rPr>
                <w:rFonts w:hint="eastAsia"/>
                <w:szCs w:val="24"/>
              </w:rPr>
              <w:t>号填列）</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-563,600.00</w:t>
            </w: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-226,814,881.82</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-7,441,986.00</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-186,286.33</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21,417,663.29</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176,397,360.95</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-22,307,757.91</w:t>
            </w: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5,387,313.20</w:t>
            </w: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-16,920,444.71</w:t>
            </w: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（一）综合收益总额</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-186,286.33</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241,172,082.63</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240,985,796.30</w:t>
            </w: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12,884,862.24</w:t>
            </w: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253,870,658.54</w:t>
            </w: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（二）所有者投入和减少资本</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-563,600.00</w:t>
            </w: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-1,964,814.29</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-7,441,986.00</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4,913,571.71</w:t>
            </w: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1,355,625.09</w:t>
            </w: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6,269,196.80</w:t>
            </w: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．所有者投入的普通股</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-563,600.00</w:t>
            </w: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-6,878,386.00</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-7,441,986.00</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1,313,637.00</w:t>
            </w: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1,313,637.00</w:t>
            </w: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．其他权益工具持有者投入资本</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r>
              <w:rPr>
                <w:rFonts w:hint="eastAsia"/>
                <w:szCs w:val="24"/>
              </w:rPr>
              <w:t>．股份支付计入所有者权益的金额</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4,913,571.71</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4,913,571.71</w:t>
            </w: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41,988.09</w:t>
            </w: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4,955,559.80</w:t>
            </w: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4</w:t>
            </w:r>
            <w:r>
              <w:rPr>
                <w:rFonts w:hint="eastAsia"/>
                <w:szCs w:val="24"/>
              </w:rPr>
              <w:t>．其他</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（三）利润分配</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21,417,663.29</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-64,774,721.68</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-43,357,058.39</w:t>
            </w: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-43,357,058.39</w:t>
            </w: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．提取盈余公积</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21,417,663.29</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-21,417,663.29</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．提取一般风险准备</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r>
              <w:rPr>
                <w:rFonts w:hint="eastAsia"/>
                <w:szCs w:val="24"/>
              </w:rPr>
              <w:t>．对所有者（或股东）的分配</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-43,357,058.39</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-43,357,058.39</w:t>
            </w: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-43,357,058.39</w:t>
            </w: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4</w:t>
            </w:r>
            <w:r>
              <w:rPr>
                <w:rFonts w:hint="eastAsia"/>
                <w:szCs w:val="24"/>
              </w:rPr>
              <w:t>．其他</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（四）所有者权益内部结转</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．资本公积转增资本（或股本）</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．盈余公积转增资本（或股本）</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r>
              <w:rPr>
                <w:rFonts w:hint="eastAsia"/>
                <w:szCs w:val="24"/>
              </w:rPr>
              <w:t>．盈余公积弥补亏损</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4</w:t>
            </w:r>
            <w:r>
              <w:rPr>
                <w:rFonts w:hint="eastAsia"/>
                <w:szCs w:val="24"/>
              </w:rPr>
              <w:t>．设定受益计划变动额结转留存收益</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5</w:t>
            </w:r>
            <w:r>
              <w:rPr>
                <w:rFonts w:hint="eastAsia"/>
                <w:szCs w:val="24"/>
              </w:rPr>
              <w:t>．其他综合收益结转留存收益</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6</w:t>
            </w:r>
            <w:r>
              <w:rPr>
                <w:rFonts w:hint="eastAsia"/>
                <w:szCs w:val="24"/>
              </w:rPr>
              <w:t>．其他</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（五）专项储备</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．本期提取</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．本期使用</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（六）其他</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-224,850,067.53</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-224,850,067.53</w:t>
            </w: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-8,853,174.13</w:t>
            </w: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-233,703,241.66</w:t>
            </w:r>
          </w:p>
        </w:tc>
      </w:tr>
      <w:tr>
        <w:tblPrEx>
          <w:tblCellMar>
            <w:top w:w="0" w:type="dxa"/>
            <w:left w:w="28" w:type="dxa"/>
            <w:bottom w:w="0" w:type="dxa"/>
            <w:right w:w="28" w:type="dxa"/>
          </w:tblCellMar>
        </w:tblPrEx>
        <w:tc>
          <w:tcPr>
            <w:tcW w:w="12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四、本期期末余额</w:t>
            </w:r>
          </w:p>
        </w:tc>
        <w:tc>
          <w:tcPr>
            <w:tcW w:w="4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346,397,300.00</w:t>
            </w: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4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572,135,742.13</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85,572,413.00</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193,149.62</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119,009,437.30</w:t>
            </w:r>
          </w:p>
        </w:tc>
        <w:tc>
          <w:tcPr>
            <w:tcW w:w="57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918,195,494.69</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1,870,358,710.74</w:t>
            </w:r>
          </w:p>
        </w:tc>
        <w:tc>
          <w:tcPr>
            <w:tcW w:w="64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399,510,127.17</w:t>
            </w: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2,269,868,837.91</w:t>
            </w:r>
          </w:p>
        </w:tc>
      </w:tr>
    </w:tbl>
    <w:p>
      <w:pPr>
        <w:pStyle w:val="14"/>
        <w:outlineLvl w:val="2"/>
        <w:rPr>
          <w:bCs w:val="0"/>
          <w:szCs w:val="24"/>
        </w:rPr>
      </w:pPr>
      <w:r>
        <w:rPr>
          <w:bCs w:val="0"/>
          <w:szCs w:val="24"/>
        </w:rPr>
        <w:t>8</w:t>
      </w:r>
      <w:r>
        <w:rPr>
          <w:rFonts w:hint="eastAsia"/>
          <w:bCs w:val="0"/>
          <w:szCs w:val="24"/>
        </w:rPr>
        <w:t>、母公司所有者权益变动表</w:t>
      </w:r>
    </w:p>
    <w:p>
      <w:pPr>
        <w:jc w:val="left"/>
        <w:rPr>
          <w:szCs w:val="24"/>
        </w:rPr>
      </w:pPr>
      <w:r>
        <w:rPr>
          <w:rFonts w:hint="eastAsia"/>
          <w:szCs w:val="24"/>
        </w:rPr>
        <w:t>本期金额</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1306"/>
        <w:gridCol w:w="628"/>
        <w:gridCol w:w="604"/>
        <w:gridCol w:w="604"/>
        <w:gridCol w:w="605"/>
        <w:gridCol w:w="726"/>
        <w:gridCol w:w="727"/>
        <w:gridCol w:w="726"/>
        <w:gridCol w:w="727"/>
        <w:gridCol w:w="726"/>
        <w:gridCol w:w="615"/>
        <w:gridCol w:w="710"/>
        <w:gridCol w:w="863"/>
      </w:tblGrid>
      <w:tr>
        <w:tblPrEx>
          <w:tblCellMar>
            <w:top w:w="0" w:type="dxa"/>
            <w:left w:w="28" w:type="dxa"/>
            <w:bottom w:w="0" w:type="dxa"/>
            <w:right w:w="28" w:type="dxa"/>
          </w:tblCellMar>
        </w:tblPrEx>
        <w:tc>
          <w:tcPr>
            <w:tcW w:w="130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8261" w:type="dxa"/>
            <w:gridSpan w:val="1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2019</w:t>
            </w:r>
            <w:r>
              <w:rPr>
                <w:rFonts w:hint="eastAsia"/>
                <w:szCs w:val="24"/>
              </w:rPr>
              <w:t>年度</w:t>
            </w:r>
          </w:p>
        </w:tc>
      </w:tr>
      <w:tr>
        <w:tblPrEx>
          <w:tblCellMar>
            <w:top w:w="0" w:type="dxa"/>
            <w:left w:w="28" w:type="dxa"/>
            <w:bottom w:w="0" w:type="dxa"/>
            <w:right w:w="28" w:type="dxa"/>
          </w:tblCellMar>
        </w:tblPrEx>
        <w:tc>
          <w:tcPr>
            <w:tcW w:w="130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62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股本</w:t>
            </w:r>
          </w:p>
        </w:tc>
        <w:tc>
          <w:tcPr>
            <w:tcW w:w="1813"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其他权益工具</w:t>
            </w:r>
          </w:p>
        </w:tc>
        <w:tc>
          <w:tcPr>
            <w:tcW w:w="72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资本公积</w:t>
            </w:r>
          </w:p>
        </w:tc>
        <w:tc>
          <w:tcPr>
            <w:tcW w:w="72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减：库存股</w:t>
            </w:r>
          </w:p>
        </w:tc>
        <w:tc>
          <w:tcPr>
            <w:tcW w:w="72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其他综合收益</w:t>
            </w:r>
          </w:p>
        </w:tc>
        <w:tc>
          <w:tcPr>
            <w:tcW w:w="72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专项储备</w:t>
            </w:r>
          </w:p>
        </w:tc>
        <w:tc>
          <w:tcPr>
            <w:tcW w:w="72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盈余公积</w:t>
            </w:r>
          </w:p>
        </w:tc>
        <w:tc>
          <w:tcPr>
            <w:tcW w:w="615"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未分配利润</w:t>
            </w:r>
          </w:p>
        </w:tc>
        <w:tc>
          <w:tcPr>
            <w:tcW w:w="710"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86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所有者权益合计</w:t>
            </w:r>
          </w:p>
        </w:tc>
      </w:tr>
      <w:tr>
        <w:tblPrEx>
          <w:tblCellMar>
            <w:top w:w="0" w:type="dxa"/>
            <w:left w:w="28" w:type="dxa"/>
            <w:bottom w:w="0" w:type="dxa"/>
            <w:right w:w="28" w:type="dxa"/>
          </w:tblCellMar>
        </w:tblPrEx>
        <w:tc>
          <w:tcPr>
            <w:tcW w:w="130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62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优先股</w:t>
            </w:r>
          </w:p>
        </w:tc>
        <w:tc>
          <w:tcPr>
            <w:tcW w:w="60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永续债</w:t>
            </w:r>
          </w:p>
        </w:tc>
        <w:tc>
          <w:tcPr>
            <w:tcW w:w="60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72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2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2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2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2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61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一、上年期末余额</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346,397,300.00</w:t>
            </w: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608,813,786.51</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85,572,413.00</w:t>
            </w: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117,994,869.87</w:t>
            </w: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933,737,150.29</w:t>
            </w: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1,921,370,693.67</w:t>
            </w: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加：会计政策变更</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前期差错更正</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二、本年期初余额</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346,397,300.00</w:t>
            </w: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608,813,786.51</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85,572,413.00</w:t>
            </w: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117,994,869.87</w:t>
            </w: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933,737,150.29</w:t>
            </w: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1,921,370,693.67</w:t>
            </w: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三、本期增减变动金额（减少以</w:t>
            </w:r>
            <w:r>
              <w:rPr>
                <w:szCs w:val="24"/>
              </w:rPr>
              <w:t>“</w:t>
            </w:r>
            <w:r>
              <w:rPr>
                <w:rFonts w:hint="eastAsia"/>
                <w:szCs w:val="24"/>
              </w:rPr>
              <w:t>－</w:t>
            </w:r>
            <w:r>
              <w:rPr>
                <w:szCs w:val="24"/>
              </w:rPr>
              <w:t>”</w:t>
            </w:r>
            <w:r>
              <w:rPr>
                <w:rFonts w:hint="eastAsia"/>
                <w:szCs w:val="24"/>
              </w:rPr>
              <w:t>号填列）</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-1,094,680.00</w:t>
            </w: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-15,872,575.03</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-54,712,997.00</w:t>
            </w: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2,171,584.14</w:t>
            </w: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-597,752,448.84</w:t>
            </w: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-557,835,122.73</w:t>
            </w: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（一）综合收益总额</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-567,082,423.56</w:t>
            </w: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-567,082,423.56</w:t>
            </w: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（二）所有者投入和减少资本</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-1,094,680.00</w:t>
            </w: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-17,477,953.56</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-54,712,997.00</w:t>
            </w: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36,140,363.44</w:t>
            </w: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．所有者投入的普通股</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-1,094,680.00</w:t>
            </w: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-15,648,577.89</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-54,712,997.00</w:t>
            </w: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37,969,739.11</w:t>
            </w: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．其他权益工具持有者投入资本</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r>
              <w:rPr>
                <w:rFonts w:hint="eastAsia"/>
                <w:szCs w:val="24"/>
              </w:rPr>
              <w:t>．股份支付计入所有者权益的金额</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-1,829,375.67</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-1,829,375.67</w:t>
            </w: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4</w:t>
            </w:r>
            <w:r>
              <w:rPr>
                <w:rFonts w:hint="eastAsia"/>
                <w:szCs w:val="24"/>
              </w:rPr>
              <w:t>．其他</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（三）利润分配</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2,171,584.14</w:t>
            </w: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-52,385,866.68</w:t>
            </w: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-50,214,282.54</w:t>
            </w: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．提取盈余公积</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2,171,584.14</w:t>
            </w: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-2,171,584.14</w:t>
            </w: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．对所有者（或股东）的分配</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-50,214,282.54</w:t>
            </w: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-50,214,282.54</w:t>
            </w: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r>
              <w:rPr>
                <w:rFonts w:hint="eastAsia"/>
                <w:szCs w:val="24"/>
              </w:rPr>
              <w:t>．其他</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（四）所有者权益内部结转</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．资本公积转增资本（或股本）</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．盈余公积转增资本（或股本）</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r>
              <w:rPr>
                <w:rFonts w:hint="eastAsia"/>
                <w:szCs w:val="24"/>
              </w:rPr>
              <w:t>．盈余公积弥补亏损</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4</w:t>
            </w:r>
            <w:r>
              <w:rPr>
                <w:rFonts w:hint="eastAsia"/>
                <w:szCs w:val="24"/>
              </w:rPr>
              <w:t>．设定受益计划变动额结转留存收益</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5</w:t>
            </w:r>
            <w:r>
              <w:rPr>
                <w:rFonts w:hint="eastAsia"/>
                <w:szCs w:val="24"/>
              </w:rPr>
              <w:t>．其他综合收益结转留存收益</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6</w:t>
            </w:r>
            <w:r>
              <w:rPr>
                <w:rFonts w:hint="eastAsia"/>
                <w:szCs w:val="24"/>
              </w:rPr>
              <w:t>．其他</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（五）专项储备</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．本期提取</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．本期使用</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（六）其他</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1,605,378.53</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21,715,841.40</w:t>
            </w: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23,321,219.93</w:t>
            </w:r>
          </w:p>
        </w:tc>
      </w:tr>
      <w:tr>
        <w:tblPrEx>
          <w:tblCellMar>
            <w:top w:w="0" w:type="dxa"/>
            <w:left w:w="28" w:type="dxa"/>
            <w:bottom w:w="0" w:type="dxa"/>
            <w:right w:w="28" w:type="dxa"/>
          </w:tblCellMar>
        </w:tblPrEx>
        <w:tc>
          <w:tcPr>
            <w:tcW w:w="13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四、本期期末余额</w:t>
            </w:r>
          </w:p>
        </w:tc>
        <w:tc>
          <w:tcPr>
            <w:tcW w:w="62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345,302,620.00</w:t>
            </w: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0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592,941,211.48</w:t>
            </w: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30,859,416.00</w:t>
            </w: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120,166,454.01</w:t>
            </w: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335,984,701.45</w:t>
            </w:r>
          </w:p>
        </w:tc>
        <w:tc>
          <w:tcPr>
            <w:tcW w:w="7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1,363,535,570.94</w:t>
            </w:r>
          </w:p>
        </w:tc>
      </w:tr>
    </w:tbl>
    <w:p>
      <w:pPr>
        <w:jc w:val="left"/>
        <w:rPr>
          <w:szCs w:val="24"/>
        </w:rPr>
      </w:pPr>
      <w:r>
        <w:rPr>
          <w:rFonts w:hint="eastAsia"/>
          <w:szCs w:val="24"/>
        </w:rPr>
        <w:t>上期金额</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1231"/>
        <w:gridCol w:w="594"/>
        <w:gridCol w:w="572"/>
        <w:gridCol w:w="572"/>
        <w:gridCol w:w="572"/>
        <w:gridCol w:w="685"/>
        <w:gridCol w:w="686"/>
        <w:gridCol w:w="685"/>
        <w:gridCol w:w="781"/>
        <w:gridCol w:w="665"/>
        <w:gridCol w:w="798"/>
        <w:gridCol w:w="797"/>
        <w:gridCol w:w="930"/>
      </w:tblGrid>
      <w:tr>
        <w:tblPrEx>
          <w:tblCellMar>
            <w:top w:w="0" w:type="dxa"/>
            <w:left w:w="28" w:type="dxa"/>
            <w:bottom w:w="0" w:type="dxa"/>
            <w:right w:w="28" w:type="dxa"/>
          </w:tblCellMar>
        </w:tblPrEx>
        <w:tc>
          <w:tcPr>
            <w:tcW w:w="1231"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8337" w:type="dxa"/>
            <w:gridSpan w:val="1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2018</w:t>
            </w:r>
            <w:r>
              <w:rPr>
                <w:rFonts w:hint="eastAsia"/>
                <w:szCs w:val="24"/>
              </w:rPr>
              <w:t>年年度</w:t>
            </w:r>
          </w:p>
        </w:tc>
      </w:tr>
      <w:tr>
        <w:tblPrEx>
          <w:tblCellMar>
            <w:top w:w="0" w:type="dxa"/>
            <w:left w:w="28" w:type="dxa"/>
            <w:bottom w:w="0" w:type="dxa"/>
            <w:right w:w="28" w:type="dxa"/>
          </w:tblCellMar>
        </w:tblPrEx>
        <w:tc>
          <w:tcPr>
            <w:tcW w:w="1231"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59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股本</w:t>
            </w:r>
          </w:p>
        </w:tc>
        <w:tc>
          <w:tcPr>
            <w:tcW w:w="1716"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其他权益工具</w:t>
            </w:r>
          </w:p>
        </w:tc>
        <w:tc>
          <w:tcPr>
            <w:tcW w:w="685"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资本公积</w:t>
            </w:r>
          </w:p>
        </w:tc>
        <w:tc>
          <w:tcPr>
            <w:tcW w:w="68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减：库存股</w:t>
            </w:r>
          </w:p>
        </w:tc>
        <w:tc>
          <w:tcPr>
            <w:tcW w:w="685"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其他综合收益</w:t>
            </w:r>
          </w:p>
        </w:tc>
        <w:tc>
          <w:tcPr>
            <w:tcW w:w="781"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专项储备</w:t>
            </w:r>
          </w:p>
        </w:tc>
        <w:tc>
          <w:tcPr>
            <w:tcW w:w="665"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盈余公积</w:t>
            </w:r>
          </w:p>
        </w:tc>
        <w:tc>
          <w:tcPr>
            <w:tcW w:w="79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未分配利润</w:t>
            </w:r>
          </w:p>
        </w:tc>
        <w:tc>
          <w:tcPr>
            <w:tcW w:w="79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930"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所有者权益合计</w:t>
            </w:r>
          </w:p>
        </w:tc>
      </w:tr>
      <w:tr>
        <w:tblPrEx>
          <w:tblCellMar>
            <w:top w:w="0" w:type="dxa"/>
            <w:left w:w="28" w:type="dxa"/>
            <w:bottom w:w="0" w:type="dxa"/>
            <w:right w:w="28" w:type="dxa"/>
          </w:tblCellMar>
        </w:tblPrEx>
        <w:tc>
          <w:tcPr>
            <w:tcW w:w="1231"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594"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优先股</w:t>
            </w:r>
          </w:p>
        </w:tc>
        <w:tc>
          <w:tcPr>
            <w:tcW w:w="57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永续债</w:t>
            </w:r>
          </w:p>
        </w:tc>
        <w:tc>
          <w:tcPr>
            <w:tcW w:w="57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68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68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66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9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9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一、上年期末余额</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346,960,900.00</w:t>
            </w: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579,016,325.15</w:t>
            </w: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93,014,399.00</w:t>
            </w: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96,577,206.58</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784,335,239.11</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1,713,875,271.84</w:t>
            </w: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加：会计政策变更</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前期差错更正</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二、本年期初余额</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346,960,900.00</w:t>
            </w: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579,016,325.15</w:t>
            </w: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93,014,399.00</w:t>
            </w: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96,577,206.58</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784,335,239.11</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1,713,875,271.84</w:t>
            </w: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三、本期增减变动金额（减少以</w:t>
            </w:r>
            <w:r>
              <w:rPr>
                <w:szCs w:val="24"/>
              </w:rPr>
              <w:t>“</w:t>
            </w:r>
            <w:r>
              <w:rPr>
                <w:rFonts w:hint="eastAsia"/>
                <w:szCs w:val="24"/>
              </w:rPr>
              <w:t>－</w:t>
            </w:r>
            <w:r>
              <w:rPr>
                <w:szCs w:val="24"/>
              </w:rPr>
              <w:t>”</w:t>
            </w:r>
            <w:r>
              <w:rPr>
                <w:rFonts w:hint="eastAsia"/>
                <w:szCs w:val="24"/>
              </w:rPr>
              <w:t>号填列）</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-563,600.00</w:t>
            </w: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29,797,461.36</w:t>
            </w: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-7,441,986.00</w:t>
            </w: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21,417,663.29</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149,401,911.18</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207,495,421.83</w:t>
            </w: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（一）综合收益总额</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214,176,632.86</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214,176,632.86</w:t>
            </w: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（二）所有者投入和减少资本</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-563,600.00</w:t>
            </w: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-1,755,874.77</w:t>
            </w: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-7,441,986.00</w:t>
            </w: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5,122,511.23</w:t>
            </w: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．所有者投入的普通股</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-563,600.00</w:t>
            </w: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-6,878,386.00</w:t>
            </w: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-7,441,986.00</w:t>
            </w: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．其他权益工具持有者投入资本</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r>
              <w:rPr>
                <w:rFonts w:hint="eastAsia"/>
                <w:szCs w:val="24"/>
              </w:rPr>
              <w:t>．股份支付计入所有者权益的金额</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5,122,511.23</w:t>
            </w: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5,122,511.23</w:t>
            </w: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4</w:t>
            </w:r>
            <w:r>
              <w:rPr>
                <w:rFonts w:hint="eastAsia"/>
                <w:szCs w:val="24"/>
              </w:rPr>
              <w:t>．其他</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（三）利润分配</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21,417,663.29</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-64,774,721.68</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-43,357,058.39</w:t>
            </w: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．提取盈余公积</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21,417,663.29</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-21,417,663.29</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．对所有者（或股东）的分配</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-43,357,058.39</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-43,357,058.39</w:t>
            </w: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r>
              <w:rPr>
                <w:rFonts w:hint="eastAsia"/>
                <w:szCs w:val="24"/>
              </w:rPr>
              <w:t>．其他</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（四）所有者权益内部结转</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．资本公积转增资本（或股本）</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．盈余公积转增资本（或股本）</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r>
              <w:rPr>
                <w:rFonts w:hint="eastAsia"/>
                <w:szCs w:val="24"/>
              </w:rPr>
              <w:t>．盈余公积弥补亏损</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4</w:t>
            </w:r>
            <w:r>
              <w:rPr>
                <w:rFonts w:hint="eastAsia"/>
                <w:szCs w:val="24"/>
              </w:rPr>
              <w:t>．设定受益计划变动额结转留存收益</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5</w:t>
            </w:r>
            <w:r>
              <w:rPr>
                <w:rFonts w:hint="eastAsia"/>
                <w:szCs w:val="24"/>
              </w:rPr>
              <w:t>．其他综合收益结转留存收益</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6</w:t>
            </w:r>
            <w:r>
              <w:rPr>
                <w:rFonts w:hint="eastAsia"/>
                <w:szCs w:val="24"/>
              </w:rPr>
              <w:t>．其他</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（五）专项储备</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．本期提取</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．本期使用</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（六）其他</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31,553,336.13</w:t>
            </w: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31,553,336.13</w:t>
            </w:r>
          </w:p>
        </w:tc>
      </w:tr>
      <w:tr>
        <w:tblPrEx>
          <w:tblCellMar>
            <w:top w:w="0" w:type="dxa"/>
            <w:left w:w="28" w:type="dxa"/>
            <w:bottom w:w="0" w:type="dxa"/>
            <w:right w:w="28" w:type="dxa"/>
          </w:tblCellMar>
        </w:tblPrEx>
        <w:tc>
          <w:tcPr>
            <w:tcW w:w="123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四、本期期末余额</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346,397,300.00</w:t>
            </w: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57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608,813,786.51</w:t>
            </w: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85,572,413.00</w:t>
            </w: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117,994,869.87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933,737,150.29</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1,921,370,693.67</w:t>
            </w:r>
          </w:p>
        </w:tc>
      </w:tr>
    </w:tbl>
    <w:p>
      <w:pPr>
        <w:pStyle w:val="13"/>
        <w:outlineLvl w:val="1"/>
        <w:rPr>
          <w:bCs w:val="0"/>
        </w:rPr>
      </w:pPr>
      <w:r>
        <w:rPr>
          <w:rFonts w:hint="eastAsia"/>
          <w:bCs w:val="0"/>
        </w:rPr>
        <w:t>三、公司基本情况</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美康生物科技股份有限公司（以下简称</w:t>
      </w:r>
      <w:r>
        <w:rPr>
          <w:rFonts w:eastAsia="Times New Roman"/>
          <w:kern w:val="0"/>
          <w:lang w:val="zh-CN"/>
        </w:rPr>
        <w:t>“</w:t>
      </w:r>
      <w:r>
        <w:rPr>
          <w:rFonts w:hint="eastAsia" w:ascii="宋体" w:hAnsi="宋体" w:cs="宋体"/>
          <w:kern w:val="0"/>
          <w:lang w:val="zh-CN"/>
        </w:rPr>
        <w:t>公司</w:t>
      </w:r>
      <w:r>
        <w:rPr>
          <w:rFonts w:eastAsia="Times New Roman"/>
          <w:kern w:val="0"/>
          <w:lang w:val="zh-CN"/>
        </w:rPr>
        <w:t>”</w:t>
      </w:r>
      <w:r>
        <w:rPr>
          <w:rFonts w:hint="eastAsia" w:ascii="宋体" w:hAnsi="宋体" w:cs="宋体"/>
          <w:kern w:val="0"/>
          <w:lang w:val="zh-CN"/>
        </w:rPr>
        <w:t>或</w:t>
      </w:r>
      <w:r>
        <w:rPr>
          <w:rFonts w:eastAsia="Times New Roman"/>
          <w:kern w:val="0"/>
          <w:lang w:val="zh-CN"/>
        </w:rPr>
        <w:t>“</w:t>
      </w:r>
      <w:r>
        <w:rPr>
          <w:rFonts w:hint="eastAsia" w:ascii="宋体" w:hAnsi="宋体" w:cs="宋体"/>
          <w:kern w:val="0"/>
          <w:lang w:val="zh-CN"/>
        </w:rPr>
        <w:t>本公司</w:t>
      </w:r>
      <w:r>
        <w:rPr>
          <w:rFonts w:eastAsia="Times New Roman"/>
          <w:kern w:val="0"/>
          <w:lang w:val="zh-CN"/>
        </w:rPr>
        <w:t>”</w:t>
      </w:r>
      <w:r>
        <w:rPr>
          <w:rFonts w:hint="eastAsia" w:ascii="宋体" w:hAnsi="宋体" w:cs="宋体"/>
          <w:kern w:val="0"/>
          <w:lang w:val="zh-CN"/>
        </w:rPr>
        <w:t>）系在原宁波美康生物科技有限公司基础上以整体变更方式，由自然人邹炳德、邹继华、叶辉、周英章以及宁波美康盛德投资咨询有限公司、浙江优创创业投资有限公司、宁波创业加速器投资有限公司、上海展澎投资有限公司于</w:t>
      </w:r>
      <w:r>
        <w:rPr>
          <w:rFonts w:eastAsia="Times New Roman"/>
          <w:kern w:val="0"/>
          <w:lang w:val="zh-CN"/>
        </w:rPr>
        <w:t>2011</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21</w:t>
      </w:r>
      <w:r>
        <w:rPr>
          <w:rFonts w:hint="eastAsia" w:ascii="宋体" w:hAnsi="宋体" w:cs="宋体"/>
          <w:kern w:val="0"/>
          <w:lang w:val="zh-CN"/>
        </w:rPr>
        <w:t>日共同发起设立的股份有限公司。公司的统一社会信用代码为</w:t>
      </w:r>
      <w:r>
        <w:rPr>
          <w:rFonts w:eastAsia="Times New Roman"/>
          <w:kern w:val="0"/>
          <w:lang w:val="zh-CN"/>
        </w:rPr>
        <w:t>913302007503871799</w:t>
      </w:r>
      <w:r>
        <w:rPr>
          <w:rFonts w:hint="eastAsia" w:ascii="宋体" w:hAnsi="宋体" w:cs="宋体"/>
          <w:kern w:val="0"/>
          <w:lang w:val="zh-CN"/>
        </w:rPr>
        <w:t>，于</w:t>
      </w:r>
      <w:r>
        <w:rPr>
          <w:rFonts w:eastAsia="Times New Roman"/>
          <w:kern w:val="0"/>
          <w:lang w:val="zh-CN"/>
        </w:rPr>
        <w:t>2015</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月在深圳证券交易所上市，所属行业为医药制造业。</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日，公司累计发行股本总数</w:t>
      </w:r>
      <w:r>
        <w:rPr>
          <w:rFonts w:eastAsia="Times New Roman"/>
          <w:kern w:val="0"/>
          <w:lang w:val="zh-CN"/>
        </w:rPr>
        <w:t>34,530.26</w:t>
      </w:r>
      <w:r>
        <w:rPr>
          <w:rFonts w:hint="eastAsia" w:ascii="宋体" w:hAnsi="宋体" w:cs="宋体"/>
          <w:kern w:val="0"/>
          <w:lang w:val="zh-CN"/>
        </w:rPr>
        <w:t>万股，注册资本为</w:t>
      </w:r>
      <w:r>
        <w:rPr>
          <w:rFonts w:eastAsia="Times New Roman"/>
          <w:kern w:val="0"/>
          <w:lang w:val="zh-CN"/>
        </w:rPr>
        <w:t>34,530.26</w:t>
      </w:r>
      <w:r>
        <w:rPr>
          <w:rFonts w:hint="eastAsia" w:ascii="宋体" w:hAnsi="宋体" w:cs="宋体"/>
          <w:kern w:val="0"/>
          <w:lang w:val="zh-CN"/>
        </w:rPr>
        <w:t>万元，注册地及总部地址均为宁波市鄞州区启明南路</w:t>
      </w:r>
      <w:r>
        <w:rPr>
          <w:rFonts w:eastAsia="Times New Roman"/>
          <w:kern w:val="0"/>
          <w:lang w:val="zh-CN"/>
        </w:rPr>
        <w:t>299</w:t>
      </w:r>
      <w:r>
        <w:rPr>
          <w:rFonts w:hint="eastAsia" w:ascii="宋体" w:hAnsi="宋体" w:cs="宋体"/>
          <w:kern w:val="0"/>
          <w:lang w:val="zh-CN"/>
        </w:rPr>
        <w:t>号，主营业务为体外诊断产品的研发、生产和销售及提供第三方医学诊断服务。本公司无母公司，本公司的实际控制人为自然人邹炳德先生。</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本财务报表业经公司董</w:t>
      </w:r>
      <w:r>
        <w:rPr>
          <w:rFonts w:hint="eastAsia" w:ascii="宋体" w:hAnsi="宋体" w:cs="宋体"/>
          <w:kern w:val="0"/>
          <w:highlight w:val="white"/>
          <w:lang w:val="zh-CN"/>
        </w:rPr>
        <w:t>事会于</w:t>
      </w:r>
      <w:r>
        <w:rPr>
          <w:rFonts w:eastAsia="Times New Roman"/>
          <w:kern w:val="0"/>
          <w:highlight w:val="white"/>
          <w:lang w:val="zh-CN"/>
        </w:rPr>
        <w:t>2020</w:t>
      </w:r>
      <w:r>
        <w:rPr>
          <w:rFonts w:hint="eastAsia" w:ascii="宋体" w:hAnsi="宋体" w:cs="宋体"/>
          <w:kern w:val="0"/>
          <w:highlight w:val="white"/>
          <w:lang w:val="zh-CN"/>
        </w:rPr>
        <w:t>年</w:t>
      </w:r>
      <w:r>
        <w:rPr>
          <w:rFonts w:eastAsia="Times New Roman"/>
          <w:kern w:val="0"/>
          <w:highlight w:val="white"/>
          <w:lang w:val="zh-CN"/>
        </w:rPr>
        <w:t>4</w:t>
      </w:r>
      <w:r>
        <w:rPr>
          <w:rFonts w:hint="eastAsia" w:ascii="宋体" w:hAnsi="宋体" w:cs="宋体"/>
          <w:kern w:val="0"/>
          <w:highlight w:val="white"/>
          <w:lang w:val="zh-CN"/>
        </w:rPr>
        <w:t>月</w:t>
      </w:r>
      <w:r>
        <w:rPr>
          <w:rFonts w:eastAsia="Times New Roman"/>
          <w:kern w:val="0"/>
          <w:highlight w:val="white"/>
          <w:lang w:val="zh-CN"/>
        </w:rPr>
        <w:t>27</w:t>
      </w:r>
      <w:r>
        <w:rPr>
          <w:rFonts w:hint="eastAsia" w:ascii="宋体" w:hAnsi="宋体" w:cs="宋体"/>
          <w:kern w:val="0"/>
          <w:highlight w:val="white"/>
          <w:lang w:val="zh-CN"/>
        </w:rPr>
        <w:t>日批准</w:t>
      </w:r>
      <w:r>
        <w:rPr>
          <w:rFonts w:hint="eastAsia" w:ascii="宋体" w:hAnsi="宋体" w:cs="宋体"/>
          <w:kern w:val="0"/>
          <w:lang w:val="zh-CN"/>
        </w:rPr>
        <w:t>报出。</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截至</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日止，本公司合并财务报表范围内子公司如下：</w:t>
      </w:r>
    </w:p>
    <w:tbl>
      <w:tblPr>
        <w:tblStyle w:val="9"/>
        <w:tblW w:w="5000"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764"/>
        <w:gridCol w:w="4279"/>
        <w:gridCol w:w="2075"/>
        <w:gridCol w:w="1433"/>
        <w:gridCol w:w="130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blHeader/>
        </w:trPr>
        <w:tc>
          <w:tcPr>
            <w:tcW w:w="388" w:type="pct"/>
            <w:vMerge w:val="restart"/>
            <w:vAlign w:val="center"/>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序号</w:t>
            </w:r>
          </w:p>
        </w:tc>
        <w:tc>
          <w:tcPr>
            <w:tcW w:w="2171" w:type="pct"/>
            <w:vMerge w:val="restart"/>
            <w:vAlign w:val="center"/>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子公司全称</w:t>
            </w:r>
          </w:p>
        </w:tc>
        <w:tc>
          <w:tcPr>
            <w:tcW w:w="1053" w:type="pct"/>
            <w:vMerge w:val="restart"/>
            <w:vAlign w:val="center"/>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子公司简称</w:t>
            </w:r>
          </w:p>
        </w:tc>
        <w:tc>
          <w:tcPr>
            <w:tcW w:w="1388" w:type="pct"/>
            <w:gridSpan w:val="2"/>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持股比例（%）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blHeader/>
        </w:trPr>
        <w:tc>
          <w:tcPr>
            <w:tcW w:w="388" w:type="pct"/>
            <w:vMerge w:val="continue"/>
            <w:vAlign w:val="center"/>
          </w:tcPr>
          <w:p>
            <w:pPr>
              <w:spacing w:line="400" w:lineRule="exact"/>
              <w:contextualSpacing/>
            </w:pPr>
          </w:p>
        </w:tc>
        <w:tc>
          <w:tcPr>
            <w:tcW w:w="2171" w:type="pct"/>
            <w:vMerge w:val="continue"/>
            <w:vAlign w:val="center"/>
          </w:tcPr>
          <w:p>
            <w:pPr>
              <w:spacing w:line="400" w:lineRule="exact"/>
              <w:contextualSpacing/>
            </w:pPr>
          </w:p>
        </w:tc>
        <w:tc>
          <w:tcPr>
            <w:tcW w:w="1053" w:type="pct"/>
            <w:vMerge w:val="continue"/>
            <w:vAlign w:val="center"/>
          </w:tcPr>
          <w:p>
            <w:pPr>
              <w:spacing w:line="400" w:lineRule="exact"/>
              <w:contextualSpacing/>
            </w:pPr>
          </w:p>
        </w:tc>
        <w:tc>
          <w:tcPr>
            <w:tcW w:w="727"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直接</w:t>
            </w:r>
          </w:p>
        </w:tc>
        <w:tc>
          <w:tcPr>
            <w:tcW w:w="661"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间接</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1</w:t>
            </w:r>
          </w:p>
        </w:tc>
        <w:tc>
          <w:tcPr>
            <w:tcW w:w="2171" w:type="pct"/>
            <w:vAlign w:val="center"/>
          </w:tcPr>
          <w:p>
            <w:pPr>
              <w:spacing w:line="400" w:lineRule="exact"/>
              <w:contextualSpacing/>
            </w:pPr>
            <w:r>
              <w:t>宁波美康盛达生物科技有限公司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盛达生物</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2</w:t>
            </w:r>
          </w:p>
        </w:tc>
        <w:tc>
          <w:tcPr>
            <w:tcW w:w="2171" w:type="pct"/>
            <w:vAlign w:val="center"/>
          </w:tcPr>
          <w:p>
            <w:pPr>
              <w:spacing w:line="400" w:lineRule="exact"/>
              <w:contextualSpacing/>
            </w:pPr>
            <w:r>
              <w:t>宁波美康盛德生物科技有限公司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盛德生物</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3</w:t>
            </w:r>
          </w:p>
        </w:tc>
        <w:tc>
          <w:tcPr>
            <w:tcW w:w="2171" w:type="pct"/>
            <w:vAlign w:val="center"/>
          </w:tcPr>
          <w:p>
            <w:pPr>
              <w:spacing w:line="400" w:lineRule="exact"/>
              <w:contextualSpacing/>
            </w:pPr>
            <w:r>
              <w:t>宁波美康盛德医学检验所有限公司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盛德医检所</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4</w:t>
            </w:r>
          </w:p>
        </w:tc>
        <w:tc>
          <w:tcPr>
            <w:tcW w:w="2171" w:type="pct"/>
            <w:vAlign w:val="center"/>
          </w:tcPr>
          <w:p>
            <w:pPr>
              <w:spacing w:line="400" w:lineRule="exact"/>
              <w:contextualSpacing/>
            </w:pPr>
            <w:r>
              <w:t>宁波美康保生生物医学工程有限公司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保生生物</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51.00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5</w:t>
            </w:r>
          </w:p>
        </w:tc>
        <w:tc>
          <w:tcPr>
            <w:tcW w:w="2171" w:type="pct"/>
            <w:vAlign w:val="center"/>
          </w:tcPr>
          <w:p>
            <w:pPr>
              <w:spacing w:line="400" w:lineRule="exact"/>
              <w:contextualSpacing/>
            </w:pPr>
            <w:r>
              <w:t>SD Medical System,Inc</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圣地亚哥美康</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6</w:t>
            </w:r>
          </w:p>
        </w:tc>
        <w:tc>
          <w:tcPr>
            <w:tcW w:w="2171" w:type="pct"/>
            <w:vAlign w:val="center"/>
          </w:tcPr>
          <w:p>
            <w:pPr>
              <w:spacing w:line="400" w:lineRule="exact"/>
              <w:contextualSpacing/>
            </w:pPr>
            <w:r>
              <w:t>新疆伯晶伟业商贸有限公司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伯晶伟业</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51.00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7</w:t>
            </w:r>
          </w:p>
        </w:tc>
        <w:tc>
          <w:tcPr>
            <w:tcW w:w="2171" w:type="pct"/>
            <w:vAlign w:val="center"/>
          </w:tcPr>
          <w:p>
            <w:pPr>
              <w:adjustRightInd w:val="0"/>
              <w:spacing w:line="400" w:lineRule="exact"/>
              <w:contextualSpacing/>
            </w:pPr>
            <w:r>
              <w:t>宁波生园生物技术有限公司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宁波生园</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8</w:t>
            </w:r>
          </w:p>
        </w:tc>
        <w:tc>
          <w:tcPr>
            <w:tcW w:w="2171" w:type="pct"/>
            <w:vAlign w:val="center"/>
          </w:tcPr>
          <w:p>
            <w:pPr>
              <w:adjustRightInd w:val="0"/>
              <w:spacing w:line="400" w:lineRule="exact"/>
              <w:contextualSpacing/>
            </w:pPr>
            <w:r>
              <w:t>浙江涌捷医疗器械有限公司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涌捷医疗</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51.00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9</w:t>
            </w:r>
          </w:p>
        </w:tc>
        <w:tc>
          <w:tcPr>
            <w:tcW w:w="2171" w:type="pct"/>
            <w:vAlign w:val="center"/>
          </w:tcPr>
          <w:p>
            <w:pPr>
              <w:adjustRightInd w:val="0"/>
              <w:spacing w:line="400" w:lineRule="exact"/>
              <w:contextualSpacing/>
            </w:pPr>
            <w:r>
              <w:t>宁波美康基因科技有限公司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美康基因</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51.00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10</w:t>
            </w:r>
          </w:p>
        </w:tc>
        <w:tc>
          <w:tcPr>
            <w:tcW w:w="2171" w:type="pct"/>
            <w:vAlign w:val="center"/>
          </w:tcPr>
          <w:p>
            <w:pPr>
              <w:adjustRightInd w:val="0"/>
              <w:spacing w:line="400" w:lineRule="exact"/>
              <w:contextualSpacing/>
            </w:pPr>
            <w:r>
              <w:t>宁波美康盛德融资租赁有限公司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盛德租赁</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11</w:t>
            </w:r>
          </w:p>
        </w:tc>
        <w:tc>
          <w:tcPr>
            <w:tcW w:w="2171" w:type="pct"/>
            <w:vAlign w:val="center"/>
          </w:tcPr>
          <w:p>
            <w:pPr>
              <w:adjustRightInd w:val="0"/>
              <w:spacing w:line="400" w:lineRule="exact"/>
              <w:contextualSpacing/>
            </w:pPr>
            <w:r>
              <w:t>内蒙古盛德医疗器械有限公司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内蒙古盛德</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51.00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12</w:t>
            </w:r>
          </w:p>
        </w:tc>
        <w:tc>
          <w:tcPr>
            <w:tcW w:w="2171" w:type="pct"/>
            <w:vAlign w:val="center"/>
          </w:tcPr>
          <w:p>
            <w:pPr>
              <w:adjustRightInd w:val="0"/>
              <w:spacing w:line="400" w:lineRule="exact"/>
              <w:contextualSpacing/>
            </w:pPr>
            <w:r>
              <w:t>永城美康盛德医学检验所有限公司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永城</w:t>
            </w:r>
            <w:r>
              <w:rPr>
                <w:rFonts w:ascii="Times New Roman" w:hAnsi="Times New Roman"/>
                <w:color w:val="000000"/>
                <w:sz w:val="18"/>
                <w:szCs w:val="18"/>
              </w:rPr>
              <w:t>医检所</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61.00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13</w:t>
            </w:r>
          </w:p>
        </w:tc>
        <w:tc>
          <w:tcPr>
            <w:tcW w:w="2171" w:type="pct"/>
            <w:vAlign w:val="center"/>
          </w:tcPr>
          <w:p>
            <w:pPr>
              <w:spacing w:line="400" w:lineRule="exact"/>
              <w:contextualSpacing/>
              <w:rPr>
                <w:color w:val="000000"/>
              </w:rPr>
            </w:pPr>
            <w:r>
              <w:rPr>
                <w:color w:val="000000"/>
              </w:rPr>
              <w:t>郑州美康盛德医学检验所有限公司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郑州</w:t>
            </w:r>
            <w:r>
              <w:rPr>
                <w:rFonts w:ascii="Times New Roman" w:hAnsi="Times New Roman"/>
                <w:color w:val="000000"/>
                <w:sz w:val="18"/>
                <w:szCs w:val="18"/>
              </w:rPr>
              <w:t>医检所</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14</w:t>
            </w:r>
          </w:p>
        </w:tc>
        <w:tc>
          <w:tcPr>
            <w:tcW w:w="2171" w:type="pct"/>
            <w:vAlign w:val="center"/>
          </w:tcPr>
          <w:p>
            <w:pPr>
              <w:spacing w:line="400" w:lineRule="exact"/>
              <w:rPr>
                <w:color w:val="000000"/>
              </w:rPr>
            </w:pPr>
            <w:r>
              <w:rPr>
                <w:color w:val="000000"/>
              </w:rPr>
              <w:t>南昌美康盛德医学检验实验室有限公司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南昌</w:t>
            </w:r>
            <w:r>
              <w:rPr>
                <w:rFonts w:ascii="Times New Roman" w:hAnsi="Times New Roman"/>
                <w:color w:val="000000"/>
                <w:sz w:val="18"/>
                <w:szCs w:val="18"/>
              </w:rPr>
              <w:t>医检所</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15</w:t>
            </w:r>
          </w:p>
        </w:tc>
        <w:tc>
          <w:tcPr>
            <w:tcW w:w="2171" w:type="pct"/>
            <w:vAlign w:val="center"/>
          </w:tcPr>
          <w:p>
            <w:pPr>
              <w:spacing w:line="400" w:lineRule="exact"/>
              <w:contextualSpacing/>
              <w:rPr>
                <w:color w:val="000000"/>
              </w:rPr>
            </w:pPr>
            <w:r>
              <w:rPr>
                <w:color w:val="000000"/>
              </w:rPr>
              <w:t>上海京都生物工程有限公司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color w:val="000000"/>
                <w:sz w:val="18"/>
                <w:szCs w:val="18"/>
              </w:rPr>
              <w:t>上海京都</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80.00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16</w:t>
            </w:r>
          </w:p>
        </w:tc>
        <w:tc>
          <w:tcPr>
            <w:tcW w:w="2171" w:type="pct"/>
            <w:vAlign w:val="center"/>
          </w:tcPr>
          <w:p>
            <w:pPr>
              <w:spacing w:line="400" w:lineRule="exact"/>
              <w:contextualSpacing/>
              <w:rPr>
                <w:color w:val="000000"/>
              </w:rPr>
            </w:pPr>
            <w:r>
              <w:rPr>
                <w:color w:val="000000"/>
              </w:rPr>
              <w:t xml:space="preserve">京都弘益生物科技（苏州）有限公司 </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color w:val="000000"/>
                <w:sz w:val="18"/>
                <w:szCs w:val="18"/>
              </w:rPr>
              <w:t>苏州京都</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64.00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17</w:t>
            </w:r>
          </w:p>
        </w:tc>
        <w:tc>
          <w:tcPr>
            <w:tcW w:w="2171" w:type="pct"/>
            <w:vAlign w:val="center"/>
          </w:tcPr>
          <w:p>
            <w:pPr>
              <w:spacing w:line="400" w:lineRule="exact"/>
              <w:contextualSpacing/>
              <w:rPr>
                <w:color w:val="000000"/>
              </w:rPr>
            </w:pPr>
            <w:r>
              <w:rPr>
                <w:color w:val="000000"/>
              </w:rPr>
              <w:t>浙江美康达冷链物流有限公司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color w:val="000000"/>
                <w:sz w:val="18"/>
                <w:szCs w:val="18"/>
              </w:rPr>
              <w:t>美康达冷链</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18</w:t>
            </w:r>
          </w:p>
        </w:tc>
        <w:tc>
          <w:tcPr>
            <w:tcW w:w="2171" w:type="pct"/>
            <w:vAlign w:val="center"/>
          </w:tcPr>
          <w:p>
            <w:pPr>
              <w:spacing w:line="400" w:lineRule="exact"/>
              <w:contextualSpacing/>
              <w:rPr>
                <w:color w:val="000000"/>
              </w:rPr>
            </w:pPr>
            <w:r>
              <w:rPr>
                <w:color w:val="000000"/>
              </w:rPr>
              <w:t>上饶市新安略科技有限公司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color w:val="000000"/>
                <w:sz w:val="18"/>
                <w:szCs w:val="18"/>
              </w:rPr>
              <w:t>上饶新安略</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19</w:t>
            </w:r>
          </w:p>
        </w:tc>
        <w:tc>
          <w:tcPr>
            <w:tcW w:w="2171" w:type="pct"/>
            <w:vAlign w:val="center"/>
          </w:tcPr>
          <w:p>
            <w:pPr>
              <w:spacing w:line="400" w:lineRule="exact"/>
              <w:contextualSpacing/>
              <w:rPr>
                <w:color w:val="000000"/>
              </w:rPr>
            </w:pPr>
            <w:r>
              <w:rPr>
                <w:color w:val="000000"/>
              </w:rPr>
              <w:t>武汉美康盛德科技有限公司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color w:val="000000"/>
                <w:sz w:val="18"/>
                <w:szCs w:val="18"/>
              </w:rPr>
              <w:t>武汉美康</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56.00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20</w:t>
            </w:r>
          </w:p>
        </w:tc>
        <w:tc>
          <w:tcPr>
            <w:tcW w:w="2171" w:type="pct"/>
            <w:vAlign w:val="center"/>
          </w:tcPr>
          <w:p>
            <w:pPr>
              <w:spacing w:line="400" w:lineRule="exact"/>
              <w:contextualSpacing/>
              <w:rPr>
                <w:color w:val="000000"/>
              </w:rPr>
            </w:pPr>
            <w:r>
              <w:rPr>
                <w:color w:val="000000"/>
              </w:rPr>
              <w:t>杭州美康盛德医学检验实验室有限公司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color w:val="000000"/>
                <w:sz w:val="18"/>
                <w:szCs w:val="18"/>
              </w:rPr>
              <w:t>杭州医检所</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21</w:t>
            </w:r>
          </w:p>
        </w:tc>
        <w:tc>
          <w:tcPr>
            <w:tcW w:w="2171" w:type="pct"/>
            <w:vAlign w:val="center"/>
          </w:tcPr>
          <w:p>
            <w:pPr>
              <w:spacing w:line="400" w:lineRule="exact"/>
              <w:contextualSpacing/>
              <w:rPr>
                <w:color w:val="000000"/>
              </w:rPr>
            </w:pPr>
            <w:r>
              <w:rPr>
                <w:color w:val="000000"/>
              </w:rPr>
              <w:t>抚州美康盛德医学检验所有限公司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color w:val="000000"/>
                <w:sz w:val="18"/>
                <w:szCs w:val="18"/>
              </w:rPr>
              <w:t>抚州医检所</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22</w:t>
            </w:r>
          </w:p>
        </w:tc>
        <w:tc>
          <w:tcPr>
            <w:tcW w:w="2171" w:type="pct"/>
            <w:vAlign w:val="center"/>
          </w:tcPr>
          <w:p>
            <w:pPr>
              <w:spacing w:line="400" w:lineRule="exact"/>
              <w:contextualSpacing/>
              <w:rPr>
                <w:color w:val="000000"/>
              </w:rPr>
            </w:pPr>
            <w:r>
              <w:rPr>
                <w:color w:val="000000"/>
              </w:rPr>
              <w:t>美康生物（香港）有限公司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香港美康</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51.00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23</w:t>
            </w:r>
          </w:p>
        </w:tc>
        <w:tc>
          <w:tcPr>
            <w:tcW w:w="2171" w:type="pct"/>
            <w:vAlign w:val="center"/>
          </w:tcPr>
          <w:p>
            <w:pPr>
              <w:spacing w:line="400" w:lineRule="exact"/>
              <w:contextualSpacing/>
              <w:rPr>
                <w:color w:val="000000"/>
              </w:rPr>
            </w:pPr>
            <w:r>
              <w:rPr>
                <w:color w:val="000000"/>
              </w:rPr>
              <w:t>京都生命科学株式会社</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京都生命</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80.00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24</w:t>
            </w:r>
          </w:p>
        </w:tc>
        <w:tc>
          <w:tcPr>
            <w:tcW w:w="2171" w:type="pct"/>
            <w:vAlign w:val="center"/>
          </w:tcPr>
          <w:p>
            <w:pPr>
              <w:spacing w:line="400" w:lineRule="exact"/>
              <w:contextualSpacing/>
              <w:rPr>
                <w:color w:val="000000"/>
              </w:rPr>
            </w:pPr>
            <w:r>
              <w:rPr>
                <w:color w:val="000000"/>
              </w:rPr>
              <w:t>宁波康健基因检测有限公司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color w:val="000000"/>
                <w:sz w:val="18"/>
                <w:szCs w:val="18"/>
              </w:rPr>
              <w:t>康健基因</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60.00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25</w:t>
            </w:r>
          </w:p>
        </w:tc>
        <w:tc>
          <w:tcPr>
            <w:tcW w:w="2171" w:type="pct"/>
            <w:vAlign w:val="center"/>
          </w:tcPr>
          <w:p>
            <w:pPr>
              <w:spacing w:line="400" w:lineRule="exact"/>
              <w:contextualSpacing/>
              <w:rPr>
                <w:color w:val="000000"/>
              </w:rPr>
            </w:pPr>
            <w:r>
              <w:rPr>
                <w:rFonts w:hint="eastAsia"/>
                <w:color w:val="000000"/>
              </w:rPr>
              <w:t>宁波康健医学检验实验室有限公司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color w:val="000000"/>
                <w:sz w:val="18"/>
                <w:szCs w:val="18"/>
              </w:rPr>
              <w:t>康健医检所</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60.00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26</w:t>
            </w:r>
          </w:p>
        </w:tc>
        <w:tc>
          <w:tcPr>
            <w:tcW w:w="2171" w:type="pct"/>
            <w:vAlign w:val="center"/>
          </w:tcPr>
          <w:p>
            <w:pPr>
              <w:spacing w:line="400" w:lineRule="exact"/>
              <w:contextualSpacing/>
              <w:rPr>
                <w:color w:val="000000"/>
              </w:rPr>
            </w:pPr>
            <w:r>
              <w:rPr>
                <w:color w:val="000000"/>
              </w:rPr>
              <w:t>VAP DIAGNOSTICS LABORATORY INC</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ascii="Times New Roman" w:hAnsi="Times New Roman"/>
                <w:sz w:val="18"/>
                <w:szCs w:val="18"/>
              </w:rPr>
              <w:t>伯明翰美康</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51.00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27</w:t>
            </w:r>
          </w:p>
        </w:tc>
        <w:tc>
          <w:tcPr>
            <w:tcW w:w="2171" w:type="pct"/>
            <w:vAlign w:val="center"/>
          </w:tcPr>
          <w:p>
            <w:pPr>
              <w:spacing w:line="400" w:lineRule="exact"/>
              <w:contextualSpacing/>
              <w:rPr>
                <w:color w:val="000000"/>
              </w:rPr>
            </w:pPr>
            <w:r>
              <w:rPr>
                <w:rFonts w:hint="eastAsia"/>
                <w:color w:val="000000"/>
              </w:rPr>
              <w:t>衡阳美康盛德医学检验实验室有限公司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sz w:val="18"/>
                <w:szCs w:val="18"/>
              </w:rPr>
              <w:t>衡阳</w:t>
            </w:r>
            <w:r>
              <w:rPr>
                <w:rFonts w:ascii="Times New Roman" w:hAnsi="Times New Roman"/>
                <w:sz w:val="18"/>
                <w:szCs w:val="18"/>
              </w:rPr>
              <w:t>医检所</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70.80</w:t>
            </w:r>
          </w:p>
        </w:tc>
        <w:tc>
          <w:tcPr>
            <w:tcW w:w="661" w:type="pct"/>
            <w:vAlign w:val="center"/>
          </w:tcPr>
          <w:p>
            <w:pPr>
              <w:pStyle w:val="25"/>
              <w:snapToGrid/>
              <w:spacing w:line="400" w:lineRule="exact"/>
              <w:ind w:left="0" w:leftChars="0"/>
              <w:contextualSpacing/>
              <w:jc w:val="right"/>
              <w:rPr>
                <w:rFonts w:ascii="Times New Roman" w:hAnsi="Times New Roman"/>
                <w:sz w:val="18"/>
                <w:szCs w:val="18"/>
                <w:highlight w:val="yellow"/>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28</w:t>
            </w:r>
          </w:p>
        </w:tc>
        <w:tc>
          <w:tcPr>
            <w:tcW w:w="2171" w:type="pct"/>
            <w:vAlign w:val="center"/>
          </w:tcPr>
          <w:p>
            <w:pPr>
              <w:spacing w:line="400" w:lineRule="exact"/>
              <w:contextualSpacing/>
              <w:rPr>
                <w:color w:val="000000"/>
              </w:rPr>
            </w:pPr>
            <w:r>
              <w:rPr>
                <w:rFonts w:hint="eastAsia"/>
                <w:color w:val="000000"/>
              </w:rPr>
              <w:t>内蒙古美康生物医疗器械有限公司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sz w:val="18"/>
                <w:szCs w:val="18"/>
              </w:rPr>
              <w:t>内蒙古</w:t>
            </w:r>
            <w:r>
              <w:rPr>
                <w:rFonts w:ascii="Times New Roman" w:hAnsi="Times New Roman"/>
                <w:sz w:val="18"/>
                <w:szCs w:val="18"/>
              </w:rPr>
              <w:t>美康</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80.00</w:t>
            </w:r>
          </w:p>
        </w:tc>
        <w:tc>
          <w:tcPr>
            <w:tcW w:w="661" w:type="pct"/>
            <w:vAlign w:val="center"/>
          </w:tcPr>
          <w:p>
            <w:pPr>
              <w:pStyle w:val="25"/>
              <w:snapToGrid/>
              <w:spacing w:line="400" w:lineRule="exact"/>
              <w:ind w:left="0" w:leftChars="0"/>
              <w:contextualSpacing/>
              <w:jc w:val="right"/>
              <w:rPr>
                <w:rFonts w:ascii="Times New Roman" w:hAnsi="Times New Roman"/>
                <w:sz w:val="18"/>
                <w:szCs w:val="18"/>
                <w:highlight w:val="yellow"/>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29</w:t>
            </w:r>
          </w:p>
        </w:tc>
        <w:tc>
          <w:tcPr>
            <w:tcW w:w="2171" w:type="pct"/>
            <w:vAlign w:val="center"/>
          </w:tcPr>
          <w:p>
            <w:pPr>
              <w:spacing w:line="400" w:lineRule="exact"/>
              <w:contextualSpacing/>
              <w:rPr>
                <w:color w:val="000000"/>
              </w:rPr>
            </w:pPr>
            <w:r>
              <w:rPr>
                <w:rFonts w:hint="eastAsia"/>
                <w:color w:val="000000"/>
              </w:rPr>
              <w:t>新余美康盛德医学检验实验室有限公司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sz w:val="18"/>
                <w:szCs w:val="18"/>
              </w:rPr>
              <w:t>新余医检</w:t>
            </w:r>
            <w:r>
              <w:rPr>
                <w:rFonts w:ascii="Times New Roman" w:hAnsi="Times New Roman"/>
                <w:sz w:val="18"/>
                <w:szCs w:val="18"/>
              </w:rPr>
              <w:t>所</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highlight w:val="yellow"/>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30</w:t>
            </w:r>
          </w:p>
        </w:tc>
        <w:tc>
          <w:tcPr>
            <w:tcW w:w="2171" w:type="pct"/>
            <w:vAlign w:val="center"/>
          </w:tcPr>
          <w:p>
            <w:pPr>
              <w:spacing w:line="400" w:lineRule="exact"/>
              <w:contextualSpacing/>
              <w:rPr>
                <w:color w:val="000000"/>
              </w:rPr>
            </w:pPr>
            <w:r>
              <w:rPr>
                <w:rFonts w:hint="eastAsia"/>
                <w:color w:val="000000"/>
              </w:rPr>
              <w:t>深圳美康盛德医学检验实验室</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sz w:val="18"/>
                <w:szCs w:val="18"/>
              </w:rPr>
              <w:t>深圳医检所</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highlight w:val="yellow"/>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ascii="Times New Roman" w:hAnsi="Times New Roman"/>
                <w:sz w:val="18"/>
                <w:szCs w:val="18"/>
              </w:rPr>
              <w:t>31</w:t>
            </w:r>
          </w:p>
        </w:tc>
        <w:tc>
          <w:tcPr>
            <w:tcW w:w="2171" w:type="pct"/>
            <w:vAlign w:val="center"/>
          </w:tcPr>
          <w:p>
            <w:pPr>
              <w:spacing w:line="400" w:lineRule="exact"/>
              <w:contextualSpacing/>
              <w:rPr>
                <w:color w:val="000000"/>
              </w:rPr>
            </w:pPr>
            <w:r>
              <w:rPr>
                <w:rFonts w:hint="eastAsia"/>
                <w:color w:val="000000"/>
              </w:rPr>
              <w:t>浙江广盛源医疗科技有限公司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sz w:val="18"/>
                <w:szCs w:val="18"/>
              </w:rPr>
              <w:t>浙江</w:t>
            </w:r>
            <w:r>
              <w:rPr>
                <w:rFonts w:ascii="Times New Roman" w:hAnsi="Times New Roman"/>
                <w:sz w:val="18"/>
                <w:szCs w:val="18"/>
              </w:rPr>
              <w:t>广盛源</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highlight w:val="yellow"/>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hint="eastAsia" w:ascii="Times New Roman" w:hAnsi="Times New Roman"/>
                <w:sz w:val="18"/>
                <w:szCs w:val="18"/>
              </w:rPr>
              <w:t>32</w:t>
            </w:r>
          </w:p>
        </w:tc>
        <w:tc>
          <w:tcPr>
            <w:tcW w:w="2171" w:type="pct"/>
            <w:vAlign w:val="center"/>
          </w:tcPr>
          <w:p>
            <w:pPr>
              <w:spacing w:line="400" w:lineRule="exact"/>
              <w:contextualSpacing/>
              <w:rPr>
                <w:color w:val="000000"/>
              </w:rPr>
            </w:pPr>
            <w:r>
              <w:rPr>
                <w:rFonts w:hint="eastAsia"/>
                <w:color w:val="000000"/>
              </w:rPr>
              <w:t>聊城美康盛达生物科技有限公司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sz w:val="18"/>
                <w:szCs w:val="18"/>
              </w:rPr>
              <w:t>聊城</w:t>
            </w:r>
            <w:r>
              <w:rPr>
                <w:rFonts w:ascii="Times New Roman" w:hAnsi="Times New Roman"/>
                <w:sz w:val="18"/>
                <w:szCs w:val="18"/>
              </w:rPr>
              <w:t>美康</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94.12</w:t>
            </w:r>
          </w:p>
        </w:tc>
        <w:tc>
          <w:tcPr>
            <w:tcW w:w="661" w:type="pct"/>
            <w:vAlign w:val="center"/>
          </w:tcPr>
          <w:p>
            <w:pPr>
              <w:pStyle w:val="25"/>
              <w:snapToGrid/>
              <w:spacing w:line="400" w:lineRule="exact"/>
              <w:ind w:left="0" w:leftChars="0"/>
              <w:contextualSpacing/>
              <w:jc w:val="right"/>
              <w:rPr>
                <w:rFonts w:ascii="Times New Roman" w:hAnsi="Times New Roman"/>
                <w:sz w:val="18"/>
                <w:szCs w:val="18"/>
                <w:highlight w:val="yellow"/>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hint="eastAsia" w:ascii="Times New Roman" w:hAnsi="Times New Roman"/>
                <w:sz w:val="18"/>
                <w:szCs w:val="18"/>
              </w:rPr>
              <w:t>33</w:t>
            </w:r>
          </w:p>
        </w:tc>
        <w:tc>
          <w:tcPr>
            <w:tcW w:w="2171" w:type="pct"/>
            <w:vAlign w:val="center"/>
          </w:tcPr>
          <w:p>
            <w:pPr>
              <w:spacing w:line="400" w:lineRule="exact"/>
              <w:contextualSpacing/>
              <w:rPr>
                <w:color w:val="000000"/>
              </w:rPr>
            </w:pPr>
            <w:r>
              <w:rPr>
                <w:rFonts w:hint="eastAsia"/>
                <w:color w:val="000000"/>
              </w:rPr>
              <w:t>湖州美康盛德医学检验实验室有限公司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sz w:val="18"/>
                <w:szCs w:val="18"/>
              </w:rPr>
              <w:t>湖州</w:t>
            </w:r>
            <w:r>
              <w:rPr>
                <w:rFonts w:ascii="Times New Roman" w:hAnsi="Times New Roman"/>
                <w:sz w:val="18"/>
                <w:szCs w:val="18"/>
              </w:rPr>
              <w:t>美康</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highlight w:val="yellow"/>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hint="eastAsia" w:ascii="Times New Roman" w:hAnsi="Times New Roman"/>
                <w:sz w:val="18"/>
                <w:szCs w:val="18"/>
              </w:rPr>
              <w:t>34</w:t>
            </w:r>
          </w:p>
        </w:tc>
        <w:tc>
          <w:tcPr>
            <w:tcW w:w="2171" w:type="pct"/>
            <w:vAlign w:val="center"/>
          </w:tcPr>
          <w:p>
            <w:pPr>
              <w:spacing w:line="400" w:lineRule="exact"/>
              <w:contextualSpacing/>
              <w:rPr>
                <w:color w:val="000000"/>
                <w:highlight w:val="yellow"/>
              </w:rPr>
            </w:pPr>
            <w:r>
              <w:rPr>
                <w:rFonts w:hint="eastAsia"/>
                <w:color w:val="000000"/>
              </w:rPr>
              <w:t>杭州倚天生物技术有限公司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sz w:val="18"/>
                <w:szCs w:val="18"/>
              </w:rPr>
              <w:t>杭州倚天</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hint="eastAsia"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hint="eastAsia" w:ascii="Times New Roman" w:hAnsi="Times New Roman"/>
                <w:sz w:val="18"/>
                <w:szCs w:val="18"/>
              </w:rPr>
              <w:t>35</w:t>
            </w:r>
          </w:p>
        </w:tc>
        <w:tc>
          <w:tcPr>
            <w:tcW w:w="2171" w:type="pct"/>
            <w:vAlign w:val="center"/>
          </w:tcPr>
          <w:p>
            <w:pPr>
              <w:spacing w:line="400" w:lineRule="exact"/>
              <w:contextualSpacing/>
              <w:rPr>
                <w:color w:val="000000"/>
                <w:highlight w:val="yellow"/>
              </w:rPr>
            </w:pPr>
            <w:r>
              <w:rPr>
                <w:rFonts w:hint="eastAsia"/>
                <w:color w:val="000000"/>
              </w:rPr>
              <w:t>上海曼贝生物技术有限公司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sz w:val="18"/>
                <w:szCs w:val="18"/>
              </w:rPr>
              <w:t>上海</w:t>
            </w:r>
            <w:r>
              <w:rPr>
                <w:rFonts w:ascii="Times New Roman" w:hAnsi="Times New Roman"/>
                <w:sz w:val="18"/>
                <w:szCs w:val="18"/>
              </w:rPr>
              <w:t>曼贝</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r>
              <w:rPr>
                <w:rFonts w:hint="eastAsia" w:ascii="Times New Roman" w:hAnsi="Times New Roman"/>
                <w:sz w:val="18"/>
                <w:szCs w:val="18"/>
              </w:rPr>
              <w:t>100.00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hint="eastAsia" w:ascii="Times New Roman" w:hAnsi="Times New Roman"/>
                <w:sz w:val="18"/>
                <w:szCs w:val="18"/>
              </w:rPr>
              <w:t>36</w:t>
            </w:r>
          </w:p>
        </w:tc>
        <w:tc>
          <w:tcPr>
            <w:tcW w:w="2171" w:type="pct"/>
            <w:vAlign w:val="center"/>
          </w:tcPr>
          <w:p>
            <w:pPr>
              <w:spacing w:line="400" w:lineRule="exact"/>
              <w:contextualSpacing/>
              <w:rPr>
                <w:color w:val="000000"/>
                <w:highlight w:val="yellow"/>
              </w:rPr>
            </w:pPr>
            <w:r>
              <w:rPr>
                <w:rFonts w:hint="eastAsia"/>
                <w:color w:val="000000"/>
              </w:rPr>
              <w:t>聊城美康盛德医学检验实验室有限公司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sz w:val="18"/>
                <w:szCs w:val="18"/>
              </w:rPr>
              <w:t>聊城医检所</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94.12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hint="eastAsia" w:ascii="Times New Roman" w:hAnsi="Times New Roman"/>
                <w:sz w:val="18"/>
                <w:szCs w:val="18"/>
              </w:rPr>
              <w:t>37</w:t>
            </w:r>
          </w:p>
        </w:tc>
        <w:tc>
          <w:tcPr>
            <w:tcW w:w="2171" w:type="pct"/>
            <w:vAlign w:val="center"/>
          </w:tcPr>
          <w:p>
            <w:pPr>
              <w:spacing w:line="400" w:lineRule="exact"/>
              <w:contextualSpacing/>
              <w:rPr>
                <w:color w:val="000000"/>
              </w:rPr>
            </w:pPr>
            <w:r>
              <w:rPr>
                <w:rFonts w:hint="eastAsia"/>
                <w:color w:val="000000"/>
              </w:rPr>
              <w:t>江西美康盛德生物科技有限公司[注]</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sz w:val="18"/>
                <w:szCs w:val="18"/>
              </w:rPr>
              <w:t>江西美康</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82.74</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8.80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hint="eastAsia" w:ascii="Times New Roman" w:hAnsi="Times New Roman"/>
                <w:sz w:val="18"/>
                <w:szCs w:val="18"/>
              </w:rPr>
              <w:t>38</w:t>
            </w:r>
          </w:p>
        </w:tc>
        <w:tc>
          <w:tcPr>
            <w:tcW w:w="2171" w:type="pct"/>
            <w:vAlign w:val="center"/>
          </w:tcPr>
          <w:p>
            <w:pPr>
              <w:spacing w:line="400" w:lineRule="exact"/>
              <w:contextualSpacing/>
              <w:rPr>
                <w:color w:val="000000"/>
                <w:highlight w:val="yellow"/>
              </w:rPr>
            </w:pPr>
            <w:r>
              <w:rPr>
                <w:rFonts w:hint="eastAsia"/>
                <w:color w:val="000000"/>
              </w:rPr>
              <w:t>美康盛德医疗科技（苏州）有限公司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sz w:val="18"/>
                <w:szCs w:val="18"/>
              </w:rPr>
              <w:t>苏州</w:t>
            </w:r>
            <w:r>
              <w:rPr>
                <w:rFonts w:ascii="Times New Roman" w:hAnsi="Times New Roman"/>
                <w:sz w:val="18"/>
                <w:szCs w:val="18"/>
              </w:rPr>
              <w:t>美康</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hint="eastAsia" w:ascii="Times New Roman" w:hAnsi="Times New Roman"/>
                <w:sz w:val="18"/>
                <w:szCs w:val="18"/>
              </w:rPr>
              <w:t>39</w:t>
            </w:r>
          </w:p>
        </w:tc>
        <w:tc>
          <w:tcPr>
            <w:tcW w:w="2171" w:type="pct"/>
            <w:vAlign w:val="center"/>
          </w:tcPr>
          <w:p>
            <w:pPr>
              <w:spacing w:line="400" w:lineRule="exact"/>
              <w:contextualSpacing/>
              <w:rPr>
                <w:color w:val="000000"/>
                <w:highlight w:val="yellow"/>
              </w:rPr>
            </w:pPr>
            <w:r>
              <w:rPr>
                <w:rFonts w:hint="eastAsia"/>
                <w:color w:val="000000"/>
              </w:rPr>
              <w:t>美康盛德（广西）投资有限公司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sz w:val="18"/>
                <w:szCs w:val="18"/>
              </w:rPr>
              <w:t>广西</w:t>
            </w:r>
            <w:r>
              <w:rPr>
                <w:rFonts w:ascii="Times New Roman" w:hAnsi="Times New Roman"/>
                <w:sz w:val="18"/>
                <w:szCs w:val="18"/>
              </w:rPr>
              <w:t>美康</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87.48</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hint="eastAsia" w:ascii="Times New Roman" w:hAnsi="Times New Roman"/>
                <w:sz w:val="18"/>
                <w:szCs w:val="18"/>
              </w:rPr>
              <w:t>40</w:t>
            </w:r>
          </w:p>
        </w:tc>
        <w:tc>
          <w:tcPr>
            <w:tcW w:w="2171" w:type="pct"/>
            <w:vAlign w:val="center"/>
          </w:tcPr>
          <w:p>
            <w:pPr>
              <w:spacing w:line="400" w:lineRule="exact"/>
              <w:contextualSpacing/>
              <w:rPr>
                <w:color w:val="000000"/>
                <w:highlight w:val="yellow"/>
              </w:rPr>
            </w:pPr>
            <w:r>
              <w:rPr>
                <w:rFonts w:hint="eastAsia"/>
                <w:color w:val="000000"/>
              </w:rPr>
              <w:t>宁波美康盈实股权投资合伙企业（有限合伙）</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sz w:val="18"/>
                <w:szCs w:val="18"/>
              </w:rPr>
              <w:t>盈实</w:t>
            </w:r>
            <w:r>
              <w:rPr>
                <w:rFonts w:ascii="Times New Roman" w:hAnsi="Times New Roman"/>
                <w:sz w:val="18"/>
                <w:szCs w:val="18"/>
              </w:rPr>
              <w:t>基金</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96.67</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hint="eastAsia" w:ascii="Times New Roman" w:hAnsi="Times New Roman"/>
                <w:sz w:val="18"/>
                <w:szCs w:val="18"/>
              </w:rPr>
              <w:t>41</w:t>
            </w:r>
          </w:p>
        </w:tc>
        <w:tc>
          <w:tcPr>
            <w:tcW w:w="2171" w:type="pct"/>
            <w:vAlign w:val="center"/>
          </w:tcPr>
          <w:p>
            <w:pPr>
              <w:spacing w:line="400" w:lineRule="exact"/>
              <w:contextualSpacing/>
              <w:rPr>
                <w:color w:val="000000"/>
                <w:highlight w:val="yellow"/>
              </w:rPr>
            </w:pPr>
            <w:r>
              <w:rPr>
                <w:rFonts w:hint="eastAsia"/>
                <w:color w:val="000000"/>
              </w:rPr>
              <w:t>诸暨美康盛德医学检验实验室有限公司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sz w:val="18"/>
                <w:szCs w:val="18"/>
              </w:rPr>
              <w:t>诸暨医检所</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r>
              <w:rPr>
                <w:rFonts w:hint="eastAsia" w:ascii="Times New Roman" w:hAnsi="Times New Roman"/>
                <w:sz w:val="18"/>
                <w:szCs w:val="18"/>
              </w:rPr>
              <w:t>100.00</w:t>
            </w: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hint="eastAsia" w:ascii="Times New Roman" w:hAnsi="Times New Roman"/>
                <w:sz w:val="18"/>
                <w:szCs w:val="18"/>
              </w:rPr>
              <w:t>42</w:t>
            </w:r>
          </w:p>
        </w:tc>
        <w:tc>
          <w:tcPr>
            <w:tcW w:w="2171" w:type="pct"/>
            <w:vAlign w:val="center"/>
          </w:tcPr>
          <w:p>
            <w:pPr>
              <w:spacing w:line="400" w:lineRule="exact"/>
              <w:contextualSpacing/>
              <w:rPr>
                <w:color w:val="000000"/>
              </w:rPr>
            </w:pPr>
            <w:r>
              <w:rPr>
                <w:rFonts w:hint="eastAsia"/>
                <w:color w:val="000000"/>
              </w:rPr>
              <w:t>民权县美康盛德医学检验实验室有限公司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color w:val="000000"/>
                <w:sz w:val="18"/>
                <w:szCs w:val="18"/>
              </w:rPr>
              <w:t>民权医检所</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r>
              <w:rPr>
                <w:rFonts w:ascii="Times New Roman" w:hAnsi="Times New Roman"/>
                <w:sz w:val="18"/>
                <w:szCs w:val="18"/>
              </w:rPr>
              <w:t>61.00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88" w:type="pct"/>
          </w:tcPr>
          <w:p>
            <w:pPr>
              <w:pStyle w:val="25"/>
              <w:snapToGrid/>
              <w:spacing w:line="400" w:lineRule="exact"/>
              <w:ind w:left="0" w:leftChars="0"/>
              <w:contextualSpacing/>
              <w:jc w:val="center"/>
              <w:rPr>
                <w:rFonts w:ascii="Times New Roman" w:hAnsi="Times New Roman"/>
                <w:sz w:val="18"/>
                <w:szCs w:val="18"/>
              </w:rPr>
            </w:pPr>
            <w:r>
              <w:rPr>
                <w:rFonts w:hint="eastAsia" w:ascii="Times New Roman" w:hAnsi="Times New Roman"/>
                <w:sz w:val="18"/>
                <w:szCs w:val="18"/>
              </w:rPr>
              <w:t>43</w:t>
            </w:r>
          </w:p>
        </w:tc>
        <w:tc>
          <w:tcPr>
            <w:tcW w:w="2171" w:type="pct"/>
            <w:vAlign w:val="center"/>
          </w:tcPr>
          <w:p>
            <w:pPr>
              <w:spacing w:line="400" w:lineRule="exact"/>
              <w:contextualSpacing/>
              <w:rPr>
                <w:color w:val="000000"/>
              </w:rPr>
            </w:pPr>
            <w:r>
              <w:rPr>
                <w:rFonts w:hint="eastAsia"/>
                <w:color w:val="000000"/>
              </w:rPr>
              <w:t>宁波盛德倚天生物技术有限公司</w:t>
            </w:r>
          </w:p>
        </w:tc>
        <w:tc>
          <w:tcPr>
            <w:tcW w:w="1053" w:type="pct"/>
            <w:vAlign w:val="center"/>
          </w:tcPr>
          <w:p>
            <w:pPr>
              <w:pStyle w:val="25"/>
              <w:snapToGrid/>
              <w:spacing w:line="400" w:lineRule="exact"/>
              <w:ind w:left="0" w:leftChars="0"/>
              <w:contextualSpacing/>
              <w:rPr>
                <w:rFonts w:ascii="Times New Roman" w:hAnsi="Times New Roman"/>
                <w:sz w:val="18"/>
                <w:szCs w:val="18"/>
              </w:rPr>
            </w:pPr>
            <w:r>
              <w:rPr>
                <w:rFonts w:hint="eastAsia" w:ascii="Times New Roman" w:hAnsi="Times New Roman"/>
                <w:color w:val="000000"/>
                <w:sz w:val="18"/>
                <w:szCs w:val="18"/>
              </w:rPr>
              <w:t>宁波倚天</w:t>
            </w:r>
          </w:p>
        </w:tc>
        <w:tc>
          <w:tcPr>
            <w:tcW w:w="727" w:type="pct"/>
            <w:vAlign w:val="center"/>
          </w:tcPr>
          <w:p>
            <w:pPr>
              <w:pStyle w:val="25"/>
              <w:snapToGrid/>
              <w:spacing w:line="400" w:lineRule="exact"/>
              <w:ind w:left="0" w:leftChars="0"/>
              <w:contextualSpacing/>
              <w:jc w:val="right"/>
              <w:rPr>
                <w:rFonts w:ascii="Times New Roman" w:hAnsi="Times New Roman"/>
                <w:sz w:val="18"/>
                <w:szCs w:val="18"/>
              </w:rPr>
            </w:pPr>
          </w:p>
        </w:tc>
        <w:tc>
          <w:tcPr>
            <w:tcW w:w="661" w:type="pct"/>
            <w:vAlign w:val="center"/>
          </w:tcPr>
          <w:p>
            <w:pPr>
              <w:pStyle w:val="25"/>
              <w:snapToGrid/>
              <w:spacing w:line="400" w:lineRule="exact"/>
              <w:ind w:left="0" w:leftChars="0"/>
              <w:contextualSpacing/>
              <w:jc w:val="right"/>
              <w:rPr>
                <w:rFonts w:ascii="Times New Roman" w:hAnsi="Times New Roman"/>
                <w:sz w:val="18"/>
                <w:szCs w:val="18"/>
              </w:rPr>
            </w:pPr>
            <w:r>
              <w:rPr>
                <w:rFonts w:hint="eastAsia" w:ascii="Times New Roman" w:hAnsi="Times New Roman"/>
                <w:sz w:val="18"/>
                <w:szCs w:val="18"/>
              </w:rPr>
              <w:t>100.00</w:t>
            </w:r>
          </w:p>
        </w:tc>
      </w:tr>
    </w:tbl>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注：公司原名江西维瑞生物科技有限公司，于</w:t>
      </w:r>
      <w:r>
        <w:rPr>
          <w:rFonts w:eastAsia="Times New Roman"/>
          <w:kern w:val="0"/>
          <w:lang w:val="zh-CN"/>
        </w:rPr>
        <w:t>2019</w:t>
      </w:r>
      <w:r>
        <w:rPr>
          <w:rFonts w:hint="eastAsia" w:ascii="宋体" w:hAnsi="宋体" w:cs="宋体"/>
          <w:kern w:val="0"/>
          <w:lang w:val="zh-CN"/>
        </w:rPr>
        <w:t>年</w:t>
      </w:r>
      <w:r>
        <w:rPr>
          <w:rFonts w:eastAsia="Times New Roman"/>
          <w:kern w:val="0"/>
          <w:lang w:val="zh-CN"/>
        </w:rPr>
        <w:t>10</w:t>
      </w:r>
      <w:r>
        <w:rPr>
          <w:rFonts w:hint="eastAsia" w:ascii="宋体" w:hAnsi="宋体" w:cs="宋体"/>
          <w:kern w:val="0"/>
          <w:lang w:val="zh-CN"/>
        </w:rPr>
        <w:t>月</w:t>
      </w:r>
      <w:r>
        <w:rPr>
          <w:rFonts w:eastAsia="Times New Roman"/>
          <w:kern w:val="0"/>
          <w:lang w:val="zh-CN"/>
        </w:rPr>
        <w:t>18</w:t>
      </w:r>
      <w:r>
        <w:rPr>
          <w:rFonts w:hint="eastAsia" w:ascii="宋体" w:hAnsi="宋体" w:cs="宋体"/>
          <w:kern w:val="0"/>
          <w:lang w:val="zh-CN"/>
        </w:rPr>
        <w:t>日将名称变更为江西美康盛德生物科技有限公司。</w:t>
      </w:r>
    </w:p>
    <w:p>
      <w:pPr>
        <w:pStyle w:val="13"/>
        <w:outlineLvl w:val="1"/>
        <w:rPr>
          <w:bCs w:val="0"/>
        </w:rPr>
      </w:pPr>
      <w:r>
        <w:rPr>
          <w:rFonts w:hint="eastAsia"/>
          <w:bCs w:val="0"/>
        </w:rPr>
        <w:t>四、财务报表的编制基础</w:t>
      </w:r>
    </w:p>
    <w:p>
      <w:pPr>
        <w:pStyle w:val="14"/>
        <w:outlineLvl w:val="2"/>
        <w:rPr>
          <w:bCs w:val="0"/>
          <w:szCs w:val="24"/>
        </w:rPr>
      </w:pPr>
      <w:r>
        <w:rPr>
          <w:bCs w:val="0"/>
          <w:szCs w:val="24"/>
        </w:rPr>
        <w:t>1</w:t>
      </w:r>
      <w:r>
        <w:rPr>
          <w:rFonts w:hint="eastAsia"/>
          <w:bCs w:val="0"/>
          <w:szCs w:val="24"/>
        </w:rPr>
        <w:t>、编制基础</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公司以持续经营为基础，根据实际发生的交易和事项，按照财政部颁布的《企业会计准则</w:t>
      </w:r>
      <w:r>
        <w:rPr>
          <w:rFonts w:eastAsia="Times New Roman"/>
          <w:kern w:val="0"/>
          <w:lang w:val="zh-CN"/>
        </w:rPr>
        <w:t>——</w:t>
      </w:r>
      <w:r>
        <w:rPr>
          <w:rFonts w:hint="eastAsia" w:ascii="宋体" w:hAnsi="宋体" w:cs="宋体"/>
          <w:kern w:val="0"/>
          <w:lang w:val="zh-CN"/>
        </w:rPr>
        <w:t>基本准则》和各项具体会计准则、企业会计准则应用指南、企业会计准则解释及其他相关规定（以下合称</w:t>
      </w:r>
      <w:r>
        <w:rPr>
          <w:rFonts w:eastAsia="Times New Roman"/>
          <w:kern w:val="0"/>
          <w:lang w:val="zh-CN"/>
        </w:rPr>
        <w:t>“</w:t>
      </w:r>
      <w:r>
        <w:rPr>
          <w:rFonts w:hint="eastAsia" w:ascii="宋体" w:hAnsi="宋体" w:cs="宋体"/>
          <w:kern w:val="0"/>
          <w:lang w:val="zh-CN"/>
        </w:rPr>
        <w:t>企业会计准则</w:t>
      </w:r>
      <w:r>
        <w:rPr>
          <w:rFonts w:eastAsia="Times New Roman"/>
          <w:kern w:val="0"/>
          <w:lang w:val="zh-CN"/>
        </w:rPr>
        <w:t>”</w:t>
      </w:r>
      <w:r>
        <w:rPr>
          <w:rFonts w:hint="eastAsia" w:ascii="宋体" w:hAnsi="宋体" w:cs="宋体"/>
          <w:kern w:val="0"/>
          <w:lang w:val="zh-CN"/>
        </w:rPr>
        <w:t>），以及中国证券监督管理委员会《公开发行证券的公司信息披露编报规则第</w:t>
      </w:r>
      <w:r>
        <w:rPr>
          <w:rFonts w:eastAsia="Times New Roman"/>
          <w:kern w:val="0"/>
          <w:lang w:val="zh-CN"/>
        </w:rPr>
        <w:t xml:space="preserve">15 </w:t>
      </w:r>
      <w:r>
        <w:rPr>
          <w:rFonts w:hint="eastAsia" w:ascii="宋体" w:hAnsi="宋体" w:cs="宋体"/>
          <w:kern w:val="0"/>
          <w:lang w:val="zh-CN"/>
        </w:rPr>
        <w:t>号</w:t>
      </w:r>
      <w:r>
        <w:rPr>
          <w:rFonts w:eastAsia="Times New Roman"/>
          <w:kern w:val="0"/>
          <w:lang w:val="zh-CN"/>
        </w:rPr>
        <w:t>——</w:t>
      </w:r>
      <w:r>
        <w:rPr>
          <w:rFonts w:hint="eastAsia" w:ascii="宋体" w:hAnsi="宋体" w:cs="宋体"/>
          <w:kern w:val="0"/>
          <w:lang w:val="zh-CN"/>
        </w:rPr>
        <w:t>财务报告的一般规定》的披露规定编制财务报表。</w:t>
      </w:r>
    </w:p>
    <w:p>
      <w:pPr>
        <w:pStyle w:val="14"/>
        <w:outlineLvl w:val="2"/>
        <w:rPr>
          <w:bCs w:val="0"/>
          <w:szCs w:val="24"/>
        </w:rPr>
      </w:pPr>
      <w:r>
        <w:rPr>
          <w:bCs w:val="0"/>
          <w:szCs w:val="24"/>
        </w:rPr>
        <w:t>2</w:t>
      </w:r>
      <w:r>
        <w:rPr>
          <w:rFonts w:hint="eastAsia"/>
          <w:bCs w:val="0"/>
          <w:szCs w:val="24"/>
        </w:rPr>
        <w:t>、持续经营</w:t>
      </w:r>
    </w:p>
    <w:p>
      <w:pPr>
        <w:autoSpaceDE w:val="0"/>
        <w:autoSpaceDN w:val="0"/>
        <w:adjustRightInd w:val="0"/>
        <w:spacing w:before="0" w:after="0"/>
        <w:ind w:firstLine="360" w:firstLineChars="200"/>
        <w:rPr>
          <w:rFonts w:ascii="宋体" w:hAnsi="宋体" w:cs="宋体"/>
          <w:kern w:val="0"/>
          <w:lang w:val="zh-CN"/>
        </w:rPr>
      </w:pPr>
      <w:r>
        <w:rPr>
          <w:rFonts w:hint="eastAsia" w:ascii="宋体" w:hAnsi="宋体" w:cs="宋体"/>
          <w:kern w:val="0"/>
          <w:lang w:val="zh-CN"/>
        </w:rPr>
        <w:t>公司自本报告期末起至少</w:t>
      </w:r>
      <w:r>
        <w:rPr>
          <w:rFonts w:ascii="宋体" w:hAnsi="宋体" w:cs="宋体"/>
          <w:kern w:val="0"/>
          <w:lang w:val="zh-CN"/>
        </w:rPr>
        <w:t>12</w:t>
      </w:r>
      <w:r>
        <w:rPr>
          <w:rFonts w:hint="eastAsia" w:ascii="宋体" w:hAnsi="宋体" w:cs="宋体"/>
          <w:kern w:val="0"/>
          <w:lang w:val="zh-CN"/>
        </w:rPr>
        <w:t>个月内具备持续经营能力，无影响持续经营能力的重大事项。</w:t>
      </w:r>
    </w:p>
    <w:p>
      <w:pPr>
        <w:pStyle w:val="13"/>
        <w:outlineLvl w:val="1"/>
        <w:rPr>
          <w:bCs w:val="0"/>
        </w:rPr>
      </w:pPr>
      <w:r>
        <w:rPr>
          <w:rFonts w:hint="eastAsia"/>
          <w:bCs w:val="0"/>
        </w:rPr>
        <w:t>五、重要会计政策及会计估计</w:t>
      </w:r>
    </w:p>
    <w:p>
      <w:pPr>
        <w:autoSpaceDE w:val="0"/>
        <w:autoSpaceDN w:val="0"/>
        <w:adjustRightInd w:val="0"/>
        <w:spacing w:before="0" w:after="0"/>
        <w:ind w:firstLine="360" w:firstLineChars="200"/>
        <w:rPr>
          <w:rFonts w:ascii="宋体" w:hAnsi="宋体" w:cs="宋体"/>
          <w:kern w:val="0"/>
          <w:lang w:val="zh-CN"/>
        </w:rPr>
      </w:pPr>
      <w:r>
        <w:rPr>
          <w:rFonts w:hint="eastAsia" w:ascii="宋体" w:hAnsi="宋体" w:cs="宋体"/>
          <w:kern w:val="0"/>
          <w:lang w:val="zh-CN"/>
        </w:rPr>
        <w:t>具体会计政策和会计估计提示：</w:t>
      </w:r>
    </w:p>
    <w:p>
      <w:pPr>
        <w:autoSpaceDE w:val="0"/>
        <w:autoSpaceDN w:val="0"/>
        <w:adjustRightInd w:val="0"/>
        <w:spacing w:before="0" w:after="0"/>
        <w:ind w:firstLine="360" w:firstLineChars="200"/>
        <w:rPr>
          <w:rFonts w:ascii="宋体" w:hAnsi="宋体" w:cs="宋体"/>
          <w:kern w:val="0"/>
          <w:lang w:val="zh-CN"/>
        </w:rPr>
      </w:pPr>
      <w:r>
        <w:rPr>
          <w:rFonts w:hint="eastAsia" w:ascii="宋体" w:hAnsi="宋体" w:cs="宋体"/>
          <w:kern w:val="0"/>
          <w:lang w:val="zh-CN"/>
        </w:rPr>
        <w:t>以下披露内容已涵盖了本公司根据实际生产经营特点制定的具体会计政策和会计估计。详见本附注</w:t>
      </w:r>
      <w:r>
        <w:rPr>
          <w:rFonts w:ascii="宋体" w:hAnsi="宋体" w:cs="宋体"/>
          <w:kern w:val="0"/>
          <w:lang w:val="zh-CN"/>
        </w:rPr>
        <w:t>“</w:t>
      </w:r>
      <w:r>
        <w:rPr>
          <w:rFonts w:hint="eastAsia" w:ascii="宋体" w:hAnsi="宋体" w:cs="宋体"/>
          <w:kern w:val="0"/>
          <w:lang w:val="zh-CN"/>
        </w:rPr>
        <w:t>三、（九）金融工具</w:t>
      </w:r>
      <w:r>
        <w:rPr>
          <w:rFonts w:ascii="宋体" w:hAnsi="宋体" w:cs="宋体"/>
          <w:kern w:val="0"/>
          <w:lang w:val="zh-CN"/>
        </w:rPr>
        <w:t>”</w:t>
      </w:r>
      <w:r>
        <w:rPr>
          <w:rFonts w:hint="eastAsia" w:ascii="宋体" w:hAnsi="宋体" w:cs="宋体"/>
          <w:kern w:val="0"/>
          <w:lang w:val="zh-CN"/>
        </w:rPr>
        <w:t>、</w:t>
      </w:r>
      <w:r>
        <w:rPr>
          <w:rFonts w:ascii="宋体" w:hAnsi="宋体" w:cs="宋体"/>
          <w:kern w:val="0"/>
          <w:lang w:val="zh-CN"/>
        </w:rPr>
        <w:t>“</w:t>
      </w:r>
      <w:r>
        <w:rPr>
          <w:rFonts w:hint="eastAsia" w:ascii="宋体" w:hAnsi="宋体" w:cs="宋体"/>
          <w:kern w:val="0"/>
          <w:lang w:val="zh-CN"/>
        </w:rPr>
        <w:t>三、（十四）固定资产</w:t>
      </w:r>
      <w:r>
        <w:rPr>
          <w:rFonts w:ascii="宋体" w:hAnsi="宋体" w:cs="宋体"/>
          <w:kern w:val="0"/>
          <w:lang w:val="zh-CN"/>
        </w:rPr>
        <w:t>”</w:t>
      </w:r>
      <w:r>
        <w:rPr>
          <w:rFonts w:hint="eastAsia" w:ascii="宋体" w:hAnsi="宋体" w:cs="宋体"/>
          <w:kern w:val="0"/>
          <w:lang w:val="zh-CN"/>
        </w:rPr>
        <w:t>、</w:t>
      </w:r>
      <w:r>
        <w:rPr>
          <w:rFonts w:ascii="宋体" w:hAnsi="宋体" w:cs="宋体"/>
          <w:kern w:val="0"/>
          <w:lang w:val="zh-CN"/>
        </w:rPr>
        <w:t>“</w:t>
      </w:r>
      <w:r>
        <w:rPr>
          <w:rFonts w:hint="eastAsia" w:ascii="宋体" w:hAnsi="宋体" w:cs="宋体"/>
          <w:kern w:val="0"/>
          <w:lang w:val="zh-CN"/>
        </w:rPr>
        <w:t>三、（二十三）收入</w:t>
      </w:r>
      <w:r>
        <w:rPr>
          <w:rFonts w:ascii="宋体" w:hAnsi="宋体" w:cs="宋体"/>
          <w:kern w:val="0"/>
          <w:lang w:val="zh-CN"/>
        </w:rPr>
        <w:t>”</w:t>
      </w:r>
      <w:r>
        <w:rPr>
          <w:rFonts w:hint="eastAsia" w:ascii="宋体" w:hAnsi="宋体" w:cs="宋体"/>
          <w:kern w:val="0"/>
          <w:lang w:val="zh-CN"/>
        </w:rPr>
        <w:t>。</w:t>
      </w:r>
    </w:p>
    <w:p>
      <w:pPr>
        <w:pStyle w:val="14"/>
        <w:outlineLvl w:val="2"/>
        <w:rPr>
          <w:bCs w:val="0"/>
          <w:szCs w:val="24"/>
        </w:rPr>
      </w:pPr>
      <w:r>
        <w:rPr>
          <w:bCs w:val="0"/>
          <w:szCs w:val="24"/>
        </w:rPr>
        <w:t>1</w:t>
      </w:r>
      <w:r>
        <w:rPr>
          <w:rFonts w:hint="eastAsia"/>
          <w:bCs w:val="0"/>
          <w:szCs w:val="24"/>
        </w:rPr>
        <w:t>、遵循企业会计准则的声明</w:t>
      </w:r>
    </w:p>
    <w:p>
      <w:pPr>
        <w:autoSpaceDE w:val="0"/>
        <w:autoSpaceDN w:val="0"/>
        <w:adjustRightInd w:val="0"/>
        <w:spacing w:before="0" w:after="0"/>
        <w:ind w:firstLine="360" w:firstLineChars="200"/>
        <w:rPr>
          <w:rFonts w:ascii="宋体" w:hAnsi="宋体" w:cs="宋体"/>
          <w:kern w:val="0"/>
          <w:lang w:val="zh-CN"/>
        </w:rPr>
      </w:pPr>
      <w:r>
        <w:rPr>
          <w:rFonts w:hint="eastAsia" w:ascii="宋体" w:hAnsi="宋体" w:cs="宋体"/>
          <w:kern w:val="0"/>
          <w:lang w:val="zh-CN"/>
        </w:rPr>
        <w:t>本财务报表符合财政部颁布的企业会计准则的要求，真实、完整地反映了本公司</w:t>
      </w:r>
      <w:r>
        <w:rPr>
          <w:rFonts w:ascii="宋体" w:hAnsi="宋体" w:cs="宋体"/>
          <w:kern w:val="0"/>
          <w:lang w:val="zh-CN"/>
        </w:rPr>
        <w:t>2019</w:t>
      </w:r>
      <w:r>
        <w:rPr>
          <w:rFonts w:hint="eastAsia" w:ascii="宋体" w:hAnsi="宋体" w:cs="宋体"/>
          <w:kern w:val="0"/>
          <w:lang w:val="zh-CN"/>
        </w:rPr>
        <w:t>年</w:t>
      </w:r>
      <w:r>
        <w:rPr>
          <w:rFonts w:ascii="宋体" w:hAnsi="宋体" w:cs="宋体"/>
          <w:kern w:val="0"/>
          <w:lang w:val="zh-CN"/>
        </w:rPr>
        <w:t>12</w:t>
      </w:r>
      <w:r>
        <w:rPr>
          <w:rFonts w:hint="eastAsia" w:ascii="宋体" w:hAnsi="宋体" w:cs="宋体"/>
          <w:kern w:val="0"/>
          <w:lang w:val="zh-CN"/>
        </w:rPr>
        <w:t>月</w:t>
      </w:r>
      <w:r>
        <w:rPr>
          <w:rFonts w:ascii="宋体" w:hAnsi="宋体" w:cs="宋体"/>
          <w:kern w:val="0"/>
          <w:lang w:val="zh-CN"/>
        </w:rPr>
        <w:t>31</w:t>
      </w:r>
      <w:r>
        <w:rPr>
          <w:rFonts w:hint="eastAsia" w:ascii="宋体" w:hAnsi="宋体" w:cs="宋体"/>
          <w:kern w:val="0"/>
          <w:lang w:val="zh-CN"/>
        </w:rPr>
        <w:t>日的合并及母公司财务状况以及</w:t>
      </w:r>
      <w:r>
        <w:rPr>
          <w:rFonts w:ascii="宋体" w:hAnsi="宋体" w:cs="宋体"/>
          <w:kern w:val="0"/>
          <w:lang w:val="zh-CN"/>
        </w:rPr>
        <w:t>2019</w:t>
      </w:r>
      <w:r>
        <w:rPr>
          <w:rFonts w:hint="eastAsia" w:ascii="宋体" w:hAnsi="宋体" w:cs="宋体"/>
          <w:kern w:val="0"/>
          <w:lang w:val="zh-CN"/>
        </w:rPr>
        <w:t>年度的合并及母公司经营成果和现金流量。</w:t>
      </w:r>
    </w:p>
    <w:p>
      <w:pPr>
        <w:pStyle w:val="14"/>
        <w:outlineLvl w:val="2"/>
        <w:rPr>
          <w:bCs w:val="0"/>
          <w:szCs w:val="24"/>
        </w:rPr>
      </w:pPr>
      <w:r>
        <w:rPr>
          <w:bCs w:val="0"/>
          <w:szCs w:val="24"/>
        </w:rPr>
        <w:t>2</w:t>
      </w:r>
      <w:r>
        <w:rPr>
          <w:rFonts w:hint="eastAsia"/>
          <w:bCs w:val="0"/>
          <w:szCs w:val="24"/>
        </w:rPr>
        <w:t>、会计期间</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自公历</w:t>
      </w:r>
      <w:r>
        <w:rPr>
          <w:rFonts w:eastAsia="Times New Roman"/>
          <w:kern w:val="0"/>
          <w:lang w:val="zh-CN"/>
        </w:rPr>
        <w:t>1</w:t>
      </w:r>
      <w:r>
        <w:rPr>
          <w:rFonts w:hint="eastAsia" w:ascii="宋体" w:hAnsi="宋体" w:cs="宋体"/>
          <w:kern w:val="0"/>
          <w:lang w:val="zh-CN"/>
        </w:rPr>
        <w:t>月</w:t>
      </w:r>
      <w:r>
        <w:rPr>
          <w:rFonts w:eastAsia="Times New Roman"/>
          <w:kern w:val="0"/>
          <w:lang w:val="zh-CN"/>
        </w:rPr>
        <w:t>1</w:t>
      </w:r>
      <w:r>
        <w:rPr>
          <w:rFonts w:hint="eastAsia" w:ascii="宋体" w:hAnsi="宋体" w:cs="宋体"/>
          <w:kern w:val="0"/>
          <w:lang w:val="zh-CN"/>
        </w:rPr>
        <w:t>日至</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日止为一个会计年度。</w:t>
      </w:r>
    </w:p>
    <w:p>
      <w:pPr>
        <w:pStyle w:val="14"/>
        <w:outlineLvl w:val="2"/>
        <w:rPr>
          <w:bCs w:val="0"/>
          <w:szCs w:val="24"/>
        </w:rPr>
      </w:pPr>
      <w:r>
        <w:rPr>
          <w:bCs w:val="0"/>
          <w:szCs w:val="24"/>
        </w:rPr>
        <w:t>3</w:t>
      </w:r>
      <w:r>
        <w:rPr>
          <w:rFonts w:hint="eastAsia"/>
          <w:bCs w:val="0"/>
          <w:szCs w:val="24"/>
        </w:rPr>
        <w:t>、营业周期</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本公司营业周期为</w:t>
      </w:r>
      <w:r>
        <w:rPr>
          <w:rFonts w:eastAsia="Times New Roman"/>
          <w:kern w:val="0"/>
          <w:lang w:val="zh-CN"/>
        </w:rPr>
        <w:t>12</w:t>
      </w:r>
      <w:r>
        <w:rPr>
          <w:rFonts w:hint="eastAsia" w:ascii="宋体" w:hAnsi="宋体" w:cs="宋体"/>
          <w:kern w:val="0"/>
          <w:lang w:val="zh-CN"/>
        </w:rPr>
        <w:t>个月。</w:t>
      </w:r>
    </w:p>
    <w:p>
      <w:pPr>
        <w:pStyle w:val="14"/>
        <w:outlineLvl w:val="2"/>
        <w:rPr>
          <w:bCs w:val="0"/>
          <w:szCs w:val="24"/>
        </w:rPr>
      </w:pPr>
      <w:r>
        <w:rPr>
          <w:bCs w:val="0"/>
          <w:szCs w:val="24"/>
        </w:rPr>
        <w:t>4</w:t>
      </w:r>
      <w:r>
        <w:rPr>
          <w:rFonts w:hint="eastAsia"/>
          <w:bCs w:val="0"/>
          <w:szCs w:val="24"/>
        </w:rPr>
        <w:t>、记账本位币</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本公司采用人民币为记账本位币。</w:t>
      </w:r>
    </w:p>
    <w:p>
      <w:pPr>
        <w:pStyle w:val="14"/>
        <w:outlineLvl w:val="2"/>
        <w:rPr>
          <w:bCs w:val="0"/>
          <w:szCs w:val="24"/>
        </w:rPr>
      </w:pPr>
      <w:r>
        <w:rPr>
          <w:bCs w:val="0"/>
          <w:szCs w:val="24"/>
        </w:rPr>
        <w:t>5</w:t>
      </w:r>
      <w:r>
        <w:rPr>
          <w:rFonts w:hint="eastAsia"/>
          <w:bCs w:val="0"/>
          <w:szCs w:val="24"/>
        </w:rPr>
        <w:t>、同一控制下和非同一控制下企业合并的会计处理方法</w:t>
      </w:r>
    </w:p>
    <w:p>
      <w:pPr>
        <w:autoSpaceDE w:val="0"/>
        <w:autoSpaceDN w:val="0"/>
        <w:adjustRightInd w:val="0"/>
        <w:spacing w:before="0" w:after="0"/>
        <w:ind w:firstLine="360" w:firstLineChars="200"/>
        <w:rPr>
          <w:rFonts w:ascii="宋体" w:hAnsi="宋体" w:cs="宋体"/>
          <w:kern w:val="0"/>
          <w:lang w:val="zh-CN"/>
        </w:rPr>
      </w:pPr>
      <w:r>
        <w:rPr>
          <w:rFonts w:hint="eastAsia" w:ascii="宋体" w:hAnsi="宋体" w:cs="宋体"/>
          <w:kern w:val="0"/>
          <w:lang w:val="zh-CN"/>
        </w:rPr>
        <w:t>同一控制下企业合并：合并方在企业合并中取得的资产和负债，按照合并日被合并方资产、负债（包括最终控制方收购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pPr>
        <w:autoSpaceDE w:val="0"/>
        <w:autoSpaceDN w:val="0"/>
        <w:adjustRightInd w:val="0"/>
        <w:spacing w:before="0" w:after="0"/>
        <w:ind w:firstLine="360" w:firstLineChars="200"/>
        <w:rPr>
          <w:rFonts w:ascii="宋体" w:hAnsi="宋体" w:cs="宋体"/>
          <w:kern w:val="0"/>
          <w:lang w:val="zh-CN"/>
        </w:rPr>
      </w:pPr>
      <w:r>
        <w:rPr>
          <w:rFonts w:hint="eastAsia" w:ascii="宋体" w:hAnsi="宋体" w:cs="宋体"/>
          <w:kern w:val="0"/>
          <w:lang w:val="zh-CN"/>
        </w:rPr>
        <w:t>非同一控制下企业合并：购买方在购买日对作为企业合并对价付出的资产、发生或承担的负债按照公允价值计量，公允价值与其账面价值的差额，计入当期损益。合并成本大于合并中取得的被购买方可辨认净资产公允价值份额的差额，确认为商誉；合并成本小于合并中取得的被购买方可辨认净资产公允价值份额的差额，计入当期损益。</w:t>
      </w:r>
    </w:p>
    <w:p>
      <w:pPr>
        <w:autoSpaceDE w:val="0"/>
        <w:autoSpaceDN w:val="0"/>
        <w:adjustRightInd w:val="0"/>
        <w:spacing w:before="0" w:after="0"/>
        <w:ind w:firstLine="360" w:firstLineChars="200"/>
        <w:rPr>
          <w:rFonts w:ascii="宋体" w:hAnsi="宋体" w:cs="宋体"/>
          <w:kern w:val="0"/>
          <w:lang w:val="zh-CN"/>
        </w:rPr>
      </w:pPr>
      <w:r>
        <w:rPr>
          <w:rFonts w:hint="eastAsia" w:ascii="宋体" w:hAnsi="宋体" w:cs="宋体"/>
          <w:kern w:val="0"/>
          <w:lang w:val="zh-CN"/>
        </w:rPr>
        <w:t>为企业合并发生的直接相关费用于发生时计入当期损益；为企业合并而发行权益性证券或债务性证券的交易费用，计入权益性证券或债务性证券的初始确认金额。</w:t>
      </w:r>
    </w:p>
    <w:p>
      <w:pPr>
        <w:pStyle w:val="14"/>
        <w:outlineLvl w:val="2"/>
        <w:rPr>
          <w:bCs w:val="0"/>
          <w:szCs w:val="24"/>
        </w:rPr>
      </w:pPr>
      <w:r>
        <w:rPr>
          <w:bCs w:val="0"/>
          <w:szCs w:val="24"/>
        </w:rPr>
        <w:t>6</w:t>
      </w:r>
      <w:r>
        <w:rPr>
          <w:rFonts w:hint="eastAsia"/>
          <w:bCs w:val="0"/>
          <w:szCs w:val="24"/>
        </w:rPr>
        <w:t>、合并财务报表的编制方法</w:t>
      </w:r>
    </w:p>
    <w:p>
      <w:pPr>
        <w:autoSpaceDE w:val="0"/>
        <w:autoSpaceDN w:val="0"/>
        <w:adjustRightInd w:val="0"/>
        <w:spacing w:before="0" w:after="0"/>
        <w:ind w:firstLine="360" w:firstLineChars="200"/>
        <w:jc w:val="left"/>
        <w:rPr>
          <w:rFonts w:eastAsia="Times New Roman"/>
          <w:kern w:val="0"/>
          <w:lang w:val="zh-CN"/>
        </w:rPr>
      </w:pPr>
      <w:r>
        <w:rPr>
          <w:rFonts w:eastAsia="Times New Roman"/>
          <w:kern w:val="0"/>
          <w:lang w:val="zh-CN"/>
        </w:rPr>
        <w:t>1.</w:t>
      </w:r>
      <w:r>
        <w:rPr>
          <w:rFonts w:hint="eastAsia" w:ascii="宋体" w:hAnsi="宋体" w:cs="宋体"/>
          <w:kern w:val="0"/>
          <w:lang w:val="zh-CN"/>
        </w:rPr>
        <w:t>合并范围</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合并财务报表的合并范围以控制为基础确定，合并范围包括本公司及全部子公司。</w:t>
      </w:r>
    </w:p>
    <w:p>
      <w:pPr>
        <w:autoSpaceDE w:val="0"/>
        <w:autoSpaceDN w:val="0"/>
        <w:adjustRightInd w:val="0"/>
        <w:spacing w:before="0" w:after="0"/>
        <w:ind w:firstLine="360" w:firstLineChars="200"/>
        <w:jc w:val="left"/>
        <w:rPr>
          <w:rFonts w:eastAsia="Times New Roman"/>
          <w:kern w:val="0"/>
          <w:lang w:val="zh-CN"/>
        </w:rPr>
      </w:pPr>
      <w:r>
        <w:rPr>
          <w:rFonts w:eastAsia="Times New Roman"/>
          <w:kern w:val="0"/>
          <w:lang w:val="zh-CN"/>
        </w:rPr>
        <w:t>2.</w:t>
      </w:r>
      <w:r>
        <w:rPr>
          <w:rFonts w:hint="eastAsia" w:ascii="宋体" w:hAnsi="宋体" w:cs="宋体"/>
          <w:kern w:val="0"/>
          <w:lang w:val="zh-CN"/>
        </w:rPr>
        <w:t>合并程序</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所有纳入合并财务报表合并范围的子公司所采用的会计政策、会计期间与本公司一致，如子公司采用的会计政策、会计期间与本公司不一致的，在编制合并财务报表时，按本公司的会计政策、会计期间进行必要的调整。对于非同一控制下企业合并取得的子公司，以购买日可辨认净资产公允价值为基础对其财务报表进行调整。对于同一控制下企业合并取得的子公司，以其资产、负债（包括最终控制方收购该子公司而形成的商誉）在最终控制方财务报表中的账面价值为基础对其财务报表进行调整。</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冲减少数股东权益。</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）增加子公司或业务</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在报告期内，若因同一控制下企业合并增加子公司或业务的，则调整合并资产负债表的期初数；将子公司或业务合并当期期初至报告期末的收入、费用、利润纳入合并利润表；将子公司或业务合并当期期初至报告期末的现金流量纳入合并现金流量表，同时对比较报表的相关项目进行调整，视同合并后的报告主体自最终控制方开始控制时点起一直存在。</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因追加投资等原因能够对同一控制下的被投资方实施控制的，视同参与合并的各方在最终控制方开始控制时即以目前的状态存在进行调整。在取得被合并方控制权之前持有的股权投资，在取得原股权之日与合并方和被合并方同处于同一控制之日孰晚日起至合并日之间已确认有关损益、其他综合收益以及其他净资产变动，分别冲减比较报表期间的期初留存收益或当期损益。</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在报告期内，若因非同一控制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因追加投资等原因能够对非同一控制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）处置子公司或业务</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①一般处理方法</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在报告期内，本公司处置子公司或业务，则该子公司或业务期初至处置日的收入、费用、利润纳入合并利润表；该子公司或业务期初至处置日的现金流量纳入合并现金流量表。</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合并日开始持续计算的净资产的份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因其他投资方对子公司增资而导致本公司持股比例下降从而丧失控制权的，按照上述原则进行会计处理。</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②分步处置子公司</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pPr>
        <w:autoSpaceDE w:val="0"/>
        <w:autoSpaceDN w:val="0"/>
        <w:adjustRightInd w:val="0"/>
        <w:spacing w:before="0" w:after="0"/>
        <w:ind w:firstLine="360" w:firstLineChars="200"/>
        <w:jc w:val="left"/>
        <w:rPr>
          <w:rFonts w:eastAsia="Times New Roman"/>
          <w:kern w:val="0"/>
          <w:lang w:val="zh-CN"/>
        </w:rPr>
      </w:pPr>
      <w:r>
        <w:rPr>
          <w:rFonts w:eastAsia="Times New Roman"/>
          <w:kern w:val="0"/>
          <w:lang w:val="zh-CN"/>
        </w:rPr>
        <w:t>ⅰ</w:t>
      </w:r>
      <w:r>
        <w:rPr>
          <w:rFonts w:hint="eastAsia" w:ascii="宋体" w:hAnsi="宋体" w:cs="宋体"/>
          <w:kern w:val="0"/>
          <w:lang w:val="zh-CN"/>
        </w:rPr>
        <w:t>．这些交易是同时或者在考虑了彼此影响的情况下订立的；</w:t>
      </w:r>
    </w:p>
    <w:p>
      <w:pPr>
        <w:autoSpaceDE w:val="0"/>
        <w:autoSpaceDN w:val="0"/>
        <w:adjustRightInd w:val="0"/>
        <w:spacing w:before="0" w:after="0"/>
        <w:ind w:firstLine="360" w:firstLineChars="200"/>
        <w:jc w:val="left"/>
        <w:rPr>
          <w:rFonts w:eastAsia="Times New Roman"/>
          <w:kern w:val="0"/>
          <w:lang w:val="zh-CN"/>
        </w:rPr>
      </w:pPr>
      <w:r>
        <w:rPr>
          <w:rFonts w:eastAsia="Times New Roman"/>
          <w:kern w:val="0"/>
          <w:lang w:val="zh-CN"/>
        </w:rPr>
        <w:t>ⅱ</w:t>
      </w:r>
      <w:r>
        <w:rPr>
          <w:rFonts w:hint="eastAsia" w:ascii="宋体" w:hAnsi="宋体" w:cs="宋体"/>
          <w:kern w:val="0"/>
          <w:lang w:val="zh-CN"/>
        </w:rPr>
        <w:t>．这些交易整体才能达成一项完整的商业结果；</w:t>
      </w:r>
    </w:p>
    <w:p>
      <w:pPr>
        <w:autoSpaceDE w:val="0"/>
        <w:autoSpaceDN w:val="0"/>
        <w:adjustRightInd w:val="0"/>
        <w:spacing w:before="0" w:after="0"/>
        <w:ind w:firstLine="360" w:firstLineChars="200"/>
        <w:jc w:val="left"/>
        <w:rPr>
          <w:rFonts w:eastAsia="Times New Roman"/>
          <w:kern w:val="0"/>
          <w:lang w:val="zh-CN"/>
        </w:rPr>
      </w:pPr>
      <w:r>
        <w:rPr>
          <w:rFonts w:eastAsia="Times New Roman"/>
          <w:kern w:val="0"/>
          <w:lang w:val="zh-CN"/>
        </w:rPr>
        <w:t>ⅲ</w:t>
      </w:r>
      <w:r>
        <w:rPr>
          <w:rFonts w:hint="eastAsia" w:ascii="宋体" w:hAnsi="宋体" w:cs="宋体"/>
          <w:kern w:val="0"/>
          <w:lang w:val="zh-CN"/>
        </w:rPr>
        <w:t>．一项交易的发生取决于其他至少一项交易的发生；</w:t>
      </w:r>
    </w:p>
    <w:p>
      <w:pPr>
        <w:autoSpaceDE w:val="0"/>
        <w:autoSpaceDN w:val="0"/>
        <w:adjustRightInd w:val="0"/>
        <w:spacing w:before="0" w:after="0"/>
        <w:ind w:firstLine="360" w:firstLineChars="200"/>
        <w:jc w:val="left"/>
        <w:rPr>
          <w:rFonts w:eastAsia="Times New Roman"/>
          <w:kern w:val="0"/>
          <w:lang w:val="zh-CN"/>
        </w:rPr>
      </w:pPr>
      <w:r>
        <w:rPr>
          <w:rFonts w:eastAsia="Times New Roman"/>
          <w:kern w:val="0"/>
          <w:lang w:val="zh-CN"/>
        </w:rPr>
        <w:t>ⅳ</w:t>
      </w:r>
      <w:r>
        <w:rPr>
          <w:rFonts w:hint="eastAsia" w:ascii="宋体" w:hAnsi="宋体" w:cs="宋体"/>
          <w:kern w:val="0"/>
          <w:lang w:val="zh-CN"/>
        </w:rPr>
        <w:t>．一项交易单独看是不经济的，但是和其他交易一并考虑时是经济的。</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）购买子公司少数股权</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w:t>
      </w:r>
      <w:r>
        <w:rPr>
          <w:rFonts w:eastAsia="Times New Roman"/>
          <w:kern w:val="0"/>
          <w:lang w:val="zh-CN"/>
        </w:rPr>
        <w:t>4</w:t>
      </w:r>
      <w:r>
        <w:rPr>
          <w:rFonts w:hint="eastAsia" w:ascii="宋体" w:hAnsi="宋体" w:cs="宋体"/>
          <w:kern w:val="0"/>
          <w:lang w:val="zh-CN"/>
        </w:rPr>
        <w:t>）不丧失控制权的情况下部分处置对子公司的股权投资</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在不丧失控制权的情况下因部分处置对子公司的长期股权投资而取得的处置价款与处置长期股权投资相对应享有子公司自购买日或合并日开始持续计算的净资产份额之间的差额，调整合并资产负债表中的资本公积中的股本溢价，资本公积中的股本溢价不足冲减的，调整留存收益。</w:t>
      </w:r>
    </w:p>
    <w:p>
      <w:pPr>
        <w:pStyle w:val="14"/>
        <w:outlineLvl w:val="2"/>
        <w:rPr>
          <w:bCs w:val="0"/>
          <w:szCs w:val="24"/>
        </w:rPr>
      </w:pPr>
      <w:r>
        <w:rPr>
          <w:bCs w:val="0"/>
          <w:szCs w:val="24"/>
        </w:rPr>
        <w:t>7</w:t>
      </w:r>
      <w:r>
        <w:rPr>
          <w:rFonts w:hint="eastAsia"/>
          <w:bCs w:val="0"/>
          <w:szCs w:val="24"/>
        </w:rPr>
        <w:t>、合营安排分类及共同经营会计处理方法</w:t>
      </w:r>
    </w:p>
    <w:p>
      <w:pPr>
        <w:pStyle w:val="14"/>
        <w:outlineLvl w:val="2"/>
        <w:rPr>
          <w:bCs w:val="0"/>
          <w:szCs w:val="24"/>
        </w:rPr>
      </w:pPr>
      <w:r>
        <w:rPr>
          <w:bCs w:val="0"/>
          <w:szCs w:val="24"/>
        </w:rPr>
        <w:t>8</w:t>
      </w:r>
      <w:r>
        <w:rPr>
          <w:rFonts w:hint="eastAsia"/>
          <w:bCs w:val="0"/>
          <w:szCs w:val="24"/>
        </w:rPr>
        <w:t>、现金及现金等价物的确定标准</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在编制现金流量表时，将本公司库存现金以及可以随时用于支付的存款确认为现金。将同时具备期限短（从购买日起三个月内到期）、流动性强、易于转换为已知现金、价值变动风险很小四个条件的投资，确定为现金等价物。</w:t>
      </w:r>
    </w:p>
    <w:p>
      <w:pPr>
        <w:pStyle w:val="14"/>
        <w:outlineLvl w:val="2"/>
        <w:rPr>
          <w:bCs w:val="0"/>
          <w:szCs w:val="24"/>
        </w:rPr>
      </w:pPr>
      <w:r>
        <w:rPr>
          <w:bCs w:val="0"/>
          <w:szCs w:val="24"/>
        </w:rPr>
        <w:t>9</w:t>
      </w:r>
      <w:r>
        <w:rPr>
          <w:rFonts w:hint="eastAsia"/>
          <w:bCs w:val="0"/>
          <w:szCs w:val="24"/>
        </w:rPr>
        <w:t>、外币业务和外币报表折算</w:t>
      </w:r>
    </w:p>
    <w:p>
      <w:pPr>
        <w:autoSpaceDE w:val="0"/>
        <w:autoSpaceDN w:val="0"/>
        <w:adjustRightInd w:val="0"/>
        <w:spacing w:before="0" w:after="0"/>
        <w:ind w:firstLine="360" w:firstLineChars="200"/>
        <w:jc w:val="left"/>
        <w:rPr>
          <w:rFonts w:eastAsia="Times New Roman"/>
          <w:kern w:val="0"/>
          <w:lang w:val="zh-CN"/>
        </w:rPr>
      </w:pPr>
      <w:r>
        <w:rPr>
          <w:rFonts w:eastAsia="Times New Roman"/>
          <w:kern w:val="0"/>
          <w:lang w:val="zh-CN"/>
        </w:rPr>
        <w:t>1.</w:t>
      </w:r>
      <w:r>
        <w:rPr>
          <w:rFonts w:hint="eastAsia" w:ascii="宋体" w:hAnsi="宋体" w:cs="宋体"/>
          <w:kern w:val="0"/>
          <w:lang w:val="zh-CN"/>
        </w:rPr>
        <w:t>外币业务</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外币业务采用交易发生日的即期汇率作为折算汇率将外币金额折合成人民币记账。</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资产负债表日外币货币性项目余额按资产负债表日即期汇率折算，由此产生的汇兑差额，除属于与购建符合资本化条件的资产相关的外币专门借款产生的汇兑差额按照借款费用资本化的原则处理外，均计入当期损益。</w:t>
      </w:r>
    </w:p>
    <w:p>
      <w:pPr>
        <w:autoSpaceDE w:val="0"/>
        <w:autoSpaceDN w:val="0"/>
        <w:adjustRightInd w:val="0"/>
        <w:spacing w:before="0" w:after="0"/>
        <w:ind w:firstLine="360" w:firstLineChars="200"/>
        <w:jc w:val="left"/>
        <w:rPr>
          <w:rFonts w:eastAsia="Times New Roman"/>
          <w:kern w:val="0"/>
          <w:lang w:val="zh-CN"/>
        </w:rPr>
      </w:pPr>
      <w:r>
        <w:rPr>
          <w:rFonts w:eastAsia="Times New Roman"/>
          <w:kern w:val="0"/>
          <w:lang w:val="zh-CN"/>
        </w:rPr>
        <w:t>2.</w:t>
      </w:r>
      <w:r>
        <w:rPr>
          <w:rFonts w:hint="eastAsia" w:ascii="宋体" w:hAnsi="宋体" w:cs="宋体"/>
          <w:kern w:val="0"/>
          <w:lang w:val="zh-CN"/>
        </w:rPr>
        <w:t>外币财务报表的折算</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资产负债表中的资产和负债项目，采用资产负债表日的即期汇率折算；所有者权益项目除</w:t>
      </w:r>
      <w:r>
        <w:rPr>
          <w:rFonts w:eastAsia="Times New Roman"/>
          <w:kern w:val="0"/>
          <w:lang w:val="zh-CN"/>
        </w:rPr>
        <w:t>“</w:t>
      </w:r>
      <w:r>
        <w:rPr>
          <w:rFonts w:hint="eastAsia" w:ascii="宋体" w:hAnsi="宋体" w:cs="宋体"/>
          <w:kern w:val="0"/>
          <w:lang w:val="zh-CN"/>
        </w:rPr>
        <w:t>未分配利润</w:t>
      </w:r>
      <w:r>
        <w:rPr>
          <w:rFonts w:eastAsia="Times New Roman"/>
          <w:kern w:val="0"/>
          <w:lang w:val="zh-CN"/>
        </w:rPr>
        <w:t>”</w:t>
      </w:r>
      <w:r>
        <w:rPr>
          <w:rFonts w:hint="eastAsia" w:ascii="宋体" w:hAnsi="宋体" w:cs="宋体"/>
          <w:kern w:val="0"/>
          <w:lang w:val="zh-CN"/>
        </w:rPr>
        <w:t>项目外，其他项目采用发生时的即期汇率折算。利润表中的收入和费用项目，采用按照系统合理的方法确定的、与交易发生日即期汇率近似的汇率折算。</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处置境外经营时，将与该境外经营相关的外币财务报表折算差额，自所有者权益项目转入处置当期损益。</w:t>
      </w:r>
    </w:p>
    <w:p>
      <w:pPr>
        <w:pStyle w:val="14"/>
        <w:outlineLvl w:val="2"/>
        <w:rPr>
          <w:bCs w:val="0"/>
          <w:szCs w:val="24"/>
        </w:rPr>
      </w:pPr>
      <w:r>
        <w:rPr>
          <w:bCs w:val="0"/>
          <w:szCs w:val="24"/>
        </w:rPr>
        <w:t>10</w:t>
      </w:r>
      <w:r>
        <w:rPr>
          <w:rFonts w:hint="eastAsia"/>
          <w:bCs w:val="0"/>
          <w:szCs w:val="24"/>
        </w:rPr>
        <w:t>、金融工具</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金融工具包括金融资产、金融负债和权益工具。</w:t>
      </w:r>
    </w:p>
    <w:p>
      <w:pPr>
        <w:numPr>
          <w:ilvl w:val="0"/>
          <w:numId w:val="3"/>
        </w:numPr>
        <w:autoSpaceDE w:val="0"/>
        <w:autoSpaceDN w:val="0"/>
        <w:adjustRightInd w:val="0"/>
        <w:spacing w:before="0" w:after="0"/>
        <w:ind w:firstLine="361" w:firstLineChars="200"/>
        <w:rPr>
          <w:rFonts w:eastAsia="Times New Roman"/>
          <w:b/>
          <w:kern w:val="0"/>
          <w:lang w:val="zh-CN"/>
        </w:rPr>
      </w:pPr>
      <w:r>
        <w:rPr>
          <w:rFonts w:hint="eastAsia" w:ascii="宋体" w:hAnsi="宋体" w:cs="宋体"/>
          <w:b/>
          <w:kern w:val="0"/>
          <w:lang w:val="zh-CN"/>
        </w:rPr>
        <w:t>金融工具的分类</w:t>
      </w:r>
    </w:p>
    <w:p>
      <w:pPr>
        <w:autoSpaceDE w:val="0"/>
        <w:autoSpaceDN w:val="0"/>
        <w:adjustRightInd w:val="0"/>
        <w:spacing w:before="0" w:after="0"/>
        <w:ind w:firstLine="361" w:firstLineChars="200"/>
        <w:rPr>
          <w:rFonts w:eastAsia="Times New Roman"/>
          <w:b/>
          <w:kern w:val="0"/>
          <w:lang w:val="zh-CN"/>
        </w:rPr>
      </w:pPr>
      <w:r>
        <w:rPr>
          <w:rFonts w:hint="eastAsia" w:ascii="宋体" w:hAnsi="宋体" w:cs="宋体"/>
          <w:b/>
          <w:kern w:val="0"/>
          <w:lang w:val="zh-CN"/>
        </w:rPr>
        <w:t>自</w:t>
      </w:r>
      <w:r>
        <w:rPr>
          <w:rFonts w:eastAsia="Times New Roman"/>
          <w:b/>
          <w:kern w:val="0"/>
          <w:lang w:val="zh-CN"/>
        </w:rPr>
        <w:t>2019</w:t>
      </w:r>
      <w:r>
        <w:rPr>
          <w:rFonts w:hint="eastAsia" w:ascii="宋体" w:hAnsi="宋体" w:cs="宋体"/>
          <w:b/>
          <w:kern w:val="0"/>
          <w:lang w:val="zh-CN"/>
        </w:rPr>
        <w:t>年</w:t>
      </w:r>
      <w:r>
        <w:rPr>
          <w:rFonts w:eastAsia="Times New Roman"/>
          <w:b/>
          <w:kern w:val="0"/>
          <w:lang w:val="zh-CN"/>
        </w:rPr>
        <w:t>1</w:t>
      </w:r>
      <w:r>
        <w:rPr>
          <w:rFonts w:hint="eastAsia" w:ascii="宋体" w:hAnsi="宋体" w:cs="宋体"/>
          <w:b/>
          <w:kern w:val="0"/>
          <w:lang w:val="zh-CN"/>
        </w:rPr>
        <w:t>月</w:t>
      </w:r>
      <w:r>
        <w:rPr>
          <w:rFonts w:eastAsia="Times New Roman"/>
          <w:b/>
          <w:kern w:val="0"/>
          <w:lang w:val="zh-CN"/>
        </w:rPr>
        <w:t>1</w:t>
      </w:r>
      <w:r>
        <w:rPr>
          <w:rFonts w:hint="eastAsia" w:ascii="宋体" w:hAnsi="宋体" w:cs="宋体"/>
          <w:b/>
          <w:kern w:val="0"/>
          <w:lang w:val="zh-CN"/>
        </w:rPr>
        <w:t>日起适用的会计政策</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根据本公司管理金融资产的业务模式和金融资产的合同现金流量特征，金融资产于初始确认时分类为：以摊余成本计量的金融资产、以公允价值计量且其变动计入其他综合收益的金融资产（债务工具）和以公允价值计量且其变动计入当期损益的金融资产。</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业务模式是以收取合同现金流量为目标且合同现金流量仅为对本金和以未偿付本金金额为基础的利息的支付的，分类为以摊余成本计量的金融资产；业务模式既以收取合同现金流量又以出售该金融资产为目标且合同现金流量仅为对本金和以未偿付本金金额为基础的利息的支付的，分类为以公允价值计量且其变动计入其他综合收益的金融资产（债务工具）；除此之外的其他金融资产，分类为以公允价值计量且其变动计入当期损益的金融资产。</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对于非交易性权益工具投资，本公司在初始确认时确定是否将其指定为以公允价值计量且其变动计入其他综合收益的金融资产（权益工具）。</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金融负债于初始确认时分类为：以公允价值计量且其变动计入当期损益的金融负债和以摊余成本计量的金融负债。</w:t>
      </w:r>
    </w:p>
    <w:p>
      <w:pPr>
        <w:autoSpaceDE w:val="0"/>
        <w:autoSpaceDN w:val="0"/>
        <w:adjustRightInd w:val="0"/>
        <w:spacing w:before="0" w:after="0"/>
        <w:ind w:firstLine="360" w:firstLineChars="200"/>
        <w:rPr>
          <w:rFonts w:eastAsia="Times New Roman"/>
          <w:b/>
          <w:kern w:val="0"/>
          <w:lang w:val="zh-CN"/>
        </w:rPr>
      </w:pPr>
      <w:r>
        <w:rPr>
          <w:rFonts w:eastAsia="Times New Roman"/>
          <w:b/>
          <w:kern w:val="0"/>
          <w:lang w:val="zh-CN"/>
        </w:rPr>
        <w:t>2019</w:t>
      </w:r>
      <w:r>
        <w:rPr>
          <w:rFonts w:hint="eastAsia" w:ascii="宋体" w:hAnsi="宋体" w:cs="宋体"/>
          <w:b/>
          <w:kern w:val="0"/>
          <w:lang w:val="zh-CN"/>
        </w:rPr>
        <w:t>年</w:t>
      </w:r>
      <w:r>
        <w:rPr>
          <w:rFonts w:eastAsia="Times New Roman"/>
          <w:b/>
          <w:kern w:val="0"/>
          <w:lang w:val="zh-CN"/>
        </w:rPr>
        <w:t>1</w:t>
      </w:r>
      <w:r>
        <w:rPr>
          <w:rFonts w:hint="eastAsia" w:ascii="宋体" w:hAnsi="宋体" w:cs="宋体"/>
          <w:b/>
          <w:kern w:val="0"/>
          <w:lang w:val="zh-CN"/>
        </w:rPr>
        <w:t>月</w:t>
      </w:r>
      <w:r>
        <w:rPr>
          <w:rFonts w:eastAsia="Times New Roman"/>
          <w:b/>
          <w:kern w:val="0"/>
          <w:lang w:val="zh-CN"/>
        </w:rPr>
        <w:t>1</w:t>
      </w:r>
      <w:r>
        <w:rPr>
          <w:rFonts w:hint="eastAsia" w:ascii="宋体" w:hAnsi="宋体" w:cs="宋体"/>
          <w:b/>
          <w:kern w:val="0"/>
          <w:lang w:val="zh-CN"/>
        </w:rPr>
        <w:t>日前适用的会计政策</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金融资产和金融负债于初始确认时分类为：以公允价值计量且其变动计入当期损益的金融资产或金融负债，包括交易性金融资产或金融负债；持有至到期投资；应收款项；可供出售金融资产；其他金融负债等。</w:t>
      </w:r>
    </w:p>
    <w:p>
      <w:pPr>
        <w:numPr>
          <w:ilvl w:val="0"/>
          <w:numId w:val="4"/>
        </w:numPr>
        <w:autoSpaceDE w:val="0"/>
        <w:autoSpaceDN w:val="0"/>
        <w:adjustRightInd w:val="0"/>
        <w:spacing w:before="0" w:after="0"/>
        <w:ind w:firstLine="361" w:firstLineChars="200"/>
        <w:rPr>
          <w:rFonts w:eastAsia="Times New Roman"/>
          <w:b/>
          <w:kern w:val="0"/>
          <w:lang w:val="zh-CN"/>
        </w:rPr>
      </w:pPr>
      <w:r>
        <w:rPr>
          <w:rFonts w:hint="eastAsia" w:ascii="宋体" w:hAnsi="宋体" w:cs="宋体"/>
          <w:b/>
          <w:kern w:val="0"/>
          <w:lang w:val="zh-CN"/>
        </w:rPr>
        <w:t>金融工具的确认依据和计量方法</w:t>
      </w:r>
    </w:p>
    <w:p>
      <w:pPr>
        <w:autoSpaceDE w:val="0"/>
        <w:autoSpaceDN w:val="0"/>
        <w:adjustRightInd w:val="0"/>
        <w:spacing w:before="0" w:after="0"/>
        <w:ind w:firstLine="361" w:firstLineChars="200"/>
        <w:rPr>
          <w:rFonts w:eastAsia="Times New Roman"/>
          <w:b/>
          <w:kern w:val="0"/>
          <w:lang w:val="zh-CN"/>
        </w:rPr>
      </w:pPr>
      <w:r>
        <w:rPr>
          <w:rFonts w:hint="eastAsia" w:ascii="宋体" w:hAnsi="宋体" w:cs="宋体"/>
          <w:b/>
          <w:kern w:val="0"/>
          <w:lang w:val="zh-CN"/>
        </w:rPr>
        <w:t>自</w:t>
      </w:r>
      <w:r>
        <w:rPr>
          <w:rFonts w:eastAsia="Times New Roman"/>
          <w:b/>
          <w:kern w:val="0"/>
          <w:lang w:val="zh-CN"/>
        </w:rPr>
        <w:t>2019</w:t>
      </w:r>
      <w:r>
        <w:rPr>
          <w:rFonts w:hint="eastAsia" w:ascii="宋体" w:hAnsi="宋体" w:cs="宋体"/>
          <w:b/>
          <w:kern w:val="0"/>
          <w:lang w:val="zh-CN"/>
        </w:rPr>
        <w:t>年</w:t>
      </w:r>
      <w:r>
        <w:rPr>
          <w:rFonts w:eastAsia="Times New Roman"/>
          <w:b/>
          <w:kern w:val="0"/>
          <w:lang w:val="zh-CN"/>
        </w:rPr>
        <w:t>1</w:t>
      </w:r>
      <w:r>
        <w:rPr>
          <w:rFonts w:hint="eastAsia" w:ascii="宋体" w:hAnsi="宋体" w:cs="宋体"/>
          <w:b/>
          <w:kern w:val="0"/>
          <w:lang w:val="zh-CN"/>
        </w:rPr>
        <w:t>月</w:t>
      </w:r>
      <w:r>
        <w:rPr>
          <w:rFonts w:eastAsia="Times New Roman"/>
          <w:b/>
          <w:kern w:val="0"/>
          <w:lang w:val="zh-CN"/>
        </w:rPr>
        <w:t>1</w:t>
      </w:r>
      <w:r>
        <w:rPr>
          <w:rFonts w:hint="eastAsia" w:ascii="宋体" w:hAnsi="宋体" w:cs="宋体"/>
          <w:b/>
          <w:kern w:val="0"/>
          <w:lang w:val="zh-CN"/>
        </w:rPr>
        <w:t>日起适用的会计政策</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）以摊余成本计量的金融资产</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以摊余成本计量的金融资产包括应收票据、应收账款、其他应收款、长期应收款、债权投资等，按公允价值进行初始计量，相关交易费用计入初始确认金额；不包含重大融资成分的应收账款以及本公司决定不考虑不超过一年的融资成分的应收账款，以合同交易价格进行初始计量。</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持有期间采用实际利率法计算的利息计入当期损益。</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收回或处置时，将取得的价款与该金融资产账面价值之间的差额计入当期损益。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）以公允价值计量且其变动计入其他综合收益的金融资产（债务工具）</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以公允价值计量且其变动计入其他综合收益的金融资产（债务工具）包括应收款项融资、其他债权投资等，按公允价值进行初始计量，相关交易费用计入初始确认金额。该金融资产按公允价值进行后续计量，公允价值变动除采用实际利率法计算的利息、减值损失或利得和汇兑损益之外，均计入其他综合收益。</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终止确认时，之前计入其他综合收益的累计利得或损失从其他综合收益中转出，计入当期损益。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）以公允价值计量且其变动计入其他综合收益的金融资产（权益工具）</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以公允价值计量且其变动计入其他综合收益的金融资产（权益工具）包括其他权益工具投资等，按公允价值进行初始计量，相关交易费用计入初始确认金额。该金融资产按公允价值进行后续计量，公允价值变动计入其他综合收益。取得的股利计入当期损益。</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终止确认时，之前计入其他综合收益的累计利得或损失从其他综合收益中转出，计入留存收益。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4</w:t>
      </w:r>
      <w:r>
        <w:rPr>
          <w:rFonts w:hint="eastAsia" w:ascii="宋体" w:hAnsi="宋体" w:cs="宋体"/>
          <w:kern w:val="0"/>
          <w:lang w:val="zh-CN"/>
        </w:rPr>
        <w:t>）以公允价值计量且其变动计入当期损益的金融资产</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以公允价值计量且其变动计入当期损益的金融资产包括交易性金融资产、衍生金融资产、其他非流动金融资产等，按公允价值进行初始计量，相关交易费用计入当期损益。该金融资产按公允价值进行后续计量，公允价值变动计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5</w:t>
      </w:r>
      <w:r>
        <w:rPr>
          <w:rFonts w:hint="eastAsia" w:ascii="宋体" w:hAnsi="宋体" w:cs="宋体"/>
          <w:kern w:val="0"/>
          <w:lang w:val="zh-CN"/>
        </w:rPr>
        <w:t>）以公允价值计量且其变动计入当期损益的金融负债</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以公允价值计量且其变动计入当期损益的金融负债包括交易性金融负债、衍生金融负债等，按公允价值进行初始计量，相关交易费用计入当期损益。该金融负债按公允价值进行后续计量，公允价值变动计入当期损益。</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终止确认时，其账面价值与支付的对价之间的差额计入当期损益。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6</w:t>
      </w:r>
      <w:r>
        <w:rPr>
          <w:rFonts w:hint="eastAsia" w:ascii="宋体" w:hAnsi="宋体" w:cs="宋体"/>
          <w:kern w:val="0"/>
          <w:lang w:val="zh-CN"/>
        </w:rPr>
        <w:t>）以摊余成本计量的金融负债</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以摊余成本计量的金融负债包括短期借款、应付票据、应付账款、其他应付款、长期借款、应付债券、长期应付款，按公允价值进行初始计量，相关交易费用计入初始确认金额。</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持有期间采用实际利率法计算的利息计入当期损益。</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终止确认时，将支付的对价与该金融负债账面价值之间的差额计入当期损益。</w:t>
      </w:r>
    </w:p>
    <w:p>
      <w:pPr>
        <w:autoSpaceDE w:val="0"/>
        <w:autoSpaceDN w:val="0"/>
        <w:adjustRightInd w:val="0"/>
        <w:spacing w:before="0" w:after="0"/>
        <w:ind w:firstLine="360" w:firstLineChars="200"/>
        <w:rPr>
          <w:rFonts w:eastAsia="Times New Roman"/>
          <w:b/>
          <w:kern w:val="0"/>
          <w:lang w:val="zh-CN"/>
        </w:rPr>
      </w:pPr>
      <w:r>
        <w:rPr>
          <w:rFonts w:eastAsia="Times New Roman"/>
          <w:b/>
          <w:kern w:val="0"/>
          <w:lang w:val="zh-CN"/>
        </w:rPr>
        <w:t>2019</w:t>
      </w:r>
      <w:r>
        <w:rPr>
          <w:rFonts w:hint="eastAsia" w:ascii="宋体" w:hAnsi="宋体" w:cs="宋体"/>
          <w:b/>
          <w:kern w:val="0"/>
          <w:lang w:val="zh-CN"/>
        </w:rPr>
        <w:t>年</w:t>
      </w:r>
      <w:r>
        <w:rPr>
          <w:rFonts w:eastAsia="Times New Roman"/>
          <w:b/>
          <w:kern w:val="0"/>
          <w:lang w:val="zh-CN"/>
        </w:rPr>
        <w:t>1</w:t>
      </w:r>
      <w:r>
        <w:rPr>
          <w:rFonts w:hint="eastAsia" w:ascii="宋体" w:hAnsi="宋体" w:cs="宋体"/>
          <w:b/>
          <w:kern w:val="0"/>
          <w:lang w:val="zh-CN"/>
        </w:rPr>
        <w:t>月</w:t>
      </w:r>
      <w:r>
        <w:rPr>
          <w:rFonts w:eastAsia="Times New Roman"/>
          <w:b/>
          <w:kern w:val="0"/>
          <w:lang w:val="zh-CN"/>
        </w:rPr>
        <w:t>1</w:t>
      </w:r>
      <w:r>
        <w:rPr>
          <w:rFonts w:hint="eastAsia" w:ascii="宋体" w:hAnsi="宋体" w:cs="宋体"/>
          <w:b/>
          <w:kern w:val="0"/>
          <w:lang w:val="zh-CN"/>
        </w:rPr>
        <w:t>日前适用的会计政策</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）以公允价值计量且其变动计入当期损益的金融资产（金融负债）</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取得时以公允价值（扣除已宣告但尚未发放的现金股利或已到付息期但尚未领取的债券利息）作为初始确认金额，相关的交易费用计入当期损益。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持有期间将取得的利息或现金股利确认为投资收益，期末将公允价值变动计入当期损益。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处置时，其公允价值与初始入账金额之间的差额确认为投资收益，同时调整公允价值变动损益。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）持有至到期投资</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取得时按公允价值（扣除已到付息期但尚未领取的债券利息）和相关交易费用之和作为初始确认金额。</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持有期间按照摊余成本和实际利率计算确认利息收入，计入投资收益。实际利率在取得时确定，在该预期存续期间或适用的更短期间内保持不变。</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处置时，将所取得价款与该投资账面价值之间的差额计入投资收益。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）应收款项</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公司对外销售商品或提供劳务形成的应收债权，以及公司持有的其他企业的不包括在活跃市场上有报价的债务工具的债权，包括应收账款、其他应收款等，以向购货方应收的合同或协议价款作为初始确认金额；具有融资性质的，按其现值进行初始确认。</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收回或处置时，将取得的价款与该应收款项账面价值之间的差额计入当期损益。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4</w:t>
      </w:r>
      <w:r>
        <w:rPr>
          <w:rFonts w:hint="eastAsia" w:ascii="宋体" w:hAnsi="宋体" w:cs="宋体"/>
          <w:kern w:val="0"/>
          <w:lang w:val="zh-CN"/>
        </w:rPr>
        <w:t>）可供出售金融资产</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取得时按公允价值（扣除已宣告但尚未发放的现金股利或已到付息期但尚未领取的债券利息）和相关交易费用之和作为初始确认金额。</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持有期间将取得的利息或现金股利确认为投资收益。期末以公允价值计量且将公允价值变动计入其他综合收益。但是，在活跃市场中没有报价且其公允价值不能可靠计量的权益工具投资，以及与该权益工具挂钩并须通过交付该权益工具结算的衍生金融资产，按照成本计量。</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处置时，将取得的价款与该金融资产账面价值之间的差额，计入投资损益；同时，将原直接计入其他综合收益的公允价值变动累计额对应处置部分的金额转出，计入当期损益。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5</w:t>
      </w:r>
      <w:r>
        <w:rPr>
          <w:rFonts w:hint="eastAsia" w:ascii="宋体" w:hAnsi="宋体" w:cs="宋体"/>
          <w:kern w:val="0"/>
          <w:lang w:val="zh-CN"/>
        </w:rPr>
        <w:t>）其他金融负债</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按其公允价值和相关交易费用之和作为初始确认金额。采用摊余成本进行后续计量。</w:t>
      </w:r>
    </w:p>
    <w:p>
      <w:pPr>
        <w:numPr>
          <w:ilvl w:val="0"/>
          <w:numId w:val="5"/>
        </w:numPr>
        <w:autoSpaceDE w:val="0"/>
        <w:autoSpaceDN w:val="0"/>
        <w:adjustRightInd w:val="0"/>
        <w:spacing w:before="0" w:after="0"/>
        <w:ind w:firstLine="361" w:firstLineChars="200"/>
        <w:rPr>
          <w:rFonts w:eastAsia="Times New Roman"/>
          <w:b/>
          <w:kern w:val="0"/>
          <w:lang w:val="zh-CN"/>
        </w:rPr>
      </w:pPr>
      <w:r>
        <w:rPr>
          <w:rFonts w:hint="eastAsia" w:ascii="宋体" w:hAnsi="宋体" w:cs="宋体"/>
          <w:b/>
          <w:kern w:val="0"/>
          <w:lang w:val="zh-CN"/>
        </w:rPr>
        <w:t>金融资产转移的确认依据和计量方法</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公司发生金融资产转移时，如已将金融资产所有权上几乎所有的风险和报酬转移给转入方，则终止确认该金融资产；如保留了金融资产所有权上几乎所有的风险和报酬的，则不终止确认该金融资产。</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在判断金融资产转移是否满足上述金融资产终止确认条件时，采用实质重于形式的原则。</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公司将金融资产转移区分为金融资产整体转移和部分转移。金融资产整体转移满足终止确认条件的，将下列两项金额的差额计入当期损益：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）所转移金融资产的账面价值；</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）因转移而收到的对价，与原直接计入所有者权益的公允价值变动累计额（涉及转移的金融资产为以公允价值计量且其变动计入其他综合收益的金融资产（债务工具）、可供出售金融资产的情形）之和。</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金融资产部分转移满足终止确认条件的，将所转移金融资产整体的账面价值，在终止确认部分和未终止确认部分之间，按照各自的相对公允价值进行分摊，并将下列两项金额的差额计入当期损益：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）终止确认部分的账面价值；</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终止确认部分的对价，与原直接计入所有者权益的公允价值变动累计额中对应终止确认部分的金额（涉及转移的金融资产为以公允价值计量且其变动计入其他综合收益的金融资产（债务工具）、可供出售金融资产的情形）之和。</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金融资产转移不满足终止确认条件的，继续确认该金融资产，所收到的对价确认为一项金融负债。</w:t>
      </w:r>
    </w:p>
    <w:p>
      <w:pPr>
        <w:numPr>
          <w:ilvl w:val="0"/>
          <w:numId w:val="6"/>
        </w:numPr>
        <w:autoSpaceDE w:val="0"/>
        <w:autoSpaceDN w:val="0"/>
        <w:adjustRightInd w:val="0"/>
        <w:spacing w:before="0" w:after="0"/>
        <w:ind w:firstLine="361" w:firstLineChars="200"/>
        <w:rPr>
          <w:rFonts w:eastAsia="Times New Roman"/>
          <w:b/>
          <w:kern w:val="0"/>
          <w:lang w:val="zh-CN"/>
        </w:rPr>
      </w:pPr>
      <w:r>
        <w:rPr>
          <w:rFonts w:hint="eastAsia" w:ascii="宋体" w:hAnsi="宋体" w:cs="宋体"/>
          <w:b/>
          <w:kern w:val="0"/>
          <w:lang w:val="zh-CN"/>
        </w:rPr>
        <w:t>金融负债终止确认条件</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金融负债的现时义务全部或部分已经解除的，则终止确认该金融负债或其一部分；本公司若与债权人签定协议，以承担新金融负债方式替换现存金融负债，且新金融负债与现存金融负债的合同条款实质上不同的，则终止确认现存金融负债，并同时确认新金融负债。</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对现存金融负债全部或部分合同条款作出实质性修改的，则终止确认现存金融负债或其一部分，同时将修改条款后的金融负债确认为一项新金融负债。</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金融负债全部或部分终止确认时，终止确认的金融负债账面价值与支付对价（包括转出的非现金资产或承担的新金融负债）之间的差额，计入当期损益。</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本公司若回购部分金融负债的，在回购日按照继续确认部分与终止确认部分的相对公允价值，将该金融负债整体的账面价值进行分配。分配给终止确认部分的账面价值与支付的对价（包括转出的非现金资产或承担的新金融负债）之间的差额，计入当期损益。</w:t>
      </w:r>
    </w:p>
    <w:p>
      <w:pPr>
        <w:numPr>
          <w:ilvl w:val="0"/>
          <w:numId w:val="7"/>
        </w:numPr>
        <w:autoSpaceDE w:val="0"/>
        <w:autoSpaceDN w:val="0"/>
        <w:adjustRightInd w:val="0"/>
        <w:spacing w:before="0" w:after="0"/>
        <w:ind w:firstLine="361" w:firstLineChars="200"/>
        <w:rPr>
          <w:rFonts w:eastAsia="Times New Roman"/>
          <w:b/>
          <w:kern w:val="0"/>
          <w:lang w:val="zh-CN"/>
        </w:rPr>
      </w:pPr>
      <w:r>
        <w:rPr>
          <w:rFonts w:hint="eastAsia" w:ascii="宋体" w:hAnsi="宋体" w:cs="宋体"/>
          <w:b/>
          <w:kern w:val="0"/>
          <w:lang w:val="zh-CN"/>
        </w:rPr>
        <w:t>金融资产和金融负债的公允价值的确定方法</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pPr>
        <w:numPr>
          <w:ilvl w:val="0"/>
          <w:numId w:val="8"/>
        </w:numPr>
        <w:autoSpaceDE w:val="0"/>
        <w:autoSpaceDN w:val="0"/>
        <w:adjustRightInd w:val="0"/>
        <w:spacing w:before="0" w:after="0"/>
        <w:ind w:firstLine="361" w:firstLineChars="200"/>
        <w:rPr>
          <w:rFonts w:eastAsia="Times New Roman"/>
          <w:b/>
          <w:kern w:val="0"/>
          <w:lang w:val="zh-CN"/>
        </w:rPr>
      </w:pPr>
      <w:r>
        <w:rPr>
          <w:rFonts w:hint="eastAsia" w:ascii="宋体" w:hAnsi="宋体" w:cs="宋体"/>
          <w:b/>
          <w:kern w:val="0"/>
          <w:lang w:val="zh-CN"/>
        </w:rPr>
        <w:t>金融资产减值的测试方法及会计处理方法</w:t>
      </w:r>
    </w:p>
    <w:p>
      <w:pPr>
        <w:autoSpaceDE w:val="0"/>
        <w:autoSpaceDN w:val="0"/>
        <w:adjustRightInd w:val="0"/>
        <w:spacing w:before="0" w:after="0"/>
        <w:ind w:firstLine="361" w:firstLineChars="200"/>
        <w:rPr>
          <w:rFonts w:eastAsia="Times New Roman"/>
          <w:b/>
          <w:kern w:val="0"/>
          <w:lang w:val="zh-CN"/>
        </w:rPr>
      </w:pPr>
      <w:r>
        <w:rPr>
          <w:rFonts w:hint="eastAsia" w:ascii="宋体" w:hAnsi="宋体" w:cs="宋体"/>
          <w:b/>
          <w:kern w:val="0"/>
          <w:lang w:val="zh-CN"/>
        </w:rPr>
        <w:t>自</w:t>
      </w:r>
      <w:r>
        <w:rPr>
          <w:rFonts w:eastAsia="Times New Roman"/>
          <w:b/>
          <w:kern w:val="0"/>
          <w:lang w:val="zh-CN"/>
        </w:rPr>
        <w:t>2019</w:t>
      </w:r>
      <w:r>
        <w:rPr>
          <w:rFonts w:hint="eastAsia" w:ascii="宋体" w:hAnsi="宋体" w:cs="宋体"/>
          <w:b/>
          <w:kern w:val="0"/>
          <w:lang w:val="zh-CN"/>
        </w:rPr>
        <w:t>年</w:t>
      </w:r>
      <w:r>
        <w:rPr>
          <w:rFonts w:eastAsia="Times New Roman"/>
          <w:b/>
          <w:kern w:val="0"/>
          <w:lang w:val="zh-CN"/>
        </w:rPr>
        <w:t>1</w:t>
      </w:r>
      <w:r>
        <w:rPr>
          <w:rFonts w:hint="eastAsia" w:ascii="宋体" w:hAnsi="宋体" w:cs="宋体"/>
          <w:b/>
          <w:kern w:val="0"/>
          <w:lang w:val="zh-CN"/>
        </w:rPr>
        <w:t>月</w:t>
      </w:r>
      <w:r>
        <w:rPr>
          <w:rFonts w:eastAsia="Times New Roman"/>
          <w:b/>
          <w:kern w:val="0"/>
          <w:lang w:val="zh-CN"/>
        </w:rPr>
        <w:t>1</w:t>
      </w:r>
      <w:r>
        <w:rPr>
          <w:rFonts w:hint="eastAsia" w:ascii="宋体" w:hAnsi="宋体" w:cs="宋体"/>
          <w:b/>
          <w:kern w:val="0"/>
          <w:lang w:val="zh-CN"/>
        </w:rPr>
        <w:t>日起适用的会计政策</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考虑所有合理且有依据的信息，包括前瞻性信息，以单项或组合的方式对以摊余成本计量的金融资产和以公允价值计量且其变动计入其他综合收益的金融资产（债务工具）的预期信用损失进行估计。预期信用损失的计量取决于金融资产自初始确认后是否发生信用风险显著增加。</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如果该金融工具的信用风险自初始确认后已显著增加，本公司按照相当于该金融工具整个存续期内预期信用损失的金额计量其损失准备；如果该金融工具的信用风险自初始确认后并未显著增加，本公司按照相当于该金融工具未来</w:t>
      </w:r>
      <w:r>
        <w:rPr>
          <w:rFonts w:eastAsia="Times New Roman"/>
          <w:kern w:val="0"/>
          <w:lang w:val="zh-CN"/>
        </w:rPr>
        <w:t>12</w:t>
      </w:r>
      <w:r>
        <w:rPr>
          <w:rFonts w:hint="eastAsia" w:ascii="宋体" w:hAnsi="宋体" w:cs="宋体"/>
          <w:kern w:val="0"/>
          <w:lang w:val="zh-CN"/>
        </w:rPr>
        <w:t>个月内预期信用损失的金额计量其损失准备。由此形成的损失准备的增加或转回金额，作为减值损失或利得计入当期损益。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通常逾期超过</w:t>
      </w:r>
      <w:r>
        <w:rPr>
          <w:rFonts w:eastAsia="Times New Roman"/>
          <w:kern w:val="0"/>
          <w:lang w:val="zh-CN"/>
        </w:rPr>
        <w:t>30</w:t>
      </w:r>
      <w:r>
        <w:rPr>
          <w:rFonts w:hint="eastAsia" w:ascii="宋体" w:hAnsi="宋体" w:cs="宋体"/>
          <w:kern w:val="0"/>
          <w:lang w:val="zh-CN"/>
        </w:rPr>
        <w:t>日，本公司即认为该金融工具的信用风险已显著增加，除非有确凿证据证明该金融工具的信用风险自初始确认后并未显著增加。</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如果金融工具于资产负债表日的信用风险较低，本公司即认为该金融工具的信用风险自初始确认后并未显著增加。</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如果有客观证据表明某项金融资产已经发生信用减值，则本公司在单项基础上对该金融资产计提减值准备。</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对于应收账款，无论是否包含重大融资成分，本公司始终按照相当于整个存续期内预期信用损失的金额计量其损失准备。</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对于租赁应收款、公司通过销售商品或提供劳务形成的长期应收款，本公司选择始终按照相当于整个存续期内预期信用损失的金额计量其损失准备。</w:t>
      </w:r>
    </w:p>
    <w:p>
      <w:pPr>
        <w:autoSpaceDE w:val="0"/>
        <w:autoSpaceDN w:val="0"/>
        <w:adjustRightInd w:val="0"/>
        <w:spacing w:before="0" w:after="0"/>
        <w:ind w:firstLine="360" w:firstLineChars="200"/>
        <w:rPr>
          <w:rFonts w:eastAsia="Times New Roman"/>
          <w:b/>
          <w:kern w:val="0"/>
          <w:lang w:val="zh-CN"/>
        </w:rPr>
      </w:pPr>
      <w:r>
        <w:rPr>
          <w:rFonts w:eastAsia="Times New Roman"/>
          <w:b/>
          <w:kern w:val="0"/>
          <w:lang w:val="zh-CN"/>
        </w:rPr>
        <w:t>2019</w:t>
      </w:r>
      <w:r>
        <w:rPr>
          <w:rFonts w:hint="eastAsia" w:ascii="宋体" w:hAnsi="宋体" w:cs="宋体"/>
          <w:b/>
          <w:kern w:val="0"/>
          <w:lang w:val="zh-CN"/>
        </w:rPr>
        <w:t>年</w:t>
      </w:r>
      <w:r>
        <w:rPr>
          <w:rFonts w:eastAsia="Times New Roman"/>
          <w:b/>
          <w:kern w:val="0"/>
          <w:lang w:val="zh-CN"/>
        </w:rPr>
        <w:t>1</w:t>
      </w:r>
      <w:r>
        <w:rPr>
          <w:rFonts w:hint="eastAsia" w:ascii="宋体" w:hAnsi="宋体" w:cs="宋体"/>
          <w:b/>
          <w:kern w:val="0"/>
          <w:lang w:val="zh-CN"/>
        </w:rPr>
        <w:t>月</w:t>
      </w:r>
      <w:r>
        <w:rPr>
          <w:rFonts w:eastAsia="Times New Roman"/>
          <w:b/>
          <w:kern w:val="0"/>
          <w:lang w:val="zh-CN"/>
        </w:rPr>
        <w:t>1</w:t>
      </w:r>
      <w:r>
        <w:rPr>
          <w:rFonts w:hint="eastAsia" w:ascii="宋体" w:hAnsi="宋体" w:cs="宋体"/>
          <w:b/>
          <w:kern w:val="0"/>
          <w:lang w:val="zh-CN"/>
        </w:rPr>
        <w:t>日前适用的会计政策</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除以公允价值计量且其变动计入当期损益的金融资产外，本公司于资产负债表日对金融资产的账面价值进行检查，如果有客观证据表明某项金融资产发生减值的，计提减值准备。</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）可供出售金融资产的减值准备：</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期末如果可供出售权益工具投资的公允价值发生严重下降，或在综合考虑各种相关因素后，预期这种下降趋势属于非暂时性的，就认定其已发生减值，将原直接计入所有者权益的公允价值下降形成的累计损失一并转出，确认减值损失。</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对于已确认减值损失的可供出售债务工具，在随后的会计期间公允价值已上升且客观上与确认原减值损失确认后发生的事项有关的，原确认的减值损失予以转回，计入当期损益。</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可供出售权益工具投资发生的减值损失，不通过损益转回。</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）应收款项坏账准备：</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①单项金额重大并单独计提坏账准备的应收款项：</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单项金额重大的判断依据或金额标准：</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单项金额重大并单独计提坏账准备的计提方法：应收款项余额前五名。</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单独进行减值测试，按预计未来现金流量现值低于其账面价值的差额计提坏账准备，计入当期损益。如经单独测试后未发现减值迹象的单项金额重大应收款项则按账龄作为类似信用风险特征划分为若干组合，参照按组合计提坏账准备的计提方法计提坏账准备。</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②按信用风险特征组合计提坏账准备应收款项：</w:t>
      </w:r>
    </w:p>
    <w:tbl>
      <w:tblPr>
        <w:tblStyle w:val="9"/>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 w:type="dxa"/>
          <w:left w:w="10" w:type="dxa"/>
          <w:bottom w:w="10" w:type="dxa"/>
          <w:right w:w="10" w:type="dxa"/>
        </w:tblCellMar>
      </w:tblPr>
      <w:tblGrid>
        <w:gridCol w:w="855"/>
        <w:gridCol w:w="7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8529" w:type="dxa"/>
            <w:gridSpan w:val="2"/>
          </w:tcPr>
          <w:p>
            <w:pPr>
              <w:autoSpaceDE w:val="0"/>
              <w:autoSpaceDN w:val="0"/>
              <w:adjustRightInd w:val="0"/>
              <w:spacing w:before="0" w:after="0"/>
              <w:ind w:left="15"/>
              <w:jc w:val="center"/>
              <w:rPr>
                <w:rFonts w:eastAsia="Times New Roman"/>
                <w:kern w:val="0"/>
                <w:szCs w:val="24"/>
                <w:lang w:val="zh-CN"/>
              </w:rPr>
            </w:pPr>
            <w:r>
              <w:rPr>
                <w:rFonts w:hint="eastAsia" w:ascii="宋体" w:hAnsi="宋体" w:cs="宋体"/>
                <w:kern w:val="0"/>
                <w:szCs w:val="24"/>
                <w:lang w:val="zh-CN"/>
              </w:rPr>
              <w:t>确定组合的依据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855" w:type="dxa"/>
          </w:tcPr>
          <w:p>
            <w:pPr>
              <w:autoSpaceDE w:val="0"/>
              <w:autoSpaceDN w:val="0"/>
              <w:adjustRightInd w:val="0"/>
              <w:spacing w:before="0" w:after="0"/>
              <w:ind w:left="15"/>
              <w:jc w:val="left"/>
              <w:rPr>
                <w:rFonts w:eastAsia="Times New Roman"/>
                <w:kern w:val="0"/>
                <w:szCs w:val="24"/>
                <w:lang w:val="zh-CN"/>
              </w:rPr>
            </w:pPr>
            <w:r>
              <w:rPr>
                <w:rFonts w:hint="eastAsia" w:ascii="宋体" w:hAnsi="宋体" w:cs="宋体"/>
                <w:kern w:val="0"/>
                <w:szCs w:val="24"/>
                <w:lang w:val="zh-CN"/>
              </w:rPr>
              <w:t>组合</w:t>
            </w:r>
            <w:r>
              <w:rPr>
                <w:rFonts w:eastAsia="Times New Roman"/>
                <w:kern w:val="0"/>
                <w:szCs w:val="24"/>
                <w:lang w:val="zh-CN"/>
              </w:rPr>
              <w:t>1</w:t>
            </w:r>
          </w:p>
        </w:tc>
        <w:tc>
          <w:tcPr>
            <w:tcW w:w="7674" w:type="dxa"/>
          </w:tcPr>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有客观证据表明其风险特征与账龄分析组合存在显著差异的应收款项。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855" w:type="dxa"/>
          </w:tcPr>
          <w:p>
            <w:pPr>
              <w:autoSpaceDE w:val="0"/>
              <w:autoSpaceDN w:val="0"/>
              <w:adjustRightInd w:val="0"/>
              <w:spacing w:before="0" w:after="0"/>
              <w:ind w:left="15"/>
              <w:jc w:val="left"/>
              <w:rPr>
                <w:rFonts w:eastAsia="Times New Roman"/>
                <w:kern w:val="0"/>
                <w:szCs w:val="24"/>
                <w:lang w:val="zh-CN"/>
              </w:rPr>
            </w:pPr>
            <w:r>
              <w:rPr>
                <w:rFonts w:hint="eastAsia" w:ascii="宋体" w:hAnsi="宋体" w:cs="宋体"/>
                <w:kern w:val="0"/>
                <w:szCs w:val="24"/>
                <w:lang w:val="zh-CN"/>
              </w:rPr>
              <w:t>组合</w:t>
            </w:r>
            <w:r>
              <w:rPr>
                <w:rFonts w:eastAsia="Times New Roman"/>
                <w:kern w:val="0"/>
                <w:szCs w:val="24"/>
                <w:lang w:val="zh-CN"/>
              </w:rPr>
              <w:t>2</w:t>
            </w:r>
          </w:p>
        </w:tc>
        <w:tc>
          <w:tcPr>
            <w:tcW w:w="7674" w:type="dxa"/>
          </w:tcPr>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其他不重大应收账款及经单独测试后未发现减值迹象的单项金额重大应收款项（不含组合</w:t>
            </w:r>
            <w:r>
              <w:rPr>
                <w:rFonts w:eastAsia="Times New Roman"/>
                <w:kern w:val="0"/>
                <w:szCs w:val="24"/>
                <w:lang w:val="zh-CN"/>
              </w:rPr>
              <w:t>1</w:t>
            </w:r>
            <w:r>
              <w:rPr>
                <w:rFonts w:hint="eastAsia" w:ascii="宋体" w:hAnsi="宋体" w:cs="宋体"/>
                <w:kern w:val="0"/>
                <w:szCs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8529" w:type="dxa"/>
            <w:gridSpan w:val="2"/>
          </w:tcPr>
          <w:p>
            <w:pPr>
              <w:autoSpaceDE w:val="0"/>
              <w:autoSpaceDN w:val="0"/>
              <w:adjustRightInd w:val="0"/>
              <w:spacing w:before="0" w:after="0"/>
              <w:ind w:left="15"/>
              <w:jc w:val="center"/>
              <w:rPr>
                <w:rFonts w:eastAsia="Times New Roman"/>
                <w:kern w:val="0"/>
                <w:szCs w:val="24"/>
                <w:lang w:val="zh-CN"/>
              </w:rPr>
            </w:pPr>
            <w:r>
              <w:rPr>
                <w:rFonts w:hint="eastAsia" w:ascii="宋体" w:hAnsi="宋体" w:cs="宋体"/>
                <w:kern w:val="0"/>
                <w:szCs w:val="24"/>
                <w:lang w:val="zh-CN"/>
              </w:rPr>
              <w:t>按组合计提坏账准备的计提方法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855" w:type="dxa"/>
          </w:tcPr>
          <w:p>
            <w:pPr>
              <w:autoSpaceDE w:val="0"/>
              <w:autoSpaceDN w:val="0"/>
              <w:adjustRightInd w:val="0"/>
              <w:spacing w:before="0" w:after="0"/>
              <w:ind w:left="15"/>
              <w:jc w:val="left"/>
              <w:rPr>
                <w:rFonts w:eastAsia="Times New Roman"/>
                <w:kern w:val="0"/>
                <w:szCs w:val="24"/>
                <w:lang w:val="zh-CN"/>
              </w:rPr>
            </w:pPr>
            <w:r>
              <w:rPr>
                <w:rFonts w:hint="eastAsia" w:ascii="宋体" w:hAnsi="宋体" w:cs="宋体"/>
                <w:kern w:val="0"/>
                <w:szCs w:val="24"/>
                <w:lang w:val="zh-CN"/>
              </w:rPr>
              <w:t>组合</w:t>
            </w:r>
            <w:r>
              <w:rPr>
                <w:rFonts w:eastAsia="Times New Roman"/>
                <w:kern w:val="0"/>
                <w:szCs w:val="24"/>
                <w:lang w:val="zh-CN"/>
              </w:rPr>
              <w:t>1</w:t>
            </w:r>
          </w:p>
        </w:tc>
        <w:tc>
          <w:tcPr>
            <w:tcW w:w="7674" w:type="dxa"/>
          </w:tcPr>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单独进行减值测试，根据其未来现金流量现值低于其账面价值的差额计提坏账准备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855" w:type="dxa"/>
          </w:tcPr>
          <w:p>
            <w:pPr>
              <w:autoSpaceDE w:val="0"/>
              <w:autoSpaceDN w:val="0"/>
              <w:adjustRightInd w:val="0"/>
              <w:spacing w:before="0" w:after="0"/>
              <w:ind w:left="15"/>
              <w:jc w:val="left"/>
              <w:rPr>
                <w:rFonts w:eastAsia="Times New Roman"/>
                <w:kern w:val="0"/>
                <w:szCs w:val="24"/>
                <w:lang w:val="zh-CN"/>
              </w:rPr>
            </w:pPr>
            <w:r>
              <w:rPr>
                <w:rFonts w:hint="eastAsia" w:ascii="宋体" w:hAnsi="宋体" w:cs="宋体"/>
                <w:kern w:val="0"/>
                <w:szCs w:val="24"/>
                <w:lang w:val="zh-CN"/>
              </w:rPr>
              <w:t>组合</w:t>
            </w:r>
            <w:r>
              <w:rPr>
                <w:rFonts w:eastAsia="Times New Roman"/>
                <w:kern w:val="0"/>
                <w:szCs w:val="24"/>
                <w:lang w:val="zh-CN"/>
              </w:rPr>
              <w:t>2</w:t>
            </w:r>
          </w:p>
        </w:tc>
        <w:tc>
          <w:tcPr>
            <w:tcW w:w="7674" w:type="dxa"/>
          </w:tcPr>
          <w:p>
            <w:pPr>
              <w:autoSpaceDE w:val="0"/>
              <w:autoSpaceDN w:val="0"/>
              <w:adjustRightInd w:val="0"/>
              <w:spacing w:before="0" w:after="0"/>
              <w:jc w:val="left"/>
              <w:rPr>
                <w:rFonts w:eastAsia="Times New Roman"/>
                <w:kern w:val="0"/>
                <w:szCs w:val="24"/>
                <w:lang w:val="zh-CN"/>
              </w:rPr>
            </w:pPr>
            <w:r>
              <w:rPr>
                <w:rFonts w:hint="eastAsia" w:ascii="宋体" w:hAnsi="宋体" w:cs="宋体"/>
                <w:kern w:val="0"/>
                <w:szCs w:val="24"/>
                <w:lang w:val="zh-CN"/>
              </w:rPr>
              <w:t>账龄分析法</w:t>
            </w:r>
          </w:p>
        </w:tc>
      </w:tr>
    </w:tbl>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组合中，采用账龄分析法计提坏账准备的：</w:t>
      </w:r>
    </w:p>
    <w:tbl>
      <w:tblPr>
        <w:tblStyle w:val="9"/>
        <w:tblW w:w="0" w:type="auto"/>
        <w:tblInd w:w="10" w:type="dxa"/>
        <w:tblBorders>
          <w:top w:val="single" w:color="auto" w:sz="6" w:space="0"/>
          <w:left w:val="single" w:color="auto" w:sz="6" w:space="0"/>
          <w:bottom w:val="single" w:color="auto" w:sz="12" w:space="0"/>
          <w:right w:val="none" w:color="auto" w:sz="0" w:space="0"/>
          <w:insideH w:val="single" w:color="auto" w:sz="6" w:space="0"/>
          <w:insideV w:val="single" w:color="auto" w:sz="6" w:space="0"/>
        </w:tblBorders>
        <w:tblLayout w:type="fixed"/>
        <w:tblCellMar>
          <w:top w:w="10" w:type="dxa"/>
          <w:left w:w="10" w:type="dxa"/>
          <w:bottom w:w="10" w:type="dxa"/>
          <w:right w:w="10" w:type="dxa"/>
        </w:tblCellMar>
      </w:tblPr>
      <w:tblGrid>
        <w:gridCol w:w="2841"/>
        <w:gridCol w:w="2844"/>
        <w:gridCol w:w="2844"/>
      </w:tblGrid>
      <w:tr>
        <w:tblPrEx>
          <w:tblBorders>
            <w:top w:val="single" w:color="auto" w:sz="6" w:space="0"/>
            <w:left w:val="single" w:color="auto" w:sz="6" w:space="0"/>
            <w:bottom w:val="single" w:color="auto" w:sz="12" w:space="0"/>
            <w:right w:val="none" w:color="auto" w:sz="0" w:space="0"/>
            <w:insideH w:val="single" w:color="auto" w:sz="6" w:space="0"/>
            <w:insideV w:val="single" w:color="auto" w:sz="6" w:space="0"/>
          </w:tblBorders>
          <w:tblCellMar>
            <w:top w:w="10" w:type="dxa"/>
            <w:left w:w="10" w:type="dxa"/>
            <w:bottom w:w="10" w:type="dxa"/>
            <w:right w:w="10" w:type="dxa"/>
          </w:tblCellMar>
        </w:tblPrEx>
        <w:tc>
          <w:tcPr>
            <w:tcW w:w="2841" w:type="dxa"/>
            <w:tcBorders>
              <w:bottom w:val="single" w:color="auto" w:sz="12" w:space="0"/>
              <w:right w:val="nil"/>
            </w:tcBorders>
          </w:tcPr>
          <w:p>
            <w:pPr>
              <w:autoSpaceDE w:val="0"/>
              <w:autoSpaceDN w:val="0"/>
              <w:adjustRightInd w:val="0"/>
              <w:spacing w:before="0" w:after="0"/>
              <w:jc w:val="center"/>
              <w:rPr>
                <w:rFonts w:eastAsia="Times New Roman"/>
                <w:kern w:val="0"/>
                <w:szCs w:val="24"/>
                <w:lang w:val="zh-CN"/>
              </w:rPr>
            </w:pPr>
            <w:r>
              <w:rPr>
                <w:rFonts w:hint="eastAsia" w:ascii="宋体" w:hAnsi="宋体" w:cs="宋体"/>
                <w:kern w:val="0"/>
                <w:szCs w:val="24"/>
                <w:lang w:val="zh-CN"/>
              </w:rPr>
              <w:t>账龄</w:t>
            </w:r>
          </w:p>
        </w:tc>
        <w:tc>
          <w:tcPr>
            <w:tcW w:w="2844" w:type="dxa"/>
            <w:tcBorders>
              <w:bottom w:val="single" w:color="auto" w:sz="12" w:space="0"/>
              <w:right w:val="nil"/>
            </w:tcBorders>
          </w:tcPr>
          <w:p>
            <w:pPr>
              <w:autoSpaceDE w:val="0"/>
              <w:autoSpaceDN w:val="0"/>
              <w:adjustRightInd w:val="0"/>
              <w:spacing w:before="0" w:after="0"/>
              <w:jc w:val="center"/>
              <w:rPr>
                <w:rFonts w:eastAsia="Times New Roman"/>
                <w:kern w:val="0"/>
                <w:szCs w:val="24"/>
                <w:lang w:val="zh-CN"/>
              </w:rPr>
            </w:pPr>
            <w:r>
              <w:rPr>
                <w:rFonts w:hint="eastAsia" w:ascii="宋体" w:hAnsi="宋体" w:cs="宋体"/>
                <w:kern w:val="0"/>
                <w:szCs w:val="24"/>
                <w:lang w:val="zh-CN"/>
              </w:rPr>
              <w:t>应收账款计提比例</w:t>
            </w:r>
            <w:r>
              <w:rPr>
                <w:rFonts w:eastAsia="Times New Roman"/>
                <w:kern w:val="0"/>
                <w:szCs w:val="24"/>
                <w:lang w:val="zh-CN"/>
              </w:rPr>
              <w:t>(%)</w:t>
            </w:r>
          </w:p>
        </w:tc>
        <w:tc>
          <w:tcPr>
            <w:tcW w:w="2844" w:type="dxa"/>
            <w:tcBorders>
              <w:bottom w:val="single" w:color="auto" w:sz="12" w:space="0"/>
              <w:right w:val="nil"/>
            </w:tcBorders>
          </w:tcPr>
          <w:p>
            <w:pPr>
              <w:autoSpaceDE w:val="0"/>
              <w:autoSpaceDN w:val="0"/>
              <w:adjustRightInd w:val="0"/>
              <w:spacing w:before="0" w:after="0"/>
              <w:jc w:val="center"/>
              <w:rPr>
                <w:rFonts w:eastAsia="Times New Roman"/>
                <w:kern w:val="0"/>
                <w:szCs w:val="24"/>
                <w:lang w:val="zh-CN"/>
              </w:rPr>
            </w:pPr>
            <w:r>
              <w:rPr>
                <w:rFonts w:hint="eastAsia" w:ascii="宋体" w:hAnsi="宋体" w:cs="宋体"/>
                <w:kern w:val="0"/>
                <w:szCs w:val="24"/>
                <w:lang w:val="zh-CN"/>
              </w:rPr>
              <w:t>其他应收款计提比例</w:t>
            </w:r>
            <w:r>
              <w:rPr>
                <w:rFonts w:eastAsia="Times New Roman"/>
                <w:kern w:val="0"/>
                <w:szCs w:val="24"/>
                <w:lang w:val="zh-CN"/>
              </w:rPr>
              <w:t>(%)</w:t>
            </w:r>
          </w:p>
        </w:tc>
      </w:tr>
      <w:tr>
        <w:tblPrEx>
          <w:tblBorders>
            <w:top w:val="single" w:color="auto" w:sz="6" w:space="0"/>
            <w:left w:val="single" w:color="auto" w:sz="6" w:space="0"/>
            <w:bottom w:val="single" w:color="auto" w:sz="12" w:space="0"/>
            <w:right w:val="none" w:color="auto" w:sz="0" w:space="0"/>
            <w:insideH w:val="single" w:color="auto" w:sz="6" w:space="0"/>
            <w:insideV w:val="single" w:color="auto" w:sz="6" w:space="0"/>
          </w:tblBorders>
          <w:tblCellMar>
            <w:top w:w="10" w:type="dxa"/>
            <w:left w:w="10" w:type="dxa"/>
            <w:bottom w:w="10" w:type="dxa"/>
            <w:right w:w="10" w:type="dxa"/>
          </w:tblCellMar>
        </w:tblPrEx>
        <w:tc>
          <w:tcPr>
            <w:tcW w:w="2841" w:type="dxa"/>
            <w:tcBorders>
              <w:bottom w:val="single" w:color="auto" w:sz="12" w:space="0"/>
              <w:right w:val="nil"/>
            </w:tcBorders>
          </w:tcPr>
          <w:p>
            <w:pPr>
              <w:autoSpaceDE w:val="0"/>
              <w:autoSpaceDN w:val="0"/>
              <w:adjustRightInd w:val="0"/>
              <w:spacing w:before="0" w:after="0"/>
              <w:jc w:val="left"/>
              <w:rPr>
                <w:rFonts w:eastAsia="Times New Roman"/>
                <w:kern w:val="0"/>
                <w:szCs w:val="24"/>
                <w:lang w:val="zh-CN"/>
              </w:rPr>
            </w:pPr>
            <w:r>
              <w:rPr>
                <w:rFonts w:eastAsia="Times New Roman"/>
                <w:kern w:val="0"/>
                <w:szCs w:val="24"/>
                <w:lang w:val="zh-CN"/>
              </w:rPr>
              <w:t>1</w:t>
            </w:r>
            <w:r>
              <w:rPr>
                <w:rFonts w:hint="eastAsia" w:ascii="宋体" w:hAnsi="宋体" w:cs="宋体"/>
                <w:kern w:val="0"/>
                <w:szCs w:val="24"/>
                <w:lang w:val="zh-CN"/>
              </w:rPr>
              <w:t>年以内</w:t>
            </w:r>
          </w:p>
        </w:tc>
        <w:tc>
          <w:tcPr>
            <w:tcW w:w="2844" w:type="dxa"/>
            <w:tcBorders>
              <w:bottom w:val="single" w:color="auto" w:sz="12" w:space="0"/>
              <w:right w:val="nil"/>
            </w:tcBorders>
          </w:tcPr>
          <w:p>
            <w:pPr>
              <w:autoSpaceDE w:val="0"/>
              <w:autoSpaceDN w:val="0"/>
              <w:adjustRightInd w:val="0"/>
              <w:spacing w:before="0" w:after="0"/>
              <w:ind w:left="567" w:firstLine="1620"/>
              <w:jc w:val="right"/>
              <w:rPr>
                <w:rFonts w:eastAsia="Times New Roman"/>
                <w:kern w:val="0"/>
                <w:szCs w:val="24"/>
                <w:lang w:val="zh-CN"/>
              </w:rPr>
            </w:pPr>
            <w:r>
              <w:rPr>
                <w:rFonts w:eastAsia="Times New Roman"/>
                <w:kern w:val="0"/>
                <w:szCs w:val="24"/>
                <w:lang w:val="zh-CN"/>
              </w:rPr>
              <w:t>5</w:t>
            </w:r>
          </w:p>
        </w:tc>
        <w:tc>
          <w:tcPr>
            <w:tcW w:w="2844" w:type="dxa"/>
            <w:tcBorders>
              <w:bottom w:val="single" w:color="auto" w:sz="12" w:space="0"/>
              <w:right w:val="nil"/>
            </w:tcBorders>
          </w:tcPr>
          <w:p>
            <w:pPr>
              <w:autoSpaceDE w:val="0"/>
              <w:autoSpaceDN w:val="0"/>
              <w:adjustRightInd w:val="0"/>
              <w:spacing w:before="0" w:after="0"/>
              <w:ind w:firstLine="1620"/>
              <w:jc w:val="right"/>
              <w:rPr>
                <w:rFonts w:eastAsia="Times New Roman"/>
                <w:kern w:val="0"/>
                <w:szCs w:val="24"/>
                <w:lang w:val="zh-CN"/>
              </w:rPr>
            </w:pPr>
            <w:r>
              <w:rPr>
                <w:rFonts w:eastAsia="Times New Roman"/>
                <w:kern w:val="0"/>
                <w:szCs w:val="24"/>
                <w:lang w:val="zh-CN"/>
              </w:rPr>
              <w:t>5</w:t>
            </w:r>
          </w:p>
        </w:tc>
      </w:tr>
      <w:tr>
        <w:tblPrEx>
          <w:tblBorders>
            <w:top w:val="single" w:color="auto" w:sz="6" w:space="0"/>
            <w:left w:val="single" w:color="auto" w:sz="6" w:space="0"/>
            <w:bottom w:val="single" w:color="auto" w:sz="12" w:space="0"/>
            <w:right w:val="none" w:color="auto" w:sz="0" w:space="0"/>
            <w:insideH w:val="single" w:color="auto" w:sz="6" w:space="0"/>
            <w:insideV w:val="single" w:color="auto" w:sz="6" w:space="0"/>
          </w:tblBorders>
          <w:tblCellMar>
            <w:top w:w="10" w:type="dxa"/>
            <w:left w:w="10" w:type="dxa"/>
            <w:bottom w:w="10" w:type="dxa"/>
            <w:right w:w="10" w:type="dxa"/>
          </w:tblCellMar>
        </w:tblPrEx>
        <w:tc>
          <w:tcPr>
            <w:tcW w:w="2841" w:type="dxa"/>
            <w:tcBorders>
              <w:bottom w:val="single" w:color="auto" w:sz="12" w:space="0"/>
              <w:right w:val="nil"/>
            </w:tcBorders>
          </w:tcPr>
          <w:p>
            <w:pPr>
              <w:autoSpaceDE w:val="0"/>
              <w:autoSpaceDN w:val="0"/>
              <w:adjustRightInd w:val="0"/>
              <w:spacing w:before="0" w:after="0"/>
              <w:jc w:val="left"/>
              <w:rPr>
                <w:rFonts w:eastAsia="Times New Roman"/>
                <w:kern w:val="0"/>
                <w:szCs w:val="24"/>
                <w:lang w:val="zh-CN"/>
              </w:rPr>
            </w:pPr>
            <w:r>
              <w:rPr>
                <w:rFonts w:eastAsia="Times New Roman"/>
                <w:kern w:val="0"/>
                <w:szCs w:val="24"/>
                <w:lang w:val="zh-CN"/>
              </w:rPr>
              <w:t>1</w:t>
            </w:r>
            <w:r>
              <w:rPr>
                <w:rFonts w:hint="eastAsia" w:ascii="宋体" w:hAnsi="宋体" w:cs="宋体"/>
                <w:kern w:val="0"/>
                <w:szCs w:val="24"/>
                <w:lang w:val="zh-CN"/>
              </w:rPr>
              <w:t>－</w:t>
            </w:r>
            <w:r>
              <w:rPr>
                <w:rFonts w:eastAsia="Times New Roman"/>
                <w:kern w:val="0"/>
                <w:szCs w:val="24"/>
                <w:lang w:val="zh-CN"/>
              </w:rPr>
              <w:t>2</w:t>
            </w:r>
            <w:r>
              <w:rPr>
                <w:rFonts w:hint="eastAsia" w:ascii="宋体" w:hAnsi="宋体" w:cs="宋体"/>
                <w:kern w:val="0"/>
                <w:szCs w:val="24"/>
                <w:lang w:val="zh-CN"/>
              </w:rPr>
              <w:t>年</w:t>
            </w:r>
          </w:p>
        </w:tc>
        <w:tc>
          <w:tcPr>
            <w:tcW w:w="2844" w:type="dxa"/>
            <w:tcBorders>
              <w:bottom w:val="single" w:color="auto" w:sz="12" w:space="0"/>
              <w:right w:val="nil"/>
            </w:tcBorders>
          </w:tcPr>
          <w:p>
            <w:pPr>
              <w:autoSpaceDE w:val="0"/>
              <w:autoSpaceDN w:val="0"/>
              <w:adjustRightInd w:val="0"/>
              <w:spacing w:before="0" w:after="0"/>
              <w:ind w:left="567" w:firstLine="1530"/>
              <w:jc w:val="right"/>
              <w:rPr>
                <w:rFonts w:eastAsia="Times New Roman"/>
                <w:kern w:val="0"/>
                <w:szCs w:val="24"/>
                <w:lang w:val="zh-CN"/>
              </w:rPr>
            </w:pPr>
            <w:r>
              <w:rPr>
                <w:rFonts w:eastAsia="Times New Roman"/>
                <w:kern w:val="0"/>
                <w:szCs w:val="24"/>
                <w:lang w:val="zh-CN"/>
              </w:rPr>
              <w:t>10</w:t>
            </w:r>
          </w:p>
        </w:tc>
        <w:tc>
          <w:tcPr>
            <w:tcW w:w="2844" w:type="dxa"/>
            <w:tcBorders>
              <w:bottom w:val="single" w:color="auto" w:sz="12" w:space="0"/>
              <w:right w:val="nil"/>
            </w:tcBorders>
          </w:tcPr>
          <w:p>
            <w:pPr>
              <w:autoSpaceDE w:val="0"/>
              <w:autoSpaceDN w:val="0"/>
              <w:adjustRightInd w:val="0"/>
              <w:spacing w:before="0" w:after="0"/>
              <w:jc w:val="right"/>
              <w:rPr>
                <w:rFonts w:eastAsia="Times New Roman"/>
                <w:kern w:val="0"/>
                <w:szCs w:val="24"/>
                <w:lang w:val="zh-CN"/>
              </w:rPr>
            </w:pPr>
            <w:r>
              <w:rPr>
                <w:rFonts w:eastAsia="Times New Roman"/>
                <w:kern w:val="0"/>
                <w:szCs w:val="24"/>
                <w:lang w:val="zh-CN"/>
              </w:rPr>
              <w:t>10</w:t>
            </w:r>
          </w:p>
        </w:tc>
      </w:tr>
      <w:tr>
        <w:tblPrEx>
          <w:tblBorders>
            <w:top w:val="single" w:color="auto" w:sz="6" w:space="0"/>
            <w:left w:val="single" w:color="auto" w:sz="6" w:space="0"/>
            <w:bottom w:val="single" w:color="auto" w:sz="12" w:space="0"/>
            <w:right w:val="none" w:color="auto" w:sz="0" w:space="0"/>
            <w:insideH w:val="single" w:color="auto" w:sz="6" w:space="0"/>
            <w:insideV w:val="single" w:color="auto" w:sz="6" w:space="0"/>
          </w:tblBorders>
          <w:tblCellMar>
            <w:top w:w="10" w:type="dxa"/>
            <w:left w:w="10" w:type="dxa"/>
            <w:bottom w:w="10" w:type="dxa"/>
            <w:right w:w="10" w:type="dxa"/>
          </w:tblCellMar>
        </w:tblPrEx>
        <w:tc>
          <w:tcPr>
            <w:tcW w:w="2841" w:type="dxa"/>
            <w:tcBorders>
              <w:bottom w:val="single" w:color="auto" w:sz="12" w:space="0"/>
              <w:right w:val="nil"/>
            </w:tcBorders>
          </w:tcPr>
          <w:p>
            <w:pPr>
              <w:autoSpaceDE w:val="0"/>
              <w:autoSpaceDN w:val="0"/>
              <w:adjustRightInd w:val="0"/>
              <w:spacing w:before="0" w:after="0"/>
              <w:jc w:val="left"/>
              <w:rPr>
                <w:rFonts w:eastAsia="Times New Roman"/>
                <w:kern w:val="0"/>
                <w:szCs w:val="24"/>
                <w:lang w:val="zh-CN"/>
              </w:rPr>
            </w:pPr>
            <w:r>
              <w:rPr>
                <w:rFonts w:eastAsia="Times New Roman"/>
                <w:kern w:val="0"/>
                <w:szCs w:val="24"/>
                <w:lang w:val="zh-CN"/>
              </w:rPr>
              <w:t>2</w:t>
            </w:r>
            <w:r>
              <w:rPr>
                <w:rFonts w:hint="eastAsia" w:ascii="宋体" w:hAnsi="宋体" w:cs="宋体"/>
                <w:kern w:val="0"/>
                <w:szCs w:val="24"/>
                <w:lang w:val="zh-CN"/>
              </w:rPr>
              <w:t>－</w:t>
            </w:r>
            <w:r>
              <w:rPr>
                <w:rFonts w:eastAsia="Times New Roman"/>
                <w:kern w:val="0"/>
                <w:szCs w:val="24"/>
                <w:lang w:val="zh-CN"/>
              </w:rPr>
              <w:t>3</w:t>
            </w:r>
            <w:r>
              <w:rPr>
                <w:rFonts w:hint="eastAsia" w:ascii="宋体" w:hAnsi="宋体" w:cs="宋体"/>
                <w:kern w:val="0"/>
                <w:szCs w:val="24"/>
                <w:lang w:val="zh-CN"/>
              </w:rPr>
              <w:t>年</w:t>
            </w:r>
          </w:p>
        </w:tc>
        <w:tc>
          <w:tcPr>
            <w:tcW w:w="2844" w:type="dxa"/>
            <w:tcBorders>
              <w:bottom w:val="single" w:color="auto" w:sz="12" w:space="0"/>
              <w:right w:val="nil"/>
            </w:tcBorders>
          </w:tcPr>
          <w:p>
            <w:pPr>
              <w:autoSpaceDE w:val="0"/>
              <w:autoSpaceDN w:val="0"/>
              <w:adjustRightInd w:val="0"/>
              <w:spacing w:before="0" w:after="0"/>
              <w:ind w:left="567" w:firstLine="1530"/>
              <w:jc w:val="right"/>
              <w:rPr>
                <w:rFonts w:eastAsia="Times New Roman"/>
                <w:kern w:val="0"/>
                <w:szCs w:val="24"/>
                <w:lang w:val="zh-CN"/>
              </w:rPr>
            </w:pPr>
            <w:r>
              <w:rPr>
                <w:rFonts w:eastAsia="Times New Roman"/>
                <w:kern w:val="0"/>
                <w:szCs w:val="24"/>
                <w:lang w:val="zh-CN"/>
              </w:rPr>
              <w:t>20</w:t>
            </w:r>
          </w:p>
        </w:tc>
        <w:tc>
          <w:tcPr>
            <w:tcW w:w="2844" w:type="dxa"/>
            <w:tcBorders>
              <w:bottom w:val="single" w:color="auto" w:sz="12" w:space="0"/>
              <w:right w:val="nil"/>
            </w:tcBorders>
          </w:tcPr>
          <w:p>
            <w:pPr>
              <w:autoSpaceDE w:val="0"/>
              <w:autoSpaceDN w:val="0"/>
              <w:adjustRightInd w:val="0"/>
              <w:spacing w:before="0" w:after="0"/>
              <w:jc w:val="right"/>
              <w:rPr>
                <w:rFonts w:eastAsia="Times New Roman"/>
                <w:kern w:val="0"/>
                <w:szCs w:val="24"/>
                <w:lang w:val="zh-CN"/>
              </w:rPr>
            </w:pPr>
            <w:r>
              <w:rPr>
                <w:rFonts w:eastAsia="Times New Roman"/>
                <w:kern w:val="0"/>
                <w:szCs w:val="24"/>
                <w:lang w:val="zh-CN"/>
              </w:rPr>
              <w:t>20</w:t>
            </w:r>
          </w:p>
        </w:tc>
      </w:tr>
      <w:tr>
        <w:tblPrEx>
          <w:tblBorders>
            <w:top w:val="single" w:color="auto" w:sz="6" w:space="0"/>
            <w:left w:val="single" w:color="auto" w:sz="6" w:space="0"/>
            <w:bottom w:val="single" w:color="auto" w:sz="12" w:space="0"/>
            <w:right w:val="none" w:color="auto" w:sz="0" w:space="0"/>
            <w:insideH w:val="single" w:color="auto" w:sz="6" w:space="0"/>
            <w:insideV w:val="single" w:color="auto" w:sz="6" w:space="0"/>
          </w:tblBorders>
          <w:tblCellMar>
            <w:top w:w="10" w:type="dxa"/>
            <w:left w:w="10" w:type="dxa"/>
            <w:bottom w:w="10" w:type="dxa"/>
            <w:right w:w="10" w:type="dxa"/>
          </w:tblCellMar>
        </w:tblPrEx>
        <w:tc>
          <w:tcPr>
            <w:tcW w:w="2841" w:type="dxa"/>
            <w:tcBorders>
              <w:bottom w:val="single" w:color="auto" w:sz="12" w:space="0"/>
              <w:right w:val="nil"/>
            </w:tcBorders>
          </w:tcPr>
          <w:p>
            <w:pPr>
              <w:autoSpaceDE w:val="0"/>
              <w:autoSpaceDN w:val="0"/>
              <w:adjustRightInd w:val="0"/>
              <w:spacing w:before="0" w:after="0"/>
              <w:jc w:val="left"/>
              <w:rPr>
                <w:rFonts w:eastAsia="Times New Roman"/>
                <w:kern w:val="0"/>
                <w:szCs w:val="24"/>
                <w:lang w:val="zh-CN"/>
              </w:rPr>
            </w:pPr>
            <w:r>
              <w:rPr>
                <w:rFonts w:eastAsia="Times New Roman"/>
                <w:kern w:val="0"/>
                <w:szCs w:val="24"/>
                <w:lang w:val="zh-CN"/>
              </w:rPr>
              <w:t>3</w:t>
            </w:r>
            <w:r>
              <w:rPr>
                <w:rFonts w:hint="eastAsia" w:ascii="宋体" w:hAnsi="宋体" w:cs="宋体"/>
                <w:kern w:val="0"/>
                <w:szCs w:val="24"/>
                <w:lang w:val="zh-CN"/>
              </w:rPr>
              <w:t>－</w:t>
            </w:r>
            <w:r>
              <w:rPr>
                <w:rFonts w:eastAsia="Times New Roman"/>
                <w:kern w:val="0"/>
                <w:szCs w:val="24"/>
                <w:lang w:val="zh-CN"/>
              </w:rPr>
              <w:t>4</w:t>
            </w:r>
            <w:r>
              <w:rPr>
                <w:rFonts w:hint="eastAsia" w:ascii="宋体" w:hAnsi="宋体" w:cs="宋体"/>
                <w:kern w:val="0"/>
                <w:szCs w:val="24"/>
                <w:lang w:val="zh-CN"/>
              </w:rPr>
              <w:t>年</w:t>
            </w:r>
          </w:p>
        </w:tc>
        <w:tc>
          <w:tcPr>
            <w:tcW w:w="2844" w:type="dxa"/>
            <w:tcBorders>
              <w:bottom w:val="single" w:color="auto" w:sz="12" w:space="0"/>
              <w:right w:val="nil"/>
            </w:tcBorders>
          </w:tcPr>
          <w:p>
            <w:pPr>
              <w:autoSpaceDE w:val="0"/>
              <w:autoSpaceDN w:val="0"/>
              <w:adjustRightInd w:val="0"/>
              <w:spacing w:before="0" w:after="0"/>
              <w:ind w:left="567"/>
              <w:jc w:val="right"/>
              <w:rPr>
                <w:rFonts w:eastAsia="Times New Roman"/>
                <w:kern w:val="0"/>
                <w:szCs w:val="24"/>
                <w:lang w:val="zh-CN"/>
              </w:rPr>
            </w:pPr>
            <w:r>
              <w:rPr>
                <w:rFonts w:eastAsia="Times New Roman"/>
                <w:kern w:val="0"/>
                <w:szCs w:val="24"/>
                <w:lang w:val="zh-CN"/>
              </w:rPr>
              <w:t>50</w:t>
            </w:r>
          </w:p>
        </w:tc>
        <w:tc>
          <w:tcPr>
            <w:tcW w:w="2844" w:type="dxa"/>
            <w:tcBorders>
              <w:bottom w:val="single" w:color="auto" w:sz="12" w:space="0"/>
              <w:right w:val="nil"/>
            </w:tcBorders>
          </w:tcPr>
          <w:p>
            <w:pPr>
              <w:autoSpaceDE w:val="0"/>
              <w:autoSpaceDN w:val="0"/>
              <w:adjustRightInd w:val="0"/>
              <w:spacing w:before="0" w:after="0"/>
              <w:jc w:val="right"/>
              <w:rPr>
                <w:rFonts w:eastAsia="Times New Roman"/>
                <w:kern w:val="0"/>
                <w:szCs w:val="24"/>
                <w:lang w:val="zh-CN"/>
              </w:rPr>
            </w:pPr>
            <w:r>
              <w:rPr>
                <w:rFonts w:eastAsia="Times New Roman"/>
                <w:kern w:val="0"/>
                <w:szCs w:val="24"/>
                <w:lang w:val="zh-CN"/>
              </w:rPr>
              <w:t>50</w:t>
            </w:r>
          </w:p>
        </w:tc>
      </w:tr>
      <w:tr>
        <w:tblPrEx>
          <w:tblBorders>
            <w:top w:val="single" w:color="auto" w:sz="6" w:space="0"/>
            <w:left w:val="single" w:color="auto" w:sz="6" w:space="0"/>
            <w:bottom w:val="single" w:color="auto" w:sz="12" w:space="0"/>
            <w:right w:val="none" w:color="auto" w:sz="0" w:space="0"/>
            <w:insideH w:val="single" w:color="auto" w:sz="6" w:space="0"/>
            <w:insideV w:val="single" w:color="auto" w:sz="6" w:space="0"/>
          </w:tblBorders>
          <w:tblCellMar>
            <w:top w:w="10" w:type="dxa"/>
            <w:left w:w="10" w:type="dxa"/>
            <w:bottom w:w="10" w:type="dxa"/>
            <w:right w:w="10" w:type="dxa"/>
          </w:tblCellMar>
        </w:tblPrEx>
        <w:tc>
          <w:tcPr>
            <w:tcW w:w="2841" w:type="dxa"/>
            <w:tcBorders>
              <w:bottom w:val="single" w:color="auto" w:sz="12" w:space="0"/>
              <w:right w:val="nil"/>
            </w:tcBorders>
          </w:tcPr>
          <w:p>
            <w:pPr>
              <w:autoSpaceDE w:val="0"/>
              <w:autoSpaceDN w:val="0"/>
              <w:adjustRightInd w:val="0"/>
              <w:spacing w:before="0" w:after="0"/>
              <w:jc w:val="left"/>
              <w:rPr>
                <w:rFonts w:eastAsia="Times New Roman"/>
                <w:kern w:val="0"/>
                <w:szCs w:val="24"/>
                <w:lang w:val="zh-CN"/>
              </w:rPr>
            </w:pPr>
            <w:r>
              <w:rPr>
                <w:rFonts w:eastAsia="Times New Roman"/>
                <w:kern w:val="0"/>
                <w:szCs w:val="24"/>
                <w:lang w:val="zh-CN"/>
              </w:rPr>
              <w:t>4</w:t>
            </w:r>
            <w:r>
              <w:rPr>
                <w:rFonts w:hint="eastAsia" w:ascii="宋体" w:hAnsi="宋体" w:cs="宋体"/>
                <w:kern w:val="0"/>
                <w:szCs w:val="24"/>
                <w:lang w:val="zh-CN"/>
              </w:rPr>
              <w:t>－</w:t>
            </w:r>
            <w:r>
              <w:rPr>
                <w:rFonts w:eastAsia="Times New Roman"/>
                <w:kern w:val="0"/>
                <w:szCs w:val="24"/>
                <w:lang w:val="zh-CN"/>
              </w:rPr>
              <w:t>5</w:t>
            </w:r>
            <w:r>
              <w:rPr>
                <w:rFonts w:hint="eastAsia" w:ascii="宋体" w:hAnsi="宋体" w:cs="宋体"/>
                <w:kern w:val="0"/>
                <w:szCs w:val="24"/>
                <w:lang w:val="zh-CN"/>
              </w:rPr>
              <w:t>年</w:t>
            </w:r>
          </w:p>
        </w:tc>
        <w:tc>
          <w:tcPr>
            <w:tcW w:w="2844" w:type="dxa"/>
            <w:tcBorders>
              <w:bottom w:val="single" w:color="auto" w:sz="12" w:space="0"/>
              <w:right w:val="nil"/>
            </w:tcBorders>
          </w:tcPr>
          <w:p>
            <w:pPr>
              <w:autoSpaceDE w:val="0"/>
              <w:autoSpaceDN w:val="0"/>
              <w:adjustRightInd w:val="0"/>
              <w:spacing w:before="0" w:after="0"/>
              <w:ind w:left="567"/>
              <w:jc w:val="right"/>
              <w:rPr>
                <w:rFonts w:eastAsia="Times New Roman"/>
                <w:kern w:val="0"/>
                <w:szCs w:val="24"/>
                <w:lang w:val="zh-CN"/>
              </w:rPr>
            </w:pPr>
            <w:r>
              <w:rPr>
                <w:rFonts w:eastAsia="Times New Roman"/>
                <w:kern w:val="0"/>
                <w:szCs w:val="24"/>
                <w:lang w:val="zh-CN"/>
              </w:rPr>
              <w:t>80</w:t>
            </w:r>
          </w:p>
        </w:tc>
        <w:tc>
          <w:tcPr>
            <w:tcW w:w="2844" w:type="dxa"/>
            <w:tcBorders>
              <w:bottom w:val="single" w:color="auto" w:sz="12" w:space="0"/>
              <w:right w:val="nil"/>
            </w:tcBorders>
          </w:tcPr>
          <w:p>
            <w:pPr>
              <w:autoSpaceDE w:val="0"/>
              <w:autoSpaceDN w:val="0"/>
              <w:adjustRightInd w:val="0"/>
              <w:spacing w:before="0" w:after="0"/>
              <w:jc w:val="right"/>
              <w:rPr>
                <w:rFonts w:eastAsia="Times New Roman"/>
                <w:kern w:val="0"/>
                <w:szCs w:val="24"/>
                <w:lang w:val="zh-CN"/>
              </w:rPr>
            </w:pPr>
            <w:r>
              <w:rPr>
                <w:rFonts w:eastAsia="Times New Roman"/>
                <w:kern w:val="0"/>
                <w:szCs w:val="24"/>
                <w:lang w:val="zh-CN"/>
              </w:rPr>
              <w:t>80</w:t>
            </w:r>
          </w:p>
        </w:tc>
      </w:tr>
      <w:tr>
        <w:tblPrEx>
          <w:tblBorders>
            <w:top w:val="single" w:color="auto" w:sz="6" w:space="0"/>
            <w:left w:val="single" w:color="auto" w:sz="6" w:space="0"/>
            <w:bottom w:val="single" w:color="auto" w:sz="12" w:space="0"/>
            <w:right w:val="none" w:color="auto" w:sz="0" w:space="0"/>
            <w:insideH w:val="single" w:color="auto" w:sz="6" w:space="0"/>
            <w:insideV w:val="single" w:color="auto" w:sz="6" w:space="0"/>
          </w:tblBorders>
          <w:tblCellMar>
            <w:top w:w="10" w:type="dxa"/>
            <w:left w:w="10" w:type="dxa"/>
            <w:bottom w:w="10" w:type="dxa"/>
            <w:right w:w="10" w:type="dxa"/>
          </w:tblCellMar>
        </w:tblPrEx>
        <w:tc>
          <w:tcPr>
            <w:tcW w:w="2841" w:type="dxa"/>
            <w:tcBorders>
              <w:bottom w:val="single" w:color="auto" w:sz="12" w:space="0"/>
              <w:right w:val="nil"/>
            </w:tcBorders>
          </w:tcPr>
          <w:p>
            <w:pPr>
              <w:autoSpaceDE w:val="0"/>
              <w:autoSpaceDN w:val="0"/>
              <w:adjustRightInd w:val="0"/>
              <w:spacing w:before="0" w:after="0"/>
              <w:jc w:val="left"/>
              <w:rPr>
                <w:rFonts w:eastAsia="Times New Roman"/>
                <w:kern w:val="0"/>
                <w:szCs w:val="24"/>
                <w:lang w:val="zh-CN"/>
              </w:rPr>
            </w:pPr>
            <w:r>
              <w:rPr>
                <w:rFonts w:eastAsia="Times New Roman"/>
                <w:kern w:val="0"/>
                <w:szCs w:val="24"/>
                <w:lang w:val="zh-CN"/>
              </w:rPr>
              <w:t>5</w:t>
            </w:r>
            <w:r>
              <w:rPr>
                <w:rFonts w:hint="eastAsia" w:ascii="宋体" w:hAnsi="宋体" w:cs="宋体"/>
                <w:kern w:val="0"/>
                <w:szCs w:val="24"/>
                <w:lang w:val="zh-CN"/>
              </w:rPr>
              <w:t>年以上</w:t>
            </w:r>
          </w:p>
        </w:tc>
        <w:tc>
          <w:tcPr>
            <w:tcW w:w="2844" w:type="dxa"/>
            <w:tcBorders>
              <w:bottom w:val="single" w:color="auto" w:sz="12" w:space="0"/>
              <w:right w:val="nil"/>
            </w:tcBorders>
          </w:tcPr>
          <w:p>
            <w:pPr>
              <w:autoSpaceDE w:val="0"/>
              <w:autoSpaceDN w:val="0"/>
              <w:adjustRightInd w:val="0"/>
              <w:spacing w:before="0" w:after="0"/>
              <w:ind w:left="567"/>
              <w:jc w:val="right"/>
              <w:rPr>
                <w:rFonts w:eastAsia="Times New Roman"/>
                <w:kern w:val="0"/>
                <w:szCs w:val="24"/>
                <w:lang w:val="zh-CN"/>
              </w:rPr>
            </w:pPr>
            <w:r>
              <w:rPr>
                <w:rFonts w:eastAsia="Times New Roman"/>
                <w:kern w:val="0"/>
                <w:szCs w:val="24"/>
                <w:lang w:val="zh-CN"/>
              </w:rPr>
              <w:t>100</w:t>
            </w:r>
          </w:p>
        </w:tc>
        <w:tc>
          <w:tcPr>
            <w:tcW w:w="2844" w:type="dxa"/>
            <w:tcBorders>
              <w:bottom w:val="single" w:color="auto" w:sz="12" w:space="0"/>
              <w:right w:val="nil"/>
            </w:tcBorders>
          </w:tcPr>
          <w:p>
            <w:pPr>
              <w:autoSpaceDE w:val="0"/>
              <w:autoSpaceDN w:val="0"/>
              <w:adjustRightInd w:val="0"/>
              <w:spacing w:before="0" w:after="0"/>
              <w:jc w:val="right"/>
              <w:rPr>
                <w:rFonts w:eastAsia="Times New Roman"/>
                <w:kern w:val="0"/>
                <w:szCs w:val="24"/>
                <w:lang w:val="zh-CN"/>
              </w:rPr>
            </w:pPr>
            <w:r>
              <w:rPr>
                <w:rFonts w:eastAsia="Times New Roman"/>
                <w:kern w:val="0"/>
                <w:szCs w:val="24"/>
                <w:lang w:val="zh-CN"/>
              </w:rPr>
              <w:t>100</w:t>
            </w:r>
          </w:p>
        </w:tc>
      </w:tr>
    </w:tbl>
    <w:p>
      <w:pPr>
        <w:autoSpaceDE w:val="0"/>
        <w:autoSpaceDN w:val="0"/>
        <w:adjustRightInd w:val="0"/>
        <w:spacing w:before="0" w:after="0"/>
        <w:ind w:left="1276"/>
        <w:rPr>
          <w:rFonts w:eastAsia="Times New Roman"/>
          <w:kern w:val="0"/>
          <w:sz w:val="21"/>
          <w:szCs w:val="24"/>
          <w:lang w:val="zh-CN"/>
        </w:rPr>
      </w:pP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③单项金额不重大但单独计提坏账准备的应收款项：</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有客观证据表明单项金额虽不重大，但因其发生了特殊减值的应收款项应进行单项减值测试。</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坏账准备的计提方法：结合现实情况分析确定坏账准备计提的比例。</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）持有至到期投资的减值准备：</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持有至到期投资减值损失的计量比照应收款项减值损失计量方法处理。</w:t>
      </w:r>
    </w:p>
    <w:p>
      <w:pPr>
        <w:pStyle w:val="14"/>
        <w:outlineLvl w:val="2"/>
        <w:rPr>
          <w:bCs w:val="0"/>
          <w:szCs w:val="24"/>
        </w:rPr>
      </w:pPr>
      <w:r>
        <w:rPr>
          <w:bCs w:val="0"/>
          <w:szCs w:val="24"/>
        </w:rPr>
        <w:t>11</w:t>
      </w:r>
      <w:r>
        <w:rPr>
          <w:rFonts w:hint="eastAsia"/>
          <w:bCs w:val="0"/>
          <w:szCs w:val="24"/>
        </w:rPr>
        <w:t>、应收票据</w:t>
      </w:r>
    </w:p>
    <w:p>
      <w:pPr>
        <w:pStyle w:val="14"/>
        <w:outlineLvl w:val="2"/>
        <w:rPr>
          <w:bCs w:val="0"/>
          <w:szCs w:val="24"/>
        </w:rPr>
      </w:pPr>
      <w:r>
        <w:rPr>
          <w:bCs w:val="0"/>
          <w:szCs w:val="24"/>
        </w:rPr>
        <w:t>12</w:t>
      </w:r>
      <w:r>
        <w:rPr>
          <w:rFonts w:hint="eastAsia"/>
          <w:bCs w:val="0"/>
          <w:szCs w:val="24"/>
        </w:rPr>
        <w:t>、应收账款</w:t>
      </w:r>
    </w:p>
    <w:p>
      <w:pPr>
        <w:pStyle w:val="14"/>
        <w:outlineLvl w:val="2"/>
        <w:rPr>
          <w:bCs w:val="0"/>
          <w:szCs w:val="24"/>
        </w:rPr>
      </w:pPr>
      <w:r>
        <w:rPr>
          <w:bCs w:val="0"/>
          <w:szCs w:val="24"/>
        </w:rPr>
        <w:t>13</w:t>
      </w:r>
      <w:r>
        <w:rPr>
          <w:rFonts w:hint="eastAsia"/>
          <w:bCs w:val="0"/>
          <w:szCs w:val="24"/>
        </w:rPr>
        <w:t>、应收款项融资</w:t>
      </w:r>
    </w:p>
    <w:p>
      <w:pPr>
        <w:pStyle w:val="14"/>
        <w:outlineLvl w:val="2"/>
        <w:rPr>
          <w:bCs w:val="0"/>
          <w:szCs w:val="24"/>
        </w:rPr>
      </w:pPr>
      <w:r>
        <w:rPr>
          <w:bCs w:val="0"/>
          <w:szCs w:val="24"/>
        </w:rPr>
        <w:t>14</w:t>
      </w:r>
      <w:r>
        <w:rPr>
          <w:rFonts w:hint="eastAsia"/>
          <w:bCs w:val="0"/>
          <w:szCs w:val="24"/>
        </w:rPr>
        <w:t>、其他应收款</w:t>
      </w:r>
    </w:p>
    <w:p>
      <w:pPr>
        <w:jc w:val="left"/>
        <w:rPr>
          <w:szCs w:val="24"/>
        </w:rPr>
      </w:pPr>
      <w:r>
        <w:rPr>
          <w:rFonts w:hint="eastAsia"/>
          <w:szCs w:val="24"/>
        </w:rPr>
        <w:t>其他应收款的预期信用损失的确定方法及会计处理方法</w:t>
      </w:r>
    </w:p>
    <w:p>
      <w:pPr>
        <w:pStyle w:val="14"/>
        <w:numPr>
          <w:ilvl w:val="0"/>
          <w:numId w:val="9"/>
        </w:numPr>
        <w:outlineLvl w:val="2"/>
        <w:rPr>
          <w:bCs w:val="0"/>
          <w:szCs w:val="24"/>
        </w:rPr>
      </w:pPr>
      <w:r>
        <w:rPr>
          <w:rFonts w:hint="eastAsia"/>
          <w:bCs w:val="0"/>
          <w:szCs w:val="24"/>
        </w:rPr>
        <w:t>存货</w:t>
      </w:r>
    </w:p>
    <w:p>
      <w:pPr>
        <w:autoSpaceDE w:val="0"/>
        <w:autoSpaceDN w:val="0"/>
        <w:adjustRightInd w:val="0"/>
        <w:spacing w:before="0" w:after="0"/>
        <w:rPr>
          <w:rFonts w:eastAsia="Times New Roman"/>
          <w:b/>
          <w:kern w:val="0"/>
          <w:lang w:val="zh-CN"/>
        </w:rPr>
      </w:pPr>
      <w:r>
        <w:rPr>
          <w:rFonts w:hint="eastAsia" w:ascii="宋体" w:hAnsi="宋体" w:cs="宋体"/>
          <w:b/>
          <w:kern w:val="0"/>
          <w:lang w:val="zh-CN"/>
        </w:rPr>
        <w:t>1、存货的分类</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存货分类为：原材料、周转材料、库存商品、发出商品、在产品、委托加工物资等。</w:t>
      </w:r>
    </w:p>
    <w:p>
      <w:pPr>
        <w:pStyle w:val="24"/>
        <w:numPr>
          <w:ilvl w:val="0"/>
          <w:numId w:val="10"/>
        </w:numPr>
        <w:autoSpaceDE w:val="0"/>
        <w:autoSpaceDN w:val="0"/>
        <w:adjustRightInd w:val="0"/>
        <w:spacing w:before="0" w:after="0"/>
        <w:ind w:firstLineChars="0"/>
        <w:rPr>
          <w:rFonts w:eastAsia="Times New Roman"/>
          <w:b/>
          <w:kern w:val="0"/>
          <w:lang w:val="zh-CN"/>
        </w:rPr>
      </w:pPr>
      <w:r>
        <w:rPr>
          <w:rFonts w:hint="eastAsia" w:ascii="宋体" w:hAnsi="宋体" w:cs="宋体"/>
          <w:b/>
          <w:kern w:val="0"/>
          <w:lang w:val="zh-CN"/>
        </w:rPr>
        <w:t>发出存货的计价方法</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存货发出时加权平均法计价。</w:t>
      </w:r>
    </w:p>
    <w:p>
      <w:pPr>
        <w:pStyle w:val="24"/>
        <w:numPr>
          <w:ilvl w:val="0"/>
          <w:numId w:val="10"/>
        </w:numPr>
        <w:autoSpaceDE w:val="0"/>
        <w:autoSpaceDN w:val="0"/>
        <w:adjustRightInd w:val="0"/>
        <w:spacing w:before="0" w:after="0"/>
        <w:ind w:firstLineChars="0"/>
        <w:rPr>
          <w:rFonts w:eastAsia="Times New Roman"/>
          <w:b/>
          <w:kern w:val="0"/>
          <w:lang w:val="zh-CN"/>
        </w:rPr>
      </w:pPr>
      <w:r>
        <w:rPr>
          <w:rFonts w:hint="eastAsia" w:ascii="宋体" w:hAnsi="宋体" w:cs="宋体"/>
          <w:b/>
          <w:kern w:val="0"/>
          <w:lang w:val="zh-CN"/>
        </w:rPr>
        <w:t>不同类别存货可变现净值的确定依据</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除有明确证据表明资产负债表日市场价格异常外，存货项目的可变现净值以资产负债表日市场价格为基础确定。</w:t>
      </w:r>
      <w:r>
        <w:rPr>
          <w:rFonts w:eastAsia="Times New Roman"/>
          <w:color w:val="0000FF"/>
          <w:kern w:val="0"/>
          <w:lang w:val="zh-CN"/>
        </w:rPr>
        <w:t xml:space="preserve"> </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本期期末存货项目的可变现净值以资产负债表日市场价格为基础确定。</w:t>
      </w:r>
    </w:p>
    <w:p>
      <w:pPr>
        <w:pStyle w:val="24"/>
        <w:numPr>
          <w:ilvl w:val="0"/>
          <w:numId w:val="10"/>
        </w:numPr>
        <w:autoSpaceDE w:val="0"/>
        <w:autoSpaceDN w:val="0"/>
        <w:adjustRightInd w:val="0"/>
        <w:spacing w:before="0" w:after="0"/>
        <w:ind w:firstLineChars="0"/>
        <w:rPr>
          <w:rFonts w:eastAsia="Times New Roman"/>
          <w:b/>
          <w:kern w:val="0"/>
          <w:lang w:val="zh-CN"/>
        </w:rPr>
      </w:pPr>
      <w:r>
        <w:rPr>
          <w:rFonts w:hint="eastAsia" w:ascii="宋体" w:hAnsi="宋体" w:cs="宋体"/>
          <w:b/>
          <w:kern w:val="0"/>
          <w:lang w:val="zh-CN"/>
        </w:rPr>
        <w:t>存货的盘存制度</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采用永续盘存制。</w:t>
      </w:r>
    </w:p>
    <w:p>
      <w:pPr>
        <w:pStyle w:val="24"/>
        <w:numPr>
          <w:ilvl w:val="0"/>
          <w:numId w:val="10"/>
        </w:numPr>
        <w:autoSpaceDE w:val="0"/>
        <w:autoSpaceDN w:val="0"/>
        <w:adjustRightInd w:val="0"/>
        <w:spacing w:before="0" w:after="0"/>
        <w:ind w:firstLineChars="0"/>
        <w:rPr>
          <w:rFonts w:eastAsia="Times New Roman"/>
          <w:b/>
          <w:kern w:val="0"/>
          <w:lang w:val="zh-CN"/>
        </w:rPr>
      </w:pPr>
      <w:r>
        <w:rPr>
          <w:rFonts w:hint="eastAsia" w:ascii="宋体" w:hAnsi="宋体" w:cs="宋体"/>
          <w:b/>
          <w:kern w:val="0"/>
          <w:lang w:val="zh-CN"/>
        </w:rPr>
        <w:t>低值易耗品和包装物的摊销方法</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）低值易耗品采用一次转销法；</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）包装物采用一次转销法。</w:t>
      </w:r>
    </w:p>
    <w:p>
      <w:pPr>
        <w:pStyle w:val="14"/>
        <w:outlineLvl w:val="2"/>
        <w:rPr>
          <w:bCs w:val="0"/>
          <w:szCs w:val="24"/>
        </w:rPr>
      </w:pPr>
      <w:r>
        <w:rPr>
          <w:bCs w:val="0"/>
          <w:szCs w:val="24"/>
        </w:rPr>
        <w:t>16</w:t>
      </w:r>
      <w:r>
        <w:rPr>
          <w:rFonts w:hint="eastAsia"/>
          <w:bCs w:val="0"/>
          <w:szCs w:val="24"/>
        </w:rPr>
        <w:t>、合同资产</w:t>
      </w:r>
    </w:p>
    <w:p>
      <w:pPr>
        <w:pStyle w:val="14"/>
        <w:outlineLvl w:val="2"/>
        <w:rPr>
          <w:bCs w:val="0"/>
          <w:szCs w:val="24"/>
        </w:rPr>
      </w:pPr>
      <w:r>
        <w:rPr>
          <w:bCs w:val="0"/>
          <w:szCs w:val="24"/>
        </w:rPr>
        <w:t>17</w:t>
      </w:r>
      <w:r>
        <w:rPr>
          <w:rFonts w:hint="eastAsia"/>
          <w:bCs w:val="0"/>
          <w:szCs w:val="24"/>
        </w:rPr>
        <w:t>、合同成本</w:t>
      </w:r>
    </w:p>
    <w:p>
      <w:pPr>
        <w:pStyle w:val="14"/>
        <w:outlineLvl w:val="2"/>
        <w:rPr>
          <w:bCs w:val="0"/>
          <w:szCs w:val="24"/>
        </w:rPr>
      </w:pPr>
      <w:r>
        <w:rPr>
          <w:bCs w:val="0"/>
          <w:szCs w:val="24"/>
        </w:rPr>
        <w:t>18</w:t>
      </w:r>
      <w:r>
        <w:rPr>
          <w:rFonts w:hint="eastAsia"/>
          <w:bCs w:val="0"/>
          <w:szCs w:val="24"/>
        </w:rPr>
        <w:t>、持有待售资产</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本公司将同时满足下列条件的非流动资产或处置组划分为持有待售类别：</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）根据类似交易中出售此类资产或处置组的惯例，在当前状况下即可立即出售；</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）出售极可能发生，即本公司已经就一项出售计划作出决议且获得确定的购买承诺，预计出售将在一年内完成。有关规定要求本公司相关权力机构或者监管部门批准后方可出售的，已经获得批准。</w:t>
      </w:r>
    </w:p>
    <w:p>
      <w:pPr>
        <w:pStyle w:val="14"/>
        <w:outlineLvl w:val="2"/>
        <w:rPr>
          <w:bCs w:val="0"/>
          <w:szCs w:val="24"/>
        </w:rPr>
      </w:pPr>
      <w:r>
        <w:rPr>
          <w:bCs w:val="0"/>
          <w:szCs w:val="24"/>
        </w:rPr>
        <w:t>19</w:t>
      </w:r>
      <w:r>
        <w:rPr>
          <w:rFonts w:hint="eastAsia"/>
          <w:bCs w:val="0"/>
          <w:szCs w:val="24"/>
        </w:rPr>
        <w:t>、债权投资</w:t>
      </w:r>
    </w:p>
    <w:p>
      <w:pPr>
        <w:pStyle w:val="14"/>
        <w:outlineLvl w:val="2"/>
        <w:rPr>
          <w:bCs w:val="0"/>
          <w:szCs w:val="24"/>
        </w:rPr>
      </w:pPr>
      <w:r>
        <w:rPr>
          <w:bCs w:val="0"/>
          <w:szCs w:val="24"/>
        </w:rPr>
        <w:t>20</w:t>
      </w:r>
      <w:r>
        <w:rPr>
          <w:rFonts w:hint="eastAsia"/>
          <w:bCs w:val="0"/>
          <w:szCs w:val="24"/>
        </w:rPr>
        <w:t>、其他债权投资</w:t>
      </w:r>
    </w:p>
    <w:p>
      <w:pPr>
        <w:pStyle w:val="14"/>
        <w:outlineLvl w:val="2"/>
        <w:rPr>
          <w:bCs w:val="0"/>
          <w:szCs w:val="24"/>
        </w:rPr>
      </w:pPr>
      <w:r>
        <w:rPr>
          <w:bCs w:val="0"/>
          <w:szCs w:val="24"/>
        </w:rPr>
        <w:t>21</w:t>
      </w:r>
      <w:r>
        <w:rPr>
          <w:rFonts w:hint="eastAsia"/>
          <w:bCs w:val="0"/>
          <w:szCs w:val="24"/>
        </w:rPr>
        <w:t>、长期应收款</w:t>
      </w:r>
    </w:p>
    <w:p>
      <w:pPr>
        <w:pStyle w:val="14"/>
        <w:numPr>
          <w:ilvl w:val="0"/>
          <w:numId w:val="11"/>
        </w:numPr>
        <w:outlineLvl w:val="2"/>
        <w:rPr>
          <w:bCs w:val="0"/>
          <w:szCs w:val="24"/>
        </w:rPr>
      </w:pPr>
      <w:r>
        <w:rPr>
          <w:rFonts w:hint="eastAsia"/>
          <w:bCs w:val="0"/>
          <w:szCs w:val="24"/>
        </w:rPr>
        <w:t>长期股权投资</w:t>
      </w:r>
    </w:p>
    <w:p>
      <w:pPr>
        <w:autoSpaceDE w:val="0"/>
        <w:autoSpaceDN w:val="0"/>
        <w:adjustRightInd w:val="0"/>
        <w:spacing w:before="0" w:after="0"/>
        <w:rPr>
          <w:rFonts w:eastAsia="Times New Roman"/>
          <w:b/>
          <w:kern w:val="0"/>
          <w:lang w:val="zh-CN"/>
        </w:rPr>
      </w:pPr>
      <w:r>
        <w:rPr>
          <w:rFonts w:hint="eastAsia" w:ascii="宋体" w:hAnsi="宋体" w:cs="宋体"/>
          <w:b/>
          <w:kern w:val="0"/>
          <w:lang w:val="zh-CN"/>
        </w:rPr>
        <w:t>1、共同控制、重大影响的判断标准</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重大影响，是指对一个企业的财务和经营决策有参与决策的权力，但并不能够控制或者与其他方一起共同控制这些政策的制定。本公司能够对被投资单位施加重大影响的，被投资单位为本公司联营企业。</w:t>
      </w:r>
    </w:p>
    <w:p>
      <w:pPr>
        <w:pStyle w:val="24"/>
        <w:numPr>
          <w:ilvl w:val="0"/>
          <w:numId w:val="12"/>
        </w:numPr>
        <w:autoSpaceDE w:val="0"/>
        <w:autoSpaceDN w:val="0"/>
        <w:adjustRightInd w:val="0"/>
        <w:spacing w:before="0" w:after="0"/>
        <w:ind w:firstLineChars="0"/>
        <w:rPr>
          <w:rFonts w:eastAsia="Times New Roman"/>
          <w:b/>
          <w:kern w:val="0"/>
          <w:lang w:val="zh-CN"/>
        </w:rPr>
      </w:pPr>
      <w:r>
        <w:rPr>
          <w:rFonts w:hint="eastAsia" w:ascii="宋体" w:hAnsi="宋体" w:cs="宋体"/>
          <w:b/>
          <w:kern w:val="0"/>
          <w:lang w:val="zh-CN"/>
        </w:rPr>
        <w:t>初始投资成本的确定</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）企业合并形成的长期股权投资</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同一控制下的企业合并：公司以支付现金、转让非现金资产或承担债务方式以及以发行权益性证券作为合并对价的，在合并日按照取得被合并方所有者权益在最终控制方合并财务报表中的账面价值的份额作为长期股权投资的初始投资成本。因追加投资等原因能够对同一控制下的被投资单位实施控制的，在合并日根据合并后应享有被合并方净资产在最终控制方合并财务报表中的账面价值的份额，确定长期股权投资的初始投资成本。合并日长期股权投资的初始投资成本，与达到合并前的长期股权投资账面价值加上合并日进一步取得股份新支付对价的账面价值之和的差额，调整股本溢价，股本溢价不足冲减的，冲减留存收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非同一控制下的企业合并：公司按照购买日确定的合并成本作为长期股权投资的初始投资成本。因追加投资等原因能够对非同一控制下的被投资单位实施控制的，按照原持有的股权投资账面价值加上新增投资成本之和，作为改按成本法核算的初始投资成本。</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）其他方式取得的长期股权投资</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以支付现金方式取得的长期股权投资，按照实际支付的购买价款作为初始投资成本。</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以发行权益性证券取得的长期股权投资，按照发行权益性证券的公允价值作为初始投资成本。</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在非货币性资产交换具有商业实质，且换入资产或换出资产的公允价值能够可靠计量时，以公允价值为基础计量。如换入资产和换出资产的公允价值均能可靠计量的，对于换入的长期股权投资，以换出资产的公允价值和应支付的相关税费作为换入的长期股权投资的初始投资成本，除非有确凿证据表明换入资产的公允价值更加可靠。非货币性资产交换不具有商业实质，或换入资产和换出资产的公允价值均不能可靠计量的，对于换入的长期股权投资，以换出资产的账面价值和应支付的相关税费作为换入长期股权投资的初始投资成本。</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通过债务重组取得的长期股权投资，以所放弃债权的公允价值和可直接归属于该资产的税金等其他成本确定其入账价值，并将所放弃债权的公允价值与账面价值之间的差额，计入当期损益。</w:t>
      </w:r>
    </w:p>
    <w:p>
      <w:pPr>
        <w:pStyle w:val="24"/>
        <w:numPr>
          <w:ilvl w:val="0"/>
          <w:numId w:val="12"/>
        </w:numPr>
        <w:autoSpaceDE w:val="0"/>
        <w:autoSpaceDN w:val="0"/>
        <w:adjustRightInd w:val="0"/>
        <w:spacing w:before="0" w:after="0"/>
        <w:ind w:firstLineChars="0"/>
        <w:rPr>
          <w:rFonts w:eastAsia="Times New Roman"/>
          <w:b/>
          <w:kern w:val="0"/>
          <w:lang w:val="zh-CN"/>
        </w:rPr>
      </w:pPr>
      <w:r>
        <w:rPr>
          <w:rFonts w:hint="eastAsia" w:ascii="宋体" w:hAnsi="宋体" w:cs="宋体"/>
          <w:b/>
          <w:kern w:val="0"/>
          <w:lang w:val="zh-CN"/>
        </w:rPr>
        <w:t>后续计量及损益确认方法</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）成本法核算的长期股权投资</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公司对子公司的长期股权投资，采用成本法核算。除取得投资时实际支付的价款或对价中包含的已宣告但尚未发放的现金股利或利润外，公司按照享有被投资单位宣告发放的现金股利或利润确认当期投资收益。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）权益法核算的长期股权投资</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在确认应享有被投资单位净损益的份额时，以取得投资时被投资单位可辨认净资产的公允价值为基础，并按照公司的会计政策及会计期间，对被投资单位的净利润进行调整后确认。在持有投资期间，被投资单位编制合并财务报表的，以合并财务报表中的净利润、其他综合收益和其他所有者权益变动中归属于被投资单位的金额为基础进行核算。</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公司与联营企业、合营企业之间发生的未实现内部交易损益按照应享有的比例计算归属于公司的部分，予以抵销，在此基础上确认投资收益。与被投资单位发生的未实现内部交易损失，属于资产减值损失的，全额确认。</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在公司确认应分担被投资单位发生的亏损时，按照以下顺序进行处理：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）长期股权投资的处置</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处置长期股权投资，其账面价值与实际取得价款的差额，计入当期损益。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采用权益法核算的长期股权投资，在处置该项投资时，采用与被投资单位直接处置相关资产或负债相同的基础，按相应比例对原计入其他综合收益的部分进行会计处理。因被投资单位除净损益、其他综合收益和利润分配以外的其他所有者权益变动而确认的所有者权益，按比例结转入当期损益，由于被投资方重新计量设定受益计划净负债或净资产变动而产生的其他综合收益除外。</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因处置部分股权投资等原因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核算时全部转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因处置部分股权投资、因其他投资方对子公司增资而导致本公司持股比例下降等原因丧失了对被投资单位控制权的，在编制个别财务报表时，剩余股权能够对被投资单位实施共同控制或重大影响的，改按权益法核算，并对该剩余股权视同自取得时即采用权益法核算进行调整；剩余股权不能对被投资单位实施共同控制或施加重大影响的，改按金融工具确认和计量准则的有关规定进行会计处理，其在丧失控制之日的公允价值与账面价值间的差额计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处置的股权是因追加投资等原因通过企业合并取得的，在编制个别财务报表时，处置后的剩余股权采用成本法或权益法核算的，购买日之前持有的股权投资因采用权益法核算而确认的其他综合收益和其他所有者权益按比例结转；处置后的剩余股权改按金融工具确认和计量准则进行会计处理的，其他综合收益和其他所有者权益全部结转。</w:t>
      </w:r>
    </w:p>
    <w:p>
      <w:pPr>
        <w:autoSpaceDE w:val="0"/>
        <w:autoSpaceDN w:val="0"/>
        <w:adjustRightInd w:val="0"/>
        <w:spacing w:before="0" w:after="0"/>
        <w:jc w:val="left"/>
        <w:rPr>
          <w:rFonts w:eastAsia="Times New Roman"/>
          <w:kern w:val="0"/>
          <w:szCs w:val="24"/>
          <w:lang w:val="zh-CN"/>
        </w:rPr>
      </w:pPr>
    </w:p>
    <w:p>
      <w:pPr>
        <w:pStyle w:val="14"/>
        <w:outlineLvl w:val="2"/>
        <w:rPr>
          <w:bCs w:val="0"/>
          <w:szCs w:val="24"/>
        </w:rPr>
      </w:pPr>
      <w:r>
        <w:rPr>
          <w:bCs w:val="0"/>
          <w:szCs w:val="24"/>
        </w:rPr>
        <w:t>23</w:t>
      </w:r>
      <w:r>
        <w:rPr>
          <w:rFonts w:hint="eastAsia"/>
          <w:bCs w:val="0"/>
          <w:szCs w:val="24"/>
        </w:rPr>
        <w:t>、投资性房地产</w:t>
      </w:r>
    </w:p>
    <w:p>
      <w:pPr>
        <w:ind w:firstLine="360" w:firstLineChars="200"/>
        <w:jc w:val="left"/>
      </w:pPr>
      <w:r>
        <w:rPr>
          <w:rFonts w:hint="eastAsia"/>
        </w:rPr>
        <w:t>投资性房地产计量模式</w:t>
      </w:r>
    </w:p>
    <w:p>
      <w:pPr>
        <w:ind w:firstLine="360" w:firstLineChars="200"/>
        <w:jc w:val="left"/>
      </w:pPr>
      <w:r>
        <w:rPr>
          <w:rFonts w:hint="eastAsia"/>
        </w:rPr>
        <w:t>成本法计量</w:t>
      </w:r>
    </w:p>
    <w:p>
      <w:pPr>
        <w:ind w:firstLine="360" w:firstLineChars="200"/>
        <w:jc w:val="left"/>
      </w:pPr>
      <w:r>
        <w:rPr>
          <w:rFonts w:hint="eastAsia"/>
        </w:rPr>
        <w:t>折旧或摊销方法</w:t>
      </w:r>
    </w:p>
    <w:p>
      <w:pPr>
        <w:autoSpaceDE w:val="0"/>
        <w:autoSpaceDN w:val="0"/>
        <w:adjustRightInd w:val="0"/>
        <w:spacing w:before="0" w:after="0"/>
        <w:ind w:firstLine="360"/>
        <w:jc w:val="left"/>
        <w:rPr>
          <w:rFonts w:eastAsia="Times New Roman"/>
          <w:kern w:val="0"/>
          <w:lang w:val="zh-CN"/>
        </w:rPr>
      </w:pPr>
      <w:r>
        <w:rPr>
          <w:rFonts w:hint="eastAsia" w:ascii="宋体" w:hAnsi="宋体" w:cs="宋体"/>
          <w:kern w:val="0"/>
          <w:lang w:val="zh-CN"/>
        </w:rPr>
        <w:t>投资性房地产是指为赚取租金或资本增值，或两者兼有而持有的房地产，包括已出租的土地使用权、持有并准备增值后转让的土地使用权、已出租的建筑物（含自行建造或开发活动完成后用于出租的建筑物以及正在建造或开发过程中将来用于出租的建筑物）。</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本公司对现有投资性房地产采用成本模式计量。对按照成本模式计量的投资性房地产－出租用建筑物采用与本公司固定资产相同的折旧政策，出租用土地使用权按与无形资产相同的摊销政策执行。</w:t>
      </w:r>
    </w:p>
    <w:p>
      <w:pPr>
        <w:pStyle w:val="14"/>
        <w:outlineLvl w:val="2"/>
        <w:rPr>
          <w:bCs w:val="0"/>
          <w:szCs w:val="24"/>
        </w:rPr>
      </w:pPr>
      <w:r>
        <w:rPr>
          <w:bCs w:val="0"/>
          <w:szCs w:val="24"/>
        </w:rPr>
        <w:t>24</w:t>
      </w:r>
      <w:r>
        <w:rPr>
          <w:rFonts w:hint="eastAsia"/>
          <w:bCs w:val="0"/>
          <w:szCs w:val="24"/>
        </w:rPr>
        <w:t>、固定资产</w:t>
      </w:r>
    </w:p>
    <w:p>
      <w:pPr>
        <w:pStyle w:val="14"/>
        <w:outlineLvl w:val="3"/>
        <w:rPr>
          <w:bCs w:val="0"/>
          <w:szCs w:val="24"/>
        </w:rPr>
      </w:pPr>
      <w:r>
        <w:rPr>
          <w:rFonts w:hint="eastAsia"/>
          <w:bCs w:val="0"/>
          <w:szCs w:val="24"/>
        </w:rPr>
        <w:t>（</w:t>
      </w:r>
      <w:r>
        <w:rPr>
          <w:bCs w:val="0"/>
          <w:szCs w:val="24"/>
        </w:rPr>
        <w:t>1</w:t>
      </w:r>
      <w:r>
        <w:rPr>
          <w:rFonts w:hint="eastAsia"/>
          <w:bCs w:val="0"/>
          <w:szCs w:val="24"/>
        </w:rPr>
        <w:t>）确认条件</w:t>
      </w:r>
    </w:p>
    <w:p>
      <w:pPr>
        <w:ind w:firstLine="360" w:firstLineChars="200"/>
        <w:jc w:val="left"/>
        <w:rPr>
          <w:szCs w:val="24"/>
        </w:rPr>
      </w:pPr>
      <w:r>
        <w:rPr>
          <w:rFonts w:hint="eastAsia"/>
          <w:szCs w:val="24"/>
        </w:rPr>
        <w:t>固定资产指为生产商品、提供劳务、出租或经营管理而持有，并且使用寿命超过一个会计年度的有形资产。固定资产在同时满足下列条件时予以确认：（</w:t>
      </w:r>
      <w:r>
        <w:rPr>
          <w:szCs w:val="24"/>
        </w:rPr>
        <w:t>1</w:t>
      </w:r>
      <w:r>
        <w:rPr>
          <w:rFonts w:hint="eastAsia"/>
          <w:szCs w:val="24"/>
        </w:rPr>
        <w:t>）与该固定资产有关的经济利益很可能流入企业；（</w:t>
      </w:r>
      <w:r>
        <w:rPr>
          <w:szCs w:val="24"/>
        </w:rPr>
        <w:t>2</w:t>
      </w:r>
      <w:r>
        <w:rPr>
          <w:rFonts w:hint="eastAsia"/>
          <w:szCs w:val="24"/>
        </w:rPr>
        <w:t>）该固定资产的成本能够可靠地计量。</w:t>
      </w:r>
    </w:p>
    <w:p>
      <w:pPr>
        <w:pStyle w:val="14"/>
        <w:outlineLvl w:val="3"/>
        <w:rPr>
          <w:bCs w:val="0"/>
          <w:szCs w:val="24"/>
        </w:rPr>
      </w:pPr>
      <w:r>
        <w:rPr>
          <w:rFonts w:hint="eastAsia"/>
          <w:bCs w:val="0"/>
          <w:szCs w:val="24"/>
        </w:rPr>
        <w:t>（</w:t>
      </w:r>
      <w:r>
        <w:rPr>
          <w:bCs w:val="0"/>
          <w:szCs w:val="24"/>
        </w:rPr>
        <w:t>2</w:t>
      </w:r>
      <w:r>
        <w:rPr>
          <w:rFonts w:hint="eastAsia"/>
          <w:bCs w:val="0"/>
          <w:szCs w:val="24"/>
        </w:rPr>
        <w:t>）折旧方法</w:t>
      </w:r>
    </w:p>
    <w:tbl>
      <w:tblPr>
        <w:tblStyle w:val="9"/>
        <w:tblW w:w="0" w:type="auto"/>
        <w:tblInd w:w="28" w:type="dxa"/>
        <w:tblLayout w:type="fixed"/>
        <w:tblCellMar>
          <w:top w:w="0" w:type="dxa"/>
          <w:left w:w="28" w:type="dxa"/>
          <w:bottom w:w="0" w:type="dxa"/>
          <w:right w:w="28" w:type="dxa"/>
        </w:tblCellMar>
      </w:tblPr>
      <w:tblGrid>
        <w:gridCol w:w="1914"/>
        <w:gridCol w:w="1914"/>
        <w:gridCol w:w="1914"/>
        <w:gridCol w:w="1914"/>
        <w:gridCol w:w="1914"/>
      </w:tblGrid>
      <w:tr>
        <w:tblPrEx>
          <w:tblCellMar>
            <w:top w:w="0" w:type="dxa"/>
            <w:left w:w="28" w:type="dxa"/>
            <w:bottom w:w="0" w:type="dxa"/>
            <w:right w:w="28" w:type="dxa"/>
          </w:tblCellMar>
        </w:tblPrEx>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类别</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折旧方法</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折旧年限</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残值率</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年折旧率</w:t>
            </w:r>
          </w:p>
        </w:tc>
      </w:tr>
      <w:tr>
        <w:tblPrEx>
          <w:tblCellMar>
            <w:top w:w="0" w:type="dxa"/>
            <w:left w:w="28" w:type="dxa"/>
            <w:bottom w:w="0" w:type="dxa"/>
            <w:right w:w="28" w:type="dxa"/>
          </w:tblCellMar>
        </w:tblPrEx>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房屋及建筑物</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年限平均法</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5%</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4.75%</w:t>
            </w:r>
          </w:p>
        </w:tc>
      </w:tr>
      <w:tr>
        <w:tblPrEx>
          <w:tblCellMar>
            <w:top w:w="0" w:type="dxa"/>
            <w:left w:w="28" w:type="dxa"/>
            <w:bottom w:w="0" w:type="dxa"/>
            <w:right w:w="28" w:type="dxa"/>
          </w:tblCellMar>
        </w:tblPrEx>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机器设备</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年限平均法</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3-10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0-5%</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33.33-9.50%</w:t>
            </w:r>
          </w:p>
        </w:tc>
      </w:tr>
      <w:tr>
        <w:tblPrEx>
          <w:tblCellMar>
            <w:top w:w="0" w:type="dxa"/>
            <w:left w:w="28" w:type="dxa"/>
            <w:bottom w:w="0" w:type="dxa"/>
            <w:right w:w="28" w:type="dxa"/>
          </w:tblCellMar>
        </w:tblPrEx>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运输设备</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年限平均法</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4-5</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5%</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23.75-19.00%</w:t>
            </w:r>
          </w:p>
        </w:tc>
      </w:tr>
      <w:tr>
        <w:tblPrEx>
          <w:tblCellMar>
            <w:top w:w="0" w:type="dxa"/>
            <w:left w:w="28" w:type="dxa"/>
            <w:bottom w:w="0" w:type="dxa"/>
            <w:right w:w="28" w:type="dxa"/>
          </w:tblCellMar>
        </w:tblPrEx>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电子设备及其他</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年限平均法</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4-10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0-5%</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25.00-9.50%</w:t>
            </w:r>
          </w:p>
        </w:tc>
      </w:tr>
    </w:tbl>
    <w:p>
      <w:pPr>
        <w:pStyle w:val="14"/>
        <w:outlineLvl w:val="3"/>
        <w:rPr>
          <w:bCs w:val="0"/>
          <w:szCs w:val="24"/>
        </w:rPr>
      </w:pPr>
      <w:r>
        <w:rPr>
          <w:rFonts w:hint="eastAsia"/>
          <w:bCs w:val="0"/>
          <w:szCs w:val="24"/>
        </w:rPr>
        <w:t>（</w:t>
      </w:r>
      <w:r>
        <w:rPr>
          <w:bCs w:val="0"/>
          <w:szCs w:val="24"/>
        </w:rPr>
        <w:t>3</w:t>
      </w:r>
      <w:r>
        <w:rPr>
          <w:rFonts w:hint="eastAsia"/>
          <w:bCs w:val="0"/>
          <w:szCs w:val="24"/>
        </w:rPr>
        <w:t>）融资租入固定资产的认定依据、计价和折旧方法</w:t>
      </w:r>
    </w:p>
    <w:p>
      <w:pPr>
        <w:ind w:firstLine="360" w:firstLineChars="200"/>
        <w:jc w:val="left"/>
      </w:pPr>
      <w:r>
        <w:rPr>
          <w:rFonts w:hint="eastAsia"/>
        </w:rPr>
        <w:t>公司与租赁方所签订的租赁协议条款中规定了下列条件之一的，确认为融资租入资产：（</w:t>
      </w:r>
      <w:r>
        <w:t>1</w:t>
      </w:r>
      <w:r>
        <w:rPr>
          <w:rFonts w:hint="eastAsia"/>
        </w:rPr>
        <w:t>）租赁期满后租赁资产的所有权归属于本公司；（</w:t>
      </w:r>
      <w:r>
        <w:t>2</w:t>
      </w:r>
      <w:r>
        <w:rPr>
          <w:rFonts w:hint="eastAsia"/>
        </w:rPr>
        <w:t>）公司具有购买资产的选择权，购买价款远低于行使选择权时该资产的公允价值；（</w:t>
      </w:r>
      <w:r>
        <w:t>3</w:t>
      </w:r>
      <w:r>
        <w:rPr>
          <w:rFonts w:hint="eastAsia"/>
        </w:rPr>
        <w:t>）租赁期占所租赁资产使用寿命的大部分；（</w:t>
      </w:r>
      <w:r>
        <w:t>4</w:t>
      </w:r>
      <w:r>
        <w:rPr>
          <w:rFonts w:hint="eastAsia"/>
        </w:rPr>
        <w:t>）租赁开始日的最低租赁付款额现值，与该资产的公允价值不存在较大的差异。公司在承租开始日，将租赁资产公允价值与最低租赁付款额现值两者中较低者作为租入资产的入账价值，将最低租赁付款额作为长期应付款的入账价值，其差额作为未确认的融资费。</w:t>
      </w:r>
    </w:p>
    <w:p>
      <w:pPr>
        <w:pStyle w:val="14"/>
        <w:outlineLvl w:val="2"/>
        <w:rPr>
          <w:bCs w:val="0"/>
          <w:szCs w:val="24"/>
        </w:rPr>
      </w:pPr>
      <w:r>
        <w:rPr>
          <w:bCs w:val="0"/>
          <w:szCs w:val="24"/>
        </w:rPr>
        <w:t>25</w:t>
      </w:r>
      <w:r>
        <w:rPr>
          <w:rFonts w:hint="eastAsia"/>
          <w:bCs w:val="0"/>
          <w:szCs w:val="24"/>
        </w:rPr>
        <w:t>、在建工程</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在建工程项目按建造该项资产达到预定可使用状态前所发生的必要支出，作为固定资产的入账价值。所建造的固定资产在工程已达到预定可使用状态，但尚未办理竣工决算的，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p>
      <w:pPr>
        <w:autoSpaceDE w:val="0"/>
        <w:autoSpaceDN w:val="0"/>
        <w:adjustRightInd w:val="0"/>
        <w:spacing w:before="0" w:after="0"/>
        <w:jc w:val="left"/>
        <w:rPr>
          <w:rFonts w:eastAsia="Times New Roman"/>
          <w:kern w:val="0"/>
          <w:szCs w:val="24"/>
          <w:lang w:val="zh-CN"/>
        </w:rPr>
      </w:pPr>
    </w:p>
    <w:p>
      <w:pPr>
        <w:pStyle w:val="14"/>
        <w:numPr>
          <w:ilvl w:val="0"/>
          <w:numId w:val="13"/>
        </w:numPr>
        <w:outlineLvl w:val="2"/>
        <w:rPr>
          <w:bCs w:val="0"/>
          <w:szCs w:val="24"/>
        </w:rPr>
      </w:pPr>
      <w:r>
        <w:rPr>
          <w:rFonts w:hint="eastAsia"/>
          <w:bCs w:val="0"/>
          <w:szCs w:val="24"/>
        </w:rPr>
        <w:t>借款费用</w:t>
      </w:r>
    </w:p>
    <w:p>
      <w:pPr>
        <w:autoSpaceDE w:val="0"/>
        <w:autoSpaceDN w:val="0"/>
        <w:adjustRightInd w:val="0"/>
        <w:spacing w:before="0" w:after="0"/>
        <w:ind w:left="361"/>
        <w:rPr>
          <w:rFonts w:eastAsia="Times New Roman"/>
          <w:b/>
          <w:kern w:val="0"/>
          <w:lang w:val="zh-CN"/>
        </w:rPr>
      </w:pPr>
      <w:r>
        <w:rPr>
          <w:rFonts w:hint="eastAsia" w:ascii="宋体" w:hAnsi="宋体" w:cs="宋体"/>
          <w:b/>
          <w:kern w:val="0"/>
          <w:lang w:val="zh-CN"/>
        </w:rPr>
        <w:t>1、借款费用资本化的确认原则</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借款费用，包括借款利息、折价或者溢价的摊销、辅助费用以及因外币借款而发生的汇兑差额等。</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公司发生的借款费用，可直接归属于符合资本化条件的资产的购建或者生产的，予以资本化，计入相关资产成本；其他借款费用，在发生时根据其发生额确认为费用，计入当期损益。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符合资本化条件的资产，是指需要经过相当长时间的购建或者生产活动才能达到预定可使用或者可销售状态的固定资产、投资性房地产和存货等资产。</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借款费用同时满足下列条件时开始资本化：</w:t>
      </w:r>
      <w:r>
        <w:rPr>
          <w:rFonts w:eastAsia="Times New Roman"/>
          <w:kern w:val="0"/>
          <w:lang w:val="zh-CN"/>
        </w:rPr>
        <w:t xml:space="preserve"> </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）资产支出已经发生，资产支出包括为购建或者生产符合资本化条件的资产而以支付现金、转移非现金资产或者承担带息债务形式发生的支出；</w:t>
      </w:r>
      <w:r>
        <w:rPr>
          <w:rFonts w:eastAsia="Times New Roman"/>
          <w:kern w:val="0"/>
          <w:lang w:val="zh-CN"/>
        </w:rPr>
        <w:t xml:space="preserve"> </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）借款费用已经发生；</w:t>
      </w:r>
      <w:r>
        <w:rPr>
          <w:rFonts w:eastAsia="Times New Roman"/>
          <w:kern w:val="0"/>
          <w:lang w:val="zh-CN"/>
        </w:rPr>
        <w:t xml:space="preserve"> </w:t>
      </w:r>
    </w:p>
    <w:p>
      <w:pPr>
        <w:autoSpaceDE w:val="0"/>
        <w:autoSpaceDN w:val="0"/>
        <w:adjustRightInd w:val="0"/>
        <w:spacing w:before="0" w:after="0"/>
        <w:ind w:firstLine="360"/>
        <w:rPr>
          <w:rFonts w:eastAsia="Times New Roman"/>
          <w:kern w:val="0"/>
          <w:lang w:val="zh-CN"/>
        </w:rPr>
      </w:pPr>
      <w:r>
        <w:rPr>
          <w:rFonts w:hint="eastAsia" w:ascii="宋体" w:hAnsi="宋体" w:cs="宋体"/>
          <w:kern w:val="0"/>
          <w:lang w:val="zh-CN"/>
        </w:rPr>
        <w:t>（3）为使资产达到预定可使用或者可销售状态所必要的购建或者生产活动已经开始。</w:t>
      </w:r>
    </w:p>
    <w:p>
      <w:pPr>
        <w:autoSpaceDE w:val="0"/>
        <w:autoSpaceDN w:val="0"/>
        <w:adjustRightInd w:val="0"/>
        <w:spacing w:before="0" w:after="0"/>
        <w:ind w:firstLine="360" w:firstLineChars="200"/>
        <w:rPr>
          <w:rFonts w:eastAsia="Times New Roman"/>
          <w:kern w:val="0"/>
          <w:lang w:val="zh-CN"/>
        </w:rPr>
      </w:pPr>
    </w:p>
    <w:p>
      <w:pPr>
        <w:autoSpaceDE w:val="0"/>
        <w:autoSpaceDN w:val="0"/>
        <w:adjustRightInd w:val="0"/>
        <w:spacing w:before="0" w:after="0"/>
        <w:ind w:left="361"/>
        <w:rPr>
          <w:rFonts w:eastAsia="Times New Roman"/>
          <w:b/>
          <w:kern w:val="0"/>
          <w:lang w:val="zh-CN"/>
        </w:rPr>
      </w:pPr>
      <w:r>
        <w:rPr>
          <w:rFonts w:hint="eastAsia" w:ascii="宋体" w:hAnsi="宋体" w:cs="宋体"/>
          <w:b/>
          <w:kern w:val="0"/>
          <w:lang w:val="zh-CN"/>
        </w:rPr>
        <w:t>2、借款费用资本化期间</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资本化期间，指从借款费用开始资本化时点到停止资本化时点的期间，借款费用暂停资本化的期间不包括在内。</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当购建或者生产符合资本化条件的资产达到预定可使用或者可销售状态时，借款费用停止资本化。</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当购建或者生产符合资本化条件的资产中部分项目分别完工且可单独使用时，该部分资产借款费用停止资本化。</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购建或者生产的资产的各部分分别完工，但必须等到整体完工后才可使用或可对外销售的，在该资产整体完工时停止借款费用资本化。</w:t>
      </w:r>
    </w:p>
    <w:p>
      <w:pPr>
        <w:pStyle w:val="24"/>
        <w:numPr>
          <w:ilvl w:val="0"/>
          <w:numId w:val="14"/>
        </w:numPr>
        <w:autoSpaceDE w:val="0"/>
        <w:autoSpaceDN w:val="0"/>
        <w:adjustRightInd w:val="0"/>
        <w:spacing w:before="0" w:after="0"/>
        <w:ind w:firstLineChars="0"/>
        <w:rPr>
          <w:rFonts w:eastAsia="Times New Roman"/>
          <w:b/>
          <w:kern w:val="0"/>
          <w:lang w:val="zh-CN"/>
        </w:rPr>
      </w:pPr>
      <w:r>
        <w:rPr>
          <w:rFonts w:hint="eastAsia" w:ascii="宋体" w:hAnsi="宋体" w:cs="宋体"/>
          <w:b/>
          <w:kern w:val="0"/>
          <w:lang w:val="zh-CN"/>
        </w:rPr>
        <w:t>暂停资本化期间</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符合资本化条件的资产在购建或生产过程中发生的非正常中断、且中断时间连续超过</w:t>
      </w:r>
      <w:r>
        <w:rPr>
          <w:rFonts w:eastAsia="Times New Roman"/>
          <w:kern w:val="0"/>
          <w:lang w:val="zh-CN"/>
        </w:rPr>
        <w:t>3</w:t>
      </w:r>
      <w:r>
        <w:rPr>
          <w:rFonts w:hint="eastAsia" w:ascii="宋体" w:hAnsi="宋体" w:cs="宋体"/>
          <w:kern w:val="0"/>
          <w:lang w:val="zh-CN"/>
        </w:rPr>
        <w:t>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pPr>
        <w:pStyle w:val="24"/>
        <w:numPr>
          <w:ilvl w:val="0"/>
          <w:numId w:val="14"/>
        </w:numPr>
        <w:autoSpaceDE w:val="0"/>
        <w:autoSpaceDN w:val="0"/>
        <w:adjustRightInd w:val="0"/>
        <w:spacing w:before="0" w:after="0"/>
        <w:ind w:firstLineChars="0"/>
        <w:rPr>
          <w:rFonts w:eastAsia="Times New Roman"/>
          <w:b/>
          <w:kern w:val="0"/>
          <w:lang w:val="zh-CN"/>
        </w:rPr>
      </w:pPr>
      <w:r>
        <w:rPr>
          <w:rFonts w:hint="eastAsia" w:ascii="宋体" w:hAnsi="宋体" w:cs="宋体"/>
          <w:b/>
          <w:kern w:val="0"/>
          <w:lang w:val="zh-CN"/>
        </w:rPr>
        <w:t>借款费用资本化率、资本化金额的计算方法</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对于为购建或者生产符合资本化条件的资产而占用的一般借款，根据累计资产支出超过专门借款部分的资产支出加权平均数乘以所占用一般借款的资本化率，计算确定一般借款应予资本化的借款费用金额。资本化率根据一般借款加权平均利率计算确定。</w:t>
      </w:r>
    </w:p>
    <w:p>
      <w:pPr>
        <w:pStyle w:val="14"/>
        <w:outlineLvl w:val="2"/>
        <w:rPr>
          <w:bCs w:val="0"/>
          <w:szCs w:val="24"/>
        </w:rPr>
      </w:pPr>
      <w:r>
        <w:rPr>
          <w:bCs w:val="0"/>
          <w:szCs w:val="24"/>
        </w:rPr>
        <w:t>27</w:t>
      </w:r>
      <w:r>
        <w:rPr>
          <w:rFonts w:hint="eastAsia"/>
          <w:bCs w:val="0"/>
          <w:szCs w:val="24"/>
        </w:rPr>
        <w:t>、生物资产</w:t>
      </w:r>
    </w:p>
    <w:p>
      <w:pPr>
        <w:pStyle w:val="14"/>
        <w:outlineLvl w:val="2"/>
        <w:rPr>
          <w:bCs w:val="0"/>
          <w:szCs w:val="24"/>
        </w:rPr>
      </w:pPr>
      <w:r>
        <w:rPr>
          <w:bCs w:val="0"/>
          <w:szCs w:val="24"/>
        </w:rPr>
        <w:t>28</w:t>
      </w:r>
      <w:r>
        <w:rPr>
          <w:rFonts w:hint="eastAsia"/>
          <w:bCs w:val="0"/>
          <w:szCs w:val="24"/>
        </w:rPr>
        <w:t>、油气资产</w:t>
      </w:r>
    </w:p>
    <w:p>
      <w:pPr>
        <w:pStyle w:val="14"/>
        <w:outlineLvl w:val="2"/>
        <w:rPr>
          <w:bCs w:val="0"/>
          <w:szCs w:val="24"/>
        </w:rPr>
      </w:pPr>
      <w:r>
        <w:rPr>
          <w:bCs w:val="0"/>
          <w:szCs w:val="24"/>
        </w:rPr>
        <w:t>29</w:t>
      </w:r>
      <w:r>
        <w:rPr>
          <w:rFonts w:hint="eastAsia"/>
          <w:bCs w:val="0"/>
          <w:szCs w:val="24"/>
        </w:rPr>
        <w:t>、使用权资产</w:t>
      </w:r>
    </w:p>
    <w:p>
      <w:pPr>
        <w:pStyle w:val="14"/>
        <w:outlineLvl w:val="2"/>
        <w:rPr>
          <w:bCs w:val="0"/>
          <w:szCs w:val="24"/>
        </w:rPr>
      </w:pPr>
      <w:r>
        <w:rPr>
          <w:bCs w:val="0"/>
          <w:szCs w:val="24"/>
        </w:rPr>
        <w:t>30</w:t>
      </w:r>
      <w:r>
        <w:rPr>
          <w:rFonts w:hint="eastAsia"/>
          <w:bCs w:val="0"/>
          <w:szCs w:val="24"/>
        </w:rPr>
        <w:t>、无形资产</w:t>
      </w:r>
    </w:p>
    <w:p>
      <w:pPr>
        <w:pStyle w:val="14"/>
        <w:outlineLvl w:val="3"/>
        <w:rPr>
          <w:bCs w:val="0"/>
          <w:szCs w:val="24"/>
        </w:rPr>
      </w:pPr>
      <w:r>
        <w:rPr>
          <w:rFonts w:hint="eastAsia"/>
          <w:bCs w:val="0"/>
          <w:szCs w:val="24"/>
        </w:rPr>
        <w:t>（</w:t>
      </w:r>
      <w:r>
        <w:rPr>
          <w:bCs w:val="0"/>
          <w:szCs w:val="24"/>
        </w:rPr>
        <w:t>1</w:t>
      </w:r>
      <w:r>
        <w:rPr>
          <w:rFonts w:hint="eastAsia"/>
          <w:bCs w:val="0"/>
          <w:szCs w:val="24"/>
        </w:rPr>
        <w:t>）计价方法、使用寿命、减值测试</w:t>
      </w:r>
    </w:p>
    <w:p>
      <w:pPr>
        <w:autoSpaceDE w:val="0"/>
        <w:autoSpaceDN w:val="0"/>
        <w:adjustRightInd w:val="0"/>
        <w:spacing w:before="0" w:after="0"/>
        <w:rPr>
          <w:rFonts w:eastAsia="Times New Roman"/>
          <w:b/>
          <w:kern w:val="0"/>
          <w:lang w:val="zh-CN"/>
        </w:rPr>
      </w:pPr>
      <w:r>
        <w:rPr>
          <w:rFonts w:hint="eastAsia" w:ascii="宋体" w:hAnsi="宋体" w:cs="宋体"/>
          <w:b/>
          <w:kern w:val="0"/>
          <w:lang w:val="zh-CN"/>
        </w:rPr>
        <w:t>1</w:t>
      </w:r>
      <w:r>
        <w:rPr>
          <w:rFonts w:ascii="宋体" w:hAnsi="宋体" w:cs="宋体"/>
          <w:b/>
          <w:kern w:val="0"/>
          <w:lang w:val="zh-CN"/>
        </w:rPr>
        <w:t>.</w:t>
      </w:r>
      <w:r>
        <w:rPr>
          <w:rFonts w:hint="eastAsia" w:ascii="宋体" w:hAnsi="宋体" w:cs="宋体"/>
          <w:b/>
          <w:kern w:val="0"/>
          <w:lang w:val="zh-CN"/>
        </w:rPr>
        <w:t>无形资产的计价方法</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）公司取得无形资产时按成本进行初始计量；</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外购无形资产的成本，包括购买价款、相关税费以及直接归属于使该项资产达到预定用途所发生的其他支出。购买无形资产的价款超过正常信用条件延期支付，实质上具有融资性质的，无形资产的成本以购买价款的现值为基础确定。</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债务重组取得债务人用以抵债的无形资产，以所放弃债权的公允价值和可直接归属于使该资产达到预定用途所发生的税金等其他成本确定其入账价值，并将所放弃债权的公允价值与账面价值之间的差额，计入当期损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在非货币性资产交换具有商业实质，且换入资产或换出资产的公允价值能够可靠计量时，以公允价值为基础计量。如换入资产和换出资产的公允价值均能可靠计量的，对于换入的无形资产，以换出资产的公允价值和应支付的相关税费作为换入的无形资产的初始投资成本，除非有确凿证据表明换入资产的公允价值更加可靠。非货币性资产交换不具有商业实质，或换入资产和换出资产的公允价值均不能可靠计量的，对于换入的无形资产，以换出资产的账面价值和应支付的相关税费作为换入无形资产的初始投资成本。</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）后续计量</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在取得无形资产时分析判断其使用寿命。</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对于使用寿命有限的无形资产，在为企业带来经济利益的期限内按直线法摊销；无法预见无形资产为企业带来经济利益期限的，视为使用寿命不确定的无形资产，不予摊销。</w:t>
      </w:r>
    </w:p>
    <w:p>
      <w:pPr>
        <w:autoSpaceDE w:val="0"/>
        <w:autoSpaceDN w:val="0"/>
        <w:adjustRightInd w:val="0"/>
        <w:spacing w:before="0" w:after="0"/>
        <w:rPr>
          <w:rFonts w:eastAsia="Times New Roman"/>
          <w:b/>
          <w:kern w:val="0"/>
          <w:lang w:val="zh-CN"/>
        </w:rPr>
      </w:pPr>
      <w:r>
        <w:rPr>
          <w:rFonts w:hint="eastAsia" w:ascii="宋体" w:hAnsi="宋体" w:cs="宋体"/>
          <w:b/>
          <w:kern w:val="0"/>
          <w:lang w:val="zh-CN"/>
        </w:rPr>
        <w:t>2</w:t>
      </w:r>
      <w:r>
        <w:rPr>
          <w:rFonts w:ascii="宋体" w:hAnsi="宋体" w:cs="宋体"/>
          <w:b/>
          <w:kern w:val="0"/>
          <w:lang w:val="zh-CN"/>
        </w:rPr>
        <w:t>.</w:t>
      </w:r>
      <w:r>
        <w:rPr>
          <w:rFonts w:hint="eastAsia" w:ascii="宋体" w:hAnsi="宋体" w:cs="宋体"/>
          <w:b/>
          <w:kern w:val="0"/>
          <w:lang w:val="zh-CN"/>
        </w:rPr>
        <w:t>使用寿命有限的无形资产的使用寿命估计情况</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 w:type="dxa"/>
          <w:left w:w="10" w:type="dxa"/>
          <w:bottom w:w="10" w:type="dxa"/>
          <w:right w:w="10" w:type="dxa"/>
        </w:tblCellMar>
      </w:tblPr>
      <w:tblGrid>
        <w:gridCol w:w="4829"/>
        <w:gridCol w:w="4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2500" w:type="pct"/>
          </w:tcPr>
          <w:p>
            <w:pPr>
              <w:autoSpaceDE w:val="0"/>
              <w:autoSpaceDN w:val="0"/>
              <w:adjustRightInd w:val="0"/>
              <w:spacing w:before="0" w:after="0"/>
              <w:ind w:firstLine="360" w:firstLineChars="200"/>
              <w:jc w:val="center"/>
              <w:rPr>
                <w:rFonts w:eastAsia="Times New Roman"/>
                <w:kern w:val="0"/>
                <w:lang w:val="zh-CN"/>
              </w:rPr>
            </w:pPr>
            <w:r>
              <w:rPr>
                <w:rFonts w:hint="eastAsia" w:ascii="宋体" w:hAnsi="宋体" w:cs="宋体"/>
                <w:kern w:val="0"/>
                <w:lang w:val="zh-CN"/>
              </w:rPr>
              <w:t>项目</w:t>
            </w:r>
          </w:p>
        </w:tc>
        <w:tc>
          <w:tcPr>
            <w:tcW w:w="2500" w:type="pct"/>
          </w:tcPr>
          <w:p>
            <w:pPr>
              <w:autoSpaceDE w:val="0"/>
              <w:autoSpaceDN w:val="0"/>
              <w:adjustRightInd w:val="0"/>
              <w:spacing w:before="0" w:after="0"/>
              <w:ind w:firstLine="360" w:firstLineChars="200"/>
              <w:jc w:val="center"/>
              <w:rPr>
                <w:rFonts w:eastAsia="Times New Roman"/>
                <w:kern w:val="0"/>
                <w:lang w:val="zh-CN"/>
              </w:rPr>
            </w:pPr>
            <w:r>
              <w:rPr>
                <w:rFonts w:hint="eastAsia" w:ascii="宋体" w:hAnsi="宋体" w:cs="宋体"/>
                <w:kern w:val="0"/>
                <w:lang w:val="zh-CN"/>
              </w:rPr>
              <w:t>预计使用寿命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2500" w:type="pct"/>
          </w:tcPr>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土地使用权</w:t>
            </w:r>
          </w:p>
        </w:tc>
        <w:tc>
          <w:tcPr>
            <w:tcW w:w="2500" w:type="pct"/>
          </w:tcPr>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土地使用权证登记使用年限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2500" w:type="pct"/>
          </w:tcPr>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软件</w:t>
            </w:r>
          </w:p>
        </w:tc>
        <w:tc>
          <w:tcPr>
            <w:tcW w:w="2500" w:type="pct"/>
          </w:tcPr>
          <w:p>
            <w:pPr>
              <w:autoSpaceDE w:val="0"/>
              <w:autoSpaceDN w:val="0"/>
              <w:adjustRightInd w:val="0"/>
              <w:spacing w:before="0" w:after="0"/>
              <w:ind w:firstLine="360" w:firstLineChars="200"/>
              <w:jc w:val="left"/>
              <w:rPr>
                <w:rFonts w:eastAsia="Times New Roman"/>
                <w:kern w:val="0"/>
                <w:lang w:val="zh-CN"/>
              </w:rPr>
            </w:pPr>
            <w:r>
              <w:rPr>
                <w:rFonts w:eastAsia="Times New Roman"/>
                <w:kern w:val="0"/>
                <w:lang w:val="zh-CN"/>
              </w:rPr>
              <w:t>5</w:t>
            </w:r>
            <w:r>
              <w:rPr>
                <w:rFonts w:hint="eastAsia" w:ascii="宋体" w:hAnsi="宋体" w:cs="宋体"/>
                <w:kern w:val="0"/>
                <w:lang w:val="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2500" w:type="pct"/>
          </w:tcPr>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专利及非专利技术</w:t>
            </w:r>
          </w:p>
        </w:tc>
        <w:tc>
          <w:tcPr>
            <w:tcW w:w="2500" w:type="pct"/>
          </w:tcPr>
          <w:p>
            <w:pPr>
              <w:autoSpaceDE w:val="0"/>
              <w:autoSpaceDN w:val="0"/>
              <w:adjustRightInd w:val="0"/>
              <w:spacing w:before="0" w:after="0"/>
              <w:ind w:firstLine="360" w:firstLineChars="200"/>
              <w:jc w:val="left"/>
              <w:rPr>
                <w:rFonts w:eastAsia="Times New Roman"/>
                <w:kern w:val="0"/>
                <w:lang w:val="zh-CN"/>
              </w:rPr>
            </w:pPr>
            <w:r>
              <w:rPr>
                <w:rFonts w:eastAsia="Times New Roman"/>
                <w:kern w:val="0"/>
                <w:lang w:val="zh-CN"/>
              </w:rPr>
              <w:t>10</w:t>
            </w:r>
            <w:r>
              <w:rPr>
                <w:rFonts w:hint="eastAsia" w:ascii="宋体" w:hAnsi="宋体" w:cs="宋体"/>
                <w:kern w:val="0"/>
                <w:lang w:val="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2500" w:type="pct"/>
          </w:tcPr>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商标权</w:t>
            </w:r>
          </w:p>
        </w:tc>
        <w:tc>
          <w:tcPr>
            <w:tcW w:w="2500" w:type="pct"/>
          </w:tcPr>
          <w:p>
            <w:pPr>
              <w:autoSpaceDE w:val="0"/>
              <w:autoSpaceDN w:val="0"/>
              <w:adjustRightInd w:val="0"/>
              <w:spacing w:before="0" w:after="0"/>
              <w:ind w:firstLine="360" w:firstLineChars="200"/>
              <w:jc w:val="left"/>
              <w:rPr>
                <w:rFonts w:eastAsia="Times New Roman"/>
                <w:kern w:val="0"/>
                <w:lang w:val="zh-CN"/>
              </w:rPr>
            </w:pPr>
            <w:r>
              <w:rPr>
                <w:rFonts w:eastAsia="Times New Roman"/>
                <w:kern w:val="0"/>
                <w:lang w:val="zh-CN"/>
              </w:rPr>
              <w:t>10</w:t>
            </w:r>
            <w:r>
              <w:rPr>
                <w:rFonts w:hint="eastAsia" w:ascii="宋体" w:hAnsi="宋体" w:cs="宋体"/>
                <w:kern w:val="0"/>
                <w:lang w:val="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2500" w:type="pct"/>
          </w:tcPr>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客户关系</w:t>
            </w:r>
          </w:p>
        </w:tc>
        <w:tc>
          <w:tcPr>
            <w:tcW w:w="2500" w:type="pct"/>
          </w:tcPr>
          <w:p>
            <w:pPr>
              <w:autoSpaceDE w:val="0"/>
              <w:autoSpaceDN w:val="0"/>
              <w:adjustRightInd w:val="0"/>
              <w:spacing w:before="0" w:after="0"/>
              <w:ind w:firstLine="360" w:firstLineChars="200"/>
              <w:jc w:val="left"/>
              <w:rPr>
                <w:rFonts w:eastAsia="Times New Roman"/>
                <w:kern w:val="0"/>
                <w:lang w:val="zh-CN"/>
              </w:rPr>
            </w:pPr>
            <w:r>
              <w:rPr>
                <w:rFonts w:eastAsia="Times New Roman"/>
                <w:kern w:val="0"/>
                <w:lang w:val="zh-CN"/>
              </w:rPr>
              <w:t>5</w:t>
            </w:r>
            <w:r>
              <w:rPr>
                <w:rFonts w:hint="eastAsia" w:ascii="宋体" w:hAnsi="宋体" w:cs="宋体"/>
                <w:kern w:val="0"/>
                <w:lang w:val="zh-CN"/>
              </w:rPr>
              <w:t>年</w:t>
            </w:r>
          </w:p>
        </w:tc>
      </w:tr>
    </w:tbl>
    <w:p>
      <w:pPr>
        <w:autoSpaceDE w:val="0"/>
        <w:autoSpaceDN w:val="0"/>
        <w:adjustRightInd w:val="0"/>
        <w:spacing w:before="0" w:after="0"/>
        <w:jc w:val="left"/>
        <w:rPr>
          <w:rFonts w:eastAsia="Times New Roman"/>
          <w:kern w:val="0"/>
          <w:szCs w:val="24"/>
          <w:lang w:val="zh-CN"/>
        </w:rPr>
      </w:pPr>
    </w:p>
    <w:p>
      <w:pPr>
        <w:pStyle w:val="14"/>
        <w:ind w:firstLine="361" w:firstLineChars="200"/>
        <w:outlineLvl w:val="3"/>
        <w:rPr>
          <w:bCs w:val="0"/>
          <w:sz w:val="18"/>
          <w:szCs w:val="18"/>
        </w:rPr>
      </w:pPr>
      <w:r>
        <w:rPr>
          <w:rFonts w:hint="eastAsia"/>
          <w:bCs w:val="0"/>
          <w:sz w:val="18"/>
          <w:szCs w:val="18"/>
        </w:rPr>
        <w:t>（</w:t>
      </w:r>
      <w:r>
        <w:rPr>
          <w:bCs w:val="0"/>
          <w:sz w:val="18"/>
          <w:szCs w:val="18"/>
        </w:rPr>
        <w:t>2</w:t>
      </w:r>
      <w:r>
        <w:rPr>
          <w:rFonts w:hint="eastAsia"/>
          <w:bCs w:val="0"/>
          <w:sz w:val="18"/>
          <w:szCs w:val="18"/>
        </w:rPr>
        <w:t>）内部研究开发支出会计政策</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公司内部研究开发项目的支出分为研究阶段支出和开发阶段支出。</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研究阶段：为获取并理解新的科学或技术知识等而进行的独创性的有计划调查、研究活动的阶段。</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开发阶段：在进行商业性生产或使用前，将研究成果或其他知识应用于某项计划或设计，以生产出新的或具有实质性改进的材料、装置、产品等活动的阶段。</w:t>
      </w:r>
    </w:p>
    <w:p>
      <w:pPr>
        <w:ind w:firstLine="360" w:firstLineChars="200"/>
        <w:jc w:val="left"/>
      </w:pPr>
      <w:r>
        <w:rPr>
          <w:rFonts w:hint="eastAsia"/>
        </w:rPr>
        <w:t>公司需遵守《深圳证券交易所创业板行业信息披露指引第</w:t>
      </w:r>
      <w:r>
        <w:t>10</w:t>
      </w:r>
      <w:r>
        <w:rPr>
          <w:rFonts w:hint="eastAsia"/>
        </w:rPr>
        <w:t>号</w:t>
      </w:r>
      <w:r>
        <w:t>--</w:t>
      </w:r>
      <w:r>
        <w:rPr>
          <w:rFonts w:hint="eastAsia"/>
        </w:rPr>
        <w:t>上市公司从事医疗器械业务》的披露要求</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内部研究开发项目开发阶段的支出，同时满足下列条件时确认为无形资产：</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）完成该无形资产以使其能够使用或出售在技术上具有可行性；</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）具有完成该无形资产并使用或出售的意图；</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）无形资产产生经济利益的方式，包括能够证明运用该无形资产生产的产品存在市场或无形资产自身存在市场，无形资产将在内部使用的，能够证明其有用性；</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4</w:t>
      </w:r>
      <w:r>
        <w:rPr>
          <w:rFonts w:hint="eastAsia" w:ascii="宋体" w:hAnsi="宋体" w:cs="宋体"/>
          <w:kern w:val="0"/>
          <w:lang w:val="zh-CN"/>
        </w:rPr>
        <w:t>）有足够的技术、财务资源和其他资源支持，以完成该无形资产的开发，并有能力使用或出售该无形资产；</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5</w:t>
      </w:r>
      <w:r>
        <w:rPr>
          <w:rFonts w:hint="eastAsia" w:ascii="宋体" w:hAnsi="宋体" w:cs="宋体"/>
          <w:kern w:val="0"/>
          <w:lang w:val="zh-CN"/>
        </w:rPr>
        <w:t>）归属于该无形资产开发阶段的支出能够可靠地计量。</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开发阶段的支出，若不满足上列条件的，于发生时计入当期损益。研究阶段的支出，在发生时计入当期损益。</w:t>
      </w:r>
    </w:p>
    <w:p>
      <w:pPr>
        <w:pStyle w:val="14"/>
        <w:outlineLvl w:val="2"/>
        <w:rPr>
          <w:bCs w:val="0"/>
          <w:szCs w:val="24"/>
        </w:rPr>
      </w:pPr>
      <w:r>
        <w:rPr>
          <w:bCs w:val="0"/>
          <w:szCs w:val="24"/>
        </w:rPr>
        <w:t>31</w:t>
      </w:r>
      <w:r>
        <w:rPr>
          <w:rFonts w:hint="eastAsia"/>
          <w:bCs w:val="0"/>
          <w:szCs w:val="24"/>
        </w:rPr>
        <w:t>、长期资产减值</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长期股权投资、采用成本模式计量的投资性房地产、固定资产、在建工程、使用寿命有限的无形资产等长期资产，于资产负债表日存在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商誉、使用寿命不确定的无形资产、尚未达到可使用状态的无形资产至少在每年年度终了进行减值测试。</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进行商誉减值测试，对于因企业合并形成的商誉的账面价值，自购买日起按照合理的方法分摊至相关的资产组；难以分摊至相关的资产组的，将其分摊至相关的资产组组合。本公司在分摊商誉的账面价值时，根据相关资产组或资产组组合能够从企业合并的协同效应中获得的相对受益情况进行分摊，在此基础上进行商誉减值测试。</w:t>
      </w:r>
    </w:p>
    <w:p>
      <w:pPr>
        <w:autoSpaceDE w:val="0"/>
        <w:autoSpaceDN w:val="0"/>
        <w:adjustRightInd w:val="0"/>
        <w:spacing w:before="0" w:after="0"/>
        <w:ind w:firstLine="360" w:firstLineChars="200"/>
        <w:jc w:val="left"/>
        <w:rPr>
          <w:rFonts w:eastAsiaTheme="minorEastAsia"/>
          <w:kern w:val="0"/>
          <w:lang w:val="zh-CN"/>
        </w:rPr>
      </w:pPr>
      <w:r>
        <w:rPr>
          <w:rFonts w:hint="eastAsia" w:ascii="宋体" w:hAnsi="宋体" w:cs="宋体"/>
          <w:kern w:val="0"/>
          <w:lang w:val="zh-CN"/>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与其可收回金额，如相关资产组或者资产组组合的可收回金额低于其账面价值的，确认商誉的减值损失。上述资产减值损失一经确认，在以后会计期间不予转回。</w:t>
      </w:r>
    </w:p>
    <w:p>
      <w:pPr>
        <w:pStyle w:val="14"/>
        <w:outlineLvl w:val="2"/>
        <w:rPr>
          <w:bCs w:val="0"/>
          <w:szCs w:val="24"/>
        </w:rPr>
      </w:pPr>
      <w:r>
        <w:rPr>
          <w:bCs w:val="0"/>
          <w:szCs w:val="24"/>
        </w:rPr>
        <w:t>32</w:t>
      </w:r>
      <w:r>
        <w:rPr>
          <w:rFonts w:hint="eastAsia"/>
          <w:bCs w:val="0"/>
          <w:szCs w:val="24"/>
        </w:rPr>
        <w:t>、长期待摊费用</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长期待摊费用为已经发生但应由本期和以后各期负担的分摊期限在一年以上的各项费用。本公司长期待摊费用包括装修工程、租入固定资产改良、租赁费等。</w:t>
      </w:r>
    </w:p>
    <w:p>
      <w:pPr>
        <w:pStyle w:val="24"/>
        <w:numPr>
          <w:ilvl w:val="0"/>
          <w:numId w:val="15"/>
        </w:numPr>
        <w:autoSpaceDE w:val="0"/>
        <w:autoSpaceDN w:val="0"/>
        <w:adjustRightInd w:val="0"/>
        <w:spacing w:before="0" w:after="0"/>
        <w:ind w:firstLineChars="0"/>
        <w:rPr>
          <w:rFonts w:eastAsia="Times New Roman"/>
          <w:b/>
          <w:kern w:val="0"/>
          <w:lang w:val="zh-CN"/>
        </w:rPr>
      </w:pPr>
      <w:r>
        <w:rPr>
          <w:rFonts w:hint="eastAsia" w:ascii="宋体" w:hAnsi="宋体" w:cs="宋体"/>
          <w:b/>
          <w:kern w:val="0"/>
          <w:lang w:val="zh-CN"/>
        </w:rPr>
        <w:t>摊销方法</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长期待摊费用在受益期内平均摊销。</w:t>
      </w:r>
    </w:p>
    <w:p>
      <w:pPr>
        <w:pStyle w:val="24"/>
        <w:numPr>
          <w:ilvl w:val="0"/>
          <w:numId w:val="16"/>
        </w:numPr>
        <w:autoSpaceDE w:val="0"/>
        <w:autoSpaceDN w:val="0"/>
        <w:adjustRightInd w:val="0"/>
        <w:spacing w:before="0" w:after="0"/>
        <w:ind w:firstLineChars="0"/>
        <w:rPr>
          <w:rFonts w:eastAsia="Times New Roman"/>
          <w:b/>
          <w:kern w:val="0"/>
          <w:lang w:val="zh-CN"/>
        </w:rPr>
      </w:pPr>
      <w:r>
        <w:rPr>
          <w:rFonts w:hint="eastAsia" w:ascii="宋体" w:hAnsi="宋体" w:cs="宋体"/>
          <w:b/>
          <w:kern w:val="0"/>
          <w:lang w:val="zh-CN"/>
        </w:rPr>
        <w:t>摊销年限</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）预付经营租入固定资产的租金，按租赁合同规定的期限或其它合理方法平均摊销。</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）经营租赁方式租入的固定资产改良支出，按剩余租赁期与租赁资产尚可使用年限两者中较短的期限平均摊销。</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）融资租赁方式租入的固定资产的符合资本化条件的装修费用，按两次装修间隔期间、剩余租赁期与固定资产尚可使用年限三者中较短的期限平均摊销。</w:t>
      </w:r>
    </w:p>
    <w:p>
      <w:pPr>
        <w:pStyle w:val="14"/>
        <w:outlineLvl w:val="2"/>
        <w:rPr>
          <w:bCs w:val="0"/>
          <w:szCs w:val="24"/>
        </w:rPr>
      </w:pPr>
      <w:r>
        <w:rPr>
          <w:bCs w:val="0"/>
          <w:szCs w:val="24"/>
        </w:rPr>
        <w:t>33</w:t>
      </w:r>
      <w:r>
        <w:rPr>
          <w:rFonts w:hint="eastAsia"/>
          <w:bCs w:val="0"/>
          <w:szCs w:val="24"/>
        </w:rPr>
        <w:t>、合同负债</w:t>
      </w:r>
    </w:p>
    <w:p>
      <w:pPr>
        <w:pStyle w:val="14"/>
        <w:outlineLvl w:val="2"/>
        <w:rPr>
          <w:bCs w:val="0"/>
          <w:szCs w:val="24"/>
        </w:rPr>
      </w:pPr>
      <w:r>
        <w:rPr>
          <w:bCs w:val="0"/>
          <w:szCs w:val="24"/>
        </w:rPr>
        <w:t>34</w:t>
      </w:r>
      <w:r>
        <w:rPr>
          <w:rFonts w:hint="eastAsia"/>
          <w:bCs w:val="0"/>
          <w:szCs w:val="24"/>
        </w:rPr>
        <w:t>、职工薪酬</w:t>
      </w:r>
    </w:p>
    <w:p>
      <w:pPr>
        <w:pStyle w:val="14"/>
        <w:ind w:firstLine="422" w:firstLineChars="200"/>
        <w:outlineLvl w:val="3"/>
        <w:rPr>
          <w:bCs w:val="0"/>
          <w:sz w:val="18"/>
          <w:szCs w:val="18"/>
        </w:rPr>
      </w:pPr>
      <w:r>
        <w:rPr>
          <w:rFonts w:hint="eastAsia"/>
          <w:bCs w:val="0"/>
          <w:szCs w:val="24"/>
        </w:rPr>
        <w:t>（</w:t>
      </w:r>
      <w:r>
        <w:rPr>
          <w:bCs w:val="0"/>
          <w:sz w:val="18"/>
          <w:szCs w:val="18"/>
        </w:rPr>
        <w:t>1</w:t>
      </w:r>
      <w:r>
        <w:rPr>
          <w:rFonts w:hint="eastAsia"/>
          <w:bCs w:val="0"/>
          <w:sz w:val="18"/>
          <w:szCs w:val="18"/>
        </w:rPr>
        <w:t>）短期薪酬的会计处理方法</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本公司在职工为本公司提供服务的会计期间，将实际发生的短期薪酬确认为负债，并计入当期损益或相关资产成本。</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本公司为职工缴纳的社会保险费和住房公积金，以及按规定提取的工会经费和职工教育经费，在职工为本公司提供服务的会计期间，根据规定的计提基础和计提比例计算确定相应的职工薪酬金额。</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职工福利费为非货币性福利的，如能够可靠计量的，按照公允价值计量。</w:t>
      </w:r>
    </w:p>
    <w:p>
      <w:pPr>
        <w:pStyle w:val="14"/>
        <w:ind w:firstLine="361" w:firstLineChars="200"/>
        <w:outlineLvl w:val="3"/>
        <w:rPr>
          <w:bCs w:val="0"/>
          <w:sz w:val="18"/>
          <w:szCs w:val="18"/>
        </w:rPr>
      </w:pPr>
      <w:r>
        <w:rPr>
          <w:rFonts w:hint="eastAsia"/>
          <w:bCs w:val="0"/>
          <w:sz w:val="18"/>
          <w:szCs w:val="18"/>
        </w:rPr>
        <w:t>（</w:t>
      </w:r>
      <w:r>
        <w:rPr>
          <w:bCs w:val="0"/>
          <w:sz w:val="18"/>
          <w:szCs w:val="18"/>
        </w:rPr>
        <w:t>2</w:t>
      </w:r>
      <w:r>
        <w:rPr>
          <w:rFonts w:hint="eastAsia"/>
          <w:bCs w:val="0"/>
          <w:sz w:val="18"/>
          <w:szCs w:val="18"/>
        </w:rPr>
        <w:t>）离职后福利的会计处理方法</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1.</w:t>
      </w:r>
      <w:r>
        <w:rPr>
          <w:rFonts w:hint="eastAsia" w:ascii="宋体" w:hAnsi="宋体" w:cs="宋体"/>
          <w:kern w:val="0"/>
          <w:lang w:val="zh-CN"/>
        </w:rPr>
        <w:t>设定提存计划</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本公司按当地政府的相关规定为职工缴纳基本养老保险和失业保险，在职工为本公司提供服务的会计期间，按以当地规定的缴纳基数和比例计算应缴纳金额，确认为负债，并计入当期损益或相关资产成本。</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2.</w:t>
      </w:r>
      <w:r>
        <w:rPr>
          <w:rFonts w:hint="eastAsia" w:ascii="宋体" w:hAnsi="宋体" w:cs="宋体"/>
          <w:kern w:val="0"/>
          <w:lang w:val="zh-CN"/>
        </w:rPr>
        <w:t>设定受益计划</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本公司根据预期累计福利单位法确定的公式将设定受益计划产生的福利义务归属于职工提供服务的期间，并计入当期损益或相关资产成本。</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设定受益计划义务现值减去设定受益计划资产公允价值所形成的赤字或盈余确认为一项设定受益计划净负债或净资产。设定受益计划存在盈余的，本公司以设定受益计划的盈余和资产上限两项的孰低者计量设定受益计划净资产。</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设定受益计划产生的服务成本和设定受益计划净负债或净资产的利息净额计入当期损益或相关资产成本；重新计量设定受益计划净负债或净资产所产生的变动计入其他综合收益，并且在后续会计期间不转回至损益，在原设定受益计划终止时在权益范围内将原计入其他综合收益的部分全部结转至未分配利润。</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在设定受益计划结算时，按在结算日确定的设定受益计划义务现值和结算价格两者的差额，确认结算利得或损失。</w:t>
      </w:r>
    </w:p>
    <w:p>
      <w:pPr>
        <w:pStyle w:val="14"/>
        <w:ind w:firstLine="361" w:firstLineChars="200"/>
        <w:outlineLvl w:val="3"/>
        <w:rPr>
          <w:bCs w:val="0"/>
          <w:sz w:val="18"/>
          <w:szCs w:val="18"/>
        </w:rPr>
      </w:pPr>
      <w:r>
        <w:rPr>
          <w:rFonts w:hint="eastAsia"/>
          <w:bCs w:val="0"/>
          <w:sz w:val="18"/>
          <w:szCs w:val="18"/>
        </w:rPr>
        <w:t>（</w:t>
      </w:r>
      <w:r>
        <w:rPr>
          <w:bCs w:val="0"/>
          <w:sz w:val="18"/>
          <w:szCs w:val="18"/>
        </w:rPr>
        <w:t>3</w:t>
      </w:r>
      <w:r>
        <w:rPr>
          <w:rFonts w:hint="eastAsia"/>
          <w:bCs w:val="0"/>
          <w:sz w:val="18"/>
          <w:szCs w:val="18"/>
        </w:rPr>
        <w:t>）辞退福利的会计处理方法</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 xml:space="preserve">    </w:t>
      </w:r>
      <w:r>
        <w:rPr>
          <w:rFonts w:hint="eastAsia" w:ascii="宋体" w:hAnsi="宋体" w:cs="宋体"/>
          <w:kern w:val="0"/>
          <w:lang w:val="zh-CN"/>
        </w:rPr>
        <w:t>本公司在不能单方面撤回因解除劳动关系计划或裁减建议所提供的辞退福利时，或确认与涉及支付辞退福利的重组相关的成本或费用时（两者孰早），确认辞退福利产生的职工薪酬负债，并计入当期损益。</w:t>
      </w:r>
    </w:p>
    <w:p>
      <w:pPr>
        <w:pStyle w:val="14"/>
        <w:ind w:firstLine="361" w:firstLineChars="200"/>
        <w:outlineLvl w:val="3"/>
        <w:rPr>
          <w:bCs w:val="0"/>
          <w:sz w:val="18"/>
          <w:szCs w:val="18"/>
        </w:rPr>
      </w:pPr>
      <w:r>
        <w:rPr>
          <w:rFonts w:hint="eastAsia"/>
          <w:bCs w:val="0"/>
          <w:sz w:val="18"/>
          <w:szCs w:val="18"/>
        </w:rPr>
        <w:t>（</w:t>
      </w:r>
      <w:r>
        <w:rPr>
          <w:bCs w:val="0"/>
          <w:sz w:val="18"/>
          <w:szCs w:val="18"/>
        </w:rPr>
        <w:t>4</w:t>
      </w:r>
      <w:r>
        <w:rPr>
          <w:rFonts w:hint="eastAsia"/>
          <w:bCs w:val="0"/>
          <w:sz w:val="18"/>
          <w:szCs w:val="18"/>
        </w:rPr>
        <w:t>）其他长期职工福利的会计处理方法</w:t>
      </w:r>
    </w:p>
    <w:p>
      <w:pPr>
        <w:pStyle w:val="14"/>
        <w:outlineLvl w:val="2"/>
        <w:rPr>
          <w:bCs w:val="0"/>
          <w:szCs w:val="24"/>
        </w:rPr>
      </w:pPr>
      <w:r>
        <w:rPr>
          <w:bCs w:val="0"/>
          <w:szCs w:val="24"/>
        </w:rPr>
        <w:t>35</w:t>
      </w:r>
      <w:r>
        <w:rPr>
          <w:rFonts w:hint="eastAsia"/>
          <w:bCs w:val="0"/>
          <w:szCs w:val="24"/>
        </w:rPr>
        <w:t>、租赁负债</w:t>
      </w:r>
    </w:p>
    <w:p>
      <w:pPr>
        <w:pStyle w:val="14"/>
        <w:outlineLvl w:val="2"/>
        <w:rPr>
          <w:bCs w:val="0"/>
          <w:szCs w:val="24"/>
        </w:rPr>
      </w:pPr>
      <w:r>
        <w:rPr>
          <w:bCs w:val="0"/>
          <w:szCs w:val="24"/>
        </w:rPr>
        <w:t>36</w:t>
      </w:r>
      <w:r>
        <w:rPr>
          <w:rFonts w:hint="eastAsia"/>
          <w:bCs w:val="0"/>
          <w:szCs w:val="24"/>
        </w:rPr>
        <w:t>、预计负债</w:t>
      </w:r>
    </w:p>
    <w:p>
      <w:pPr>
        <w:autoSpaceDE w:val="0"/>
        <w:autoSpaceDN w:val="0"/>
        <w:adjustRightInd w:val="0"/>
        <w:spacing w:before="0" w:after="0"/>
        <w:rPr>
          <w:rFonts w:eastAsia="Times New Roman"/>
          <w:b/>
          <w:kern w:val="0"/>
          <w:lang w:val="zh-CN"/>
        </w:rPr>
      </w:pPr>
      <w:r>
        <w:rPr>
          <w:rFonts w:ascii="宋体" w:hAnsi="宋体" w:cs="宋体"/>
          <w:b/>
          <w:kern w:val="0"/>
          <w:lang w:val="zh-CN"/>
        </w:rPr>
        <w:t>1.</w:t>
      </w:r>
      <w:r>
        <w:rPr>
          <w:rFonts w:hint="eastAsia" w:ascii="宋体" w:hAnsi="宋体" w:cs="宋体"/>
          <w:b/>
          <w:kern w:val="0"/>
          <w:lang w:val="zh-CN"/>
        </w:rPr>
        <w:t>预计负债的确认标准</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与诉讼、债务担保、亏损合同、重组事项等或有事项相关的义务同时满足下列条件时，本公司确认为预计负债：</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）该义务是本公司承担的现时义务；</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）履行该义务很可能导致经济利益流出本公司；</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）该义务的金额能够可靠地计量。</w:t>
      </w:r>
    </w:p>
    <w:p>
      <w:pPr>
        <w:autoSpaceDE w:val="0"/>
        <w:autoSpaceDN w:val="0"/>
        <w:adjustRightInd w:val="0"/>
        <w:spacing w:before="0" w:after="0"/>
        <w:rPr>
          <w:rFonts w:eastAsia="Times New Roman"/>
          <w:b/>
          <w:kern w:val="0"/>
          <w:lang w:val="zh-CN"/>
        </w:rPr>
      </w:pPr>
      <w:r>
        <w:rPr>
          <w:rFonts w:hint="eastAsia" w:ascii="宋体" w:hAnsi="宋体" w:cs="宋体"/>
          <w:b/>
          <w:kern w:val="0"/>
          <w:lang w:val="zh-CN"/>
        </w:rPr>
        <w:t>2</w:t>
      </w:r>
      <w:r>
        <w:rPr>
          <w:rFonts w:ascii="宋体" w:hAnsi="宋体" w:cs="宋体"/>
          <w:b/>
          <w:kern w:val="0"/>
          <w:lang w:val="zh-CN"/>
        </w:rPr>
        <w:t>.</w:t>
      </w:r>
      <w:r>
        <w:rPr>
          <w:rFonts w:hint="eastAsia" w:ascii="宋体" w:hAnsi="宋体" w:cs="宋体"/>
          <w:b/>
          <w:kern w:val="0"/>
          <w:lang w:val="zh-CN"/>
        </w:rPr>
        <w:t>各类预计负债的计量方法</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本公司预计负债按履行相关现时义务所需的支出的最佳估计数进行初始计量。</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本公司在确定最佳估计数时，综合考虑与或有事项有关的风险、不确定性和货币时间价值等因素。对于货币时间价值影响重大的，通过对相关未来现金流出进行折现后确定最佳估计数。</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最佳估计数分别以下情况处理：</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所需支出存在一个连续范围（或区间），且该范围内各种结果发生的可能性相同的，则最佳估计数按照该范围的中间值即上下限金额的平均数确定。</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所需支出不存在一个连续范围（或区间），或虽然存在一个连续范围但该范围内各种结果发生的可能性不相同的，如或有事项涉及单个项目的，则最佳估计数按照最可能发生金额确定；如或有事项涉及多个项目的，则最佳估计数按各种可能结果及相关概率计算确定。</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本公司清偿预计负债所需支出全部或部分预期由第三方补偿的，补偿金额在基本确定能够收到时，作为资产单独确认，确认的补偿金额不超过预计负债的账面价值。</w:t>
      </w:r>
    </w:p>
    <w:p>
      <w:pPr>
        <w:pStyle w:val="14"/>
        <w:outlineLvl w:val="2"/>
        <w:rPr>
          <w:bCs w:val="0"/>
          <w:szCs w:val="24"/>
        </w:rPr>
      </w:pPr>
      <w:r>
        <w:rPr>
          <w:bCs w:val="0"/>
          <w:szCs w:val="24"/>
        </w:rPr>
        <w:t>37</w:t>
      </w:r>
      <w:r>
        <w:rPr>
          <w:rFonts w:hint="eastAsia"/>
          <w:bCs w:val="0"/>
          <w:szCs w:val="24"/>
        </w:rPr>
        <w:t>、股份支付</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本公司的股份支付是为了获取职工提供服务而授予权益工具的交易，且均为以权益结算的股份支付。</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以权益结算的股份支付换取职工提供服务的，以授予职工权益工具的公允价值计量。本公司以限制性股票进行股份支付的，职工出资认购股票，股票在达到解锁条件并解锁前不得上市流通或转让；如果最终股权激励计划规定的解锁条件未能达到，则本公司按照事先约定的价格回购股票。本公司取得职工认购限制性股票支付的款项时，按照取得的认股款确认股本和资本公积（股本溢价），同时就回购义务全额确认一项负债并确认库存股。在等待期内每个资产负债表日，本公司根据最新取得的可行权职工人数变动</w:t>
      </w:r>
      <w:r>
        <w:rPr>
          <w:rFonts w:eastAsia="Times New Roman"/>
          <w:kern w:val="0"/>
          <w:lang w:val="zh-CN"/>
        </w:rPr>
        <w:t xml:space="preserve"> </w:t>
      </w:r>
      <w:r>
        <w:rPr>
          <w:rFonts w:hint="eastAsia" w:ascii="宋体" w:hAnsi="宋体" w:cs="宋体"/>
          <w:kern w:val="0"/>
          <w:lang w:val="zh-CN"/>
        </w:rPr>
        <w:t>、是否达到规定业绩条件等后续信息对可行权权益工具数量作出最佳估计，以此为基础，按照授予日的公允价值，将当期取得的服务计入相关成本或费用，相应增加资本公积。在可行权日之后不再对已确认的相关成本或费用和所有者权益总额进行调整。但授予后立即可行权的，在授予日按照公允价值计入相关成本或费用，相应增加资本公积。</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对于最终未能行权的股份支付，不确认成本或费用，除非行权条件是市场条件或非可行权条件，此时无论是否满足市场条件或非可行权条件，只要满足所有可行权条件中的非市场条件，即视为可行权。</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如果修改了以权益结算的股份支付的条款，至少按照未修改条款的情况确认取得的服务。此外，任何增加所授予权益工具公允价值的修改，或在修改日对职工有利的变更，均确认取得服务的增加。</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如果取消了以权益结算的股份支付，则于取消日作为加速行权处理，立即确认尚未确认的金额。职工或其他方能够选择满足非可行权条件但在等待期内未满足的，作为取消以权益结算的股份支付处理。但是，如果授予新的权益工具，并在新权益工具授予日认定所授予的新权益工具是用于替代被取消的权益工具的，则以与处理原权益工具条款和条件修改相同的方式，对所授予的替代权益工具进行处理。</w:t>
      </w:r>
    </w:p>
    <w:p>
      <w:pPr>
        <w:pStyle w:val="14"/>
        <w:outlineLvl w:val="2"/>
        <w:rPr>
          <w:bCs w:val="0"/>
          <w:szCs w:val="24"/>
        </w:rPr>
      </w:pPr>
      <w:r>
        <w:rPr>
          <w:bCs w:val="0"/>
          <w:szCs w:val="24"/>
        </w:rPr>
        <w:t>38</w:t>
      </w:r>
      <w:r>
        <w:rPr>
          <w:rFonts w:hint="eastAsia"/>
          <w:bCs w:val="0"/>
          <w:szCs w:val="24"/>
        </w:rPr>
        <w:t>、优先股、永续债等其他金融工具</w:t>
      </w:r>
    </w:p>
    <w:p>
      <w:pPr>
        <w:pStyle w:val="14"/>
        <w:outlineLvl w:val="2"/>
        <w:rPr>
          <w:bCs w:val="0"/>
          <w:szCs w:val="24"/>
        </w:rPr>
      </w:pPr>
      <w:r>
        <w:rPr>
          <w:bCs w:val="0"/>
          <w:szCs w:val="24"/>
        </w:rPr>
        <w:t>39</w:t>
      </w:r>
      <w:r>
        <w:rPr>
          <w:rFonts w:hint="eastAsia"/>
          <w:bCs w:val="0"/>
          <w:szCs w:val="24"/>
        </w:rPr>
        <w:t>、收入</w:t>
      </w:r>
    </w:p>
    <w:p>
      <w:pPr>
        <w:jc w:val="left"/>
        <w:rPr>
          <w:szCs w:val="24"/>
        </w:rPr>
      </w:pPr>
      <w:r>
        <w:rPr>
          <w:rFonts w:hint="eastAsia"/>
          <w:szCs w:val="24"/>
        </w:rPr>
        <w:t>是否已执行新收入准则</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autoSpaceDE w:val="0"/>
        <w:autoSpaceDN w:val="0"/>
        <w:adjustRightInd w:val="0"/>
        <w:spacing w:before="0" w:after="0"/>
        <w:rPr>
          <w:rFonts w:eastAsia="Times New Roman"/>
          <w:b/>
          <w:kern w:val="0"/>
          <w:lang w:val="zh-CN"/>
        </w:rPr>
      </w:pPr>
      <w:r>
        <w:rPr>
          <w:rFonts w:hint="eastAsia" w:ascii="宋体" w:hAnsi="宋体" w:cs="宋体"/>
          <w:b/>
          <w:kern w:val="0"/>
          <w:lang w:val="zh-CN"/>
        </w:rPr>
        <w:t>1、销售商品收入确认的一般原则</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）本公司已将商品所有权上的主要风险和报酬转移给购货方；</w:t>
      </w:r>
      <w:r>
        <w:rPr>
          <w:rFonts w:eastAsia="Times New Roman"/>
          <w:kern w:val="0"/>
          <w:lang w:val="zh-CN"/>
        </w:rPr>
        <w:t xml:space="preserve"> </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）本公司既没有保留通常与所有权相联系的继续管理权，也没有对已售出的商品实施有效控制；</w:t>
      </w:r>
      <w:r>
        <w:rPr>
          <w:rFonts w:eastAsia="Times New Roman"/>
          <w:kern w:val="0"/>
          <w:lang w:val="zh-CN"/>
        </w:rPr>
        <w:t xml:space="preserve"> </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）收入的金额能够可靠地计量；</w:t>
      </w:r>
      <w:r>
        <w:rPr>
          <w:rFonts w:eastAsia="Times New Roman"/>
          <w:kern w:val="0"/>
          <w:lang w:val="zh-CN"/>
        </w:rPr>
        <w:t xml:space="preserve"> </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4</w:t>
      </w:r>
      <w:r>
        <w:rPr>
          <w:rFonts w:hint="eastAsia" w:ascii="宋体" w:hAnsi="宋体" w:cs="宋体"/>
          <w:kern w:val="0"/>
          <w:lang w:val="zh-CN"/>
        </w:rPr>
        <w:t>）相关的经济利益很可能流入本公司；</w:t>
      </w:r>
      <w:r>
        <w:rPr>
          <w:rFonts w:eastAsia="Times New Roman"/>
          <w:kern w:val="0"/>
          <w:lang w:val="zh-CN"/>
        </w:rPr>
        <w:t xml:space="preserve"> </w:t>
      </w:r>
    </w:p>
    <w:p>
      <w:pPr>
        <w:autoSpaceDE w:val="0"/>
        <w:autoSpaceDN w:val="0"/>
        <w:adjustRightInd w:val="0"/>
        <w:spacing w:before="0" w:after="0"/>
        <w:ind w:firstLine="360"/>
        <w:rPr>
          <w:rFonts w:eastAsia="Times New Roman"/>
          <w:kern w:val="0"/>
          <w:lang w:val="zh-CN"/>
        </w:rPr>
      </w:pPr>
      <w:r>
        <w:rPr>
          <w:rFonts w:hint="eastAsia" w:ascii="宋体" w:hAnsi="宋体" w:cs="宋体"/>
          <w:kern w:val="0"/>
          <w:lang w:val="zh-CN"/>
        </w:rPr>
        <w:t>（5）相关的、已发生或将发生的成本能够可靠地计量。</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 xml:space="preserve"> </w:t>
      </w:r>
    </w:p>
    <w:p>
      <w:pPr>
        <w:autoSpaceDE w:val="0"/>
        <w:autoSpaceDN w:val="0"/>
        <w:adjustRightInd w:val="0"/>
        <w:spacing w:before="0" w:after="0"/>
        <w:rPr>
          <w:rFonts w:eastAsia="Times New Roman"/>
          <w:b/>
          <w:kern w:val="0"/>
          <w:lang w:val="zh-CN"/>
        </w:rPr>
      </w:pPr>
      <w:r>
        <w:rPr>
          <w:rFonts w:hint="eastAsia" w:ascii="宋体" w:hAnsi="宋体" w:cs="宋体"/>
          <w:b/>
          <w:kern w:val="0"/>
          <w:lang w:val="zh-CN"/>
        </w:rPr>
        <w:t>2、具体原则</w:t>
      </w:r>
      <w:r>
        <w:rPr>
          <w:rFonts w:eastAsia="Times New Roman"/>
          <w:b/>
          <w:kern w:val="0"/>
          <w:lang w:val="zh-CN"/>
        </w:rPr>
        <w:t xml:space="preserve"> </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公司主营业务可分为体外诊断试剂、医学诊断服务、体外诊断仪器及试剂原料等四类业务，各类业务收入确认的具体条件如下：</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）公司体外诊断试剂收入确认的具体条件</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公司体外诊断试剂在产品已经发出，并经客户确认后开具销售发票，确认销售收入。</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）公司体外诊断仪器收入确认的具体条件</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公司体外诊断仪器在产品已经发出，并经安装验收后开具销售发票，确认销售收入。</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）公司第三方医学诊断服务收入确认条件</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公司第三方医学诊断服务在检验结果已传达至客户，并经客户确认后开具销售发票，确认销售收入。</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4</w:t>
      </w:r>
      <w:r>
        <w:rPr>
          <w:rFonts w:hint="eastAsia" w:ascii="宋体" w:hAnsi="宋体" w:cs="宋体"/>
          <w:kern w:val="0"/>
          <w:lang w:val="zh-CN"/>
        </w:rPr>
        <w:t>）公司试剂原料收入确认的具体条件</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公司体外诊断试剂原料在产品已经发出，并经客户确认后开具销售发票，确认销售收入。</w:t>
      </w:r>
    </w:p>
    <w:p>
      <w:pPr>
        <w:autoSpaceDE w:val="0"/>
        <w:autoSpaceDN w:val="0"/>
        <w:adjustRightInd w:val="0"/>
        <w:spacing w:before="0" w:after="0"/>
        <w:jc w:val="left"/>
        <w:rPr>
          <w:rFonts w:eastAsia="Times New Roman"/>
          <w:kern w:val="0"/>
          <w:szCs w:val="24"/>
          <w:lang w:val="zh-CN"/>
        </w:rPr>
      </w:pPr>
    </w:p>
    <w:p>
      <w:pPr>
        <w:pStyle w:val="14"/>
        <w:outlineLvl w:val="2"/>
        <w:rPr>
          <w:bCs w:val="0"/>
          <w:szCs w:val="24"/>
        </w:rPr>
      </w:pPr>
      <w:r>
        <w:rPr>
          <w:bCs w:val="0"/>
          <w:szCs w:val="24"/>
        </w:rPr>
        <w:t>40</w:t>
      </w:r>
      <w:r>
        <w:rPr>
          <w:rFonts w:hint="eastAsia"/>
          <w:bCs w:val="0"/>
          <w:szCs w:val="24"/>
        </w:rPr>
        <w:t>、政府补助</w:t>
      </w:r>
    </w:p>
    <w:p>
      <w:pPr>
        <w:numPr>
          <w:ilvl w:val="0"/>
          <w:numId w:val="17"/>
        </w:numPr>
        <w:autoSpaceDE w:val="0"/>
        <w:autoSpaceDN w:val="0"/>
        <w:adjustRightInd w:val="0"/>
        <w:spacing w:before="0" w:after="0"/>
        <w:ind w:firstLine="361" w:firstLineChars="200"/>
        <w:rPr>
          <w:rFonts w:eastAsia="Times New Roman"/>
          <w:b/>
          <w:kern w:val="0"/>
          <w:lang w:val="zh-CN"/>
        </w:rPr>
      </w:pPr>
      <w:r>
        <w:rPr>
          <w:rFonts w:hint="eastAsia" w:ascii="宋体" w:hAnsi="宋体" w:cs="宋体"/>
          <w:b/>
          <w:kern w:val="0"/>
          <w:lang w:val="zh-CN"/>
        </w:rPr>
        <w:t>类型</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政府补助，是本公司从政府无偿取得的货币性资产与非货币性资产。分为与资产相关的政府补助和与收益相关的政府补助。</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与资产相关的政府补助，是指本公司取得的、用于购建或以其他方式形成长期资产的政府补助。与收益相关的政府补助，是指除与资产相关的政府补助之外的政府补助。</w:t>
      </w:r>
    </w:p>
    <w:p>
      <w:pPr>
        <w:pStyle w:val="24"/>
        <w:numPr>
          <w:ilvl w:val="0"/>
          <w:numId w:val="15"/>
        </w:numPr>
        <w:autoSpaceDE w:val="0"/>
        <w:autoSpaceDN w:val="0"/>
        <w:adjustRightInd w:val="0"/>
        <w:spacing w:before="0" w:after="0"/>
        <w:ind w:firstLineChars="0"/>
        <w:rPr>
          <w:rFonts w:eastAsia="Times New Roman"/>
          <w:b/>
          <w:kern w:val="0"/>
          <w:lang w:val="zh-CN"/>
        </w:rPr>
      </w:pPr>
      <w:r>
        <w:rPr>
          <w:rFonts w:hint="eastAsia" w:ascii="宋体" w:hAnsi="宋体" w:cs="宋体"/>
          <w:b/>
          <w:kern w:val="0"/>
          <w:lang w:val="zh-CN"/>
        </w:rPr>
        <w:t>确认时点</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公司的政府补助以实际收到作为确认时点。</w:t>
      </w:r>
    </w:p>
    <w:p>
      <w:pPr>
        <w:pStyle w:val="24"/>
        <w:numPr>
          <w:ilvl w:val="0"/>
          <w:numId w:val="15"/>
        </w:numPr>
        <w:autoSpaceDE w:val="0"/>
        <w:autoSpaceDN w:val="0"/>
        <w:adjustRightInd w:val="0"/>
        <w:spacing w:before="0" w:after="0"/>
        <w:ind w:firstLineChars="0"/>
        <w:rPr>
          <w:rFonts w:eastAsia="Times New Roman"/>
          <w:b/>
          <w:kern w:val="0"/>
          <w:lang w:val="zh-CN"/>
        </w:rPr>
      </w:pPr>
      <w:r>
        <w:rPr>
          <w:rFonts w:hint="eastAsia" w:ascii="宋体" w:hAnsi="宋体" w:cs="宋体"/>
          <w:b/>
          <w:kern w:val="0"/>
          <w:lang w:val="zh-CN"/>
        </w:rPr>
        <w:t>会计处理</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与资产相关的政府补助，冲减相关资产账面价值或确认为递延收益。确认为递延收益的，在相关资产使用寿命内按照合理、系统的方法分期计入当期损益（与本公司日常活动相关的，计入其他收益；与本公司日常活动无关的，计入营业外收入）；</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与收益相关的政府补助，用于补偿本公司以后期间的相关成本费用或损失的，确认为递延收益，并在确认相关成本费用或损失的期间，计入当期损益（与本公司日常活动相关的，计入其他收益；与本公司日常活动无关的，计入营业外收入）或冲减相关成本费用或损失；用于补偿本公司已发生的相关成本费用或损失的，直接计入当期损益（与本公司日常活动相关的，计入其他收益；与本公司日常活动无关的，计入营业外收入）或冲减相关成本费用或损失。本公司取得的政策性优惠贷款贴息，区分以下两种情况，分别进行会计处理：</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）财政将贴息资金拨付给贷款银行，由贷款银行以政策性优惠利率向本公司提供贷款的，本公司以实际收到的借款金额作为借款的入账价值，按照借款本金和该政策性优惠利率计算相关借款费用。</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）财政将贴息资金直接拨付给本公司的，本公司将对应的贴息冲减相关借款费用。</w:t>
      </w:r>
    </w:p>
    <w:p>
      <w:pPr>
        <w:pStyle w:val="14"/>
        <w:outlineLvl w:val="2"/>
        <w:rPr>
          <w:bCs w:val="0"/>
          <w:szCs w:val="24"/>
        </w:rPr>
      </w:pPr>
      <w:r>
        <w:rPr>
          <w:bCs w:val="0"/>
          <w:szCs w:val="24"/>
        </w:rPr>
        <w:t>41</w:t>
      </w:r>
      <w:r>
        <w:rPr>
          <w:rFonts w:hint="eastAsia"/>
          <w:bCs w:val="0"/>
          <w:szCs w:val="24"/>
        </w:rPr>
        <w:t>、递延所得税资产</w:t>
      </w:r>
      <w:r>
        <w:rPr>
          <w:bCs w:val="0"/>
          <w:szCs w:val="24"/>
        </w:rPr>
        <w:t>/</w:t>
      </w:r>
      <w:r>
        <w:rPr>
          <w:rFonts w:hint="eastAsia"/>
          <w:bCs w:val="0"/>
          <w:szCs w:val="24"/>
        </w:rPr>
        <w:t>递延所得税负债</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对于应纳税暂时性差异，除特殊情况外，确认递延所得税负债。</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不确认递延所得税资产或递延所得税负债的特殊情况包括：商誉的初始确认；除企业合并以外的发生时既不影响会计利润也不影响应纳税所得额（或可抵扣亏损）的其他交易或事项。</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当拥有以净额结算的法定权利，且意图以净额结算或取得资产、清偿负债同时进行时，当期所得税资产及当期所得税负债以抵销后的净额列报。</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当拥有以净额结算当期所得税资产及当期所得税负债的法定权利，且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递延所得税资产及递延所得税负债以抵销后的净额列报。</w:t>
      </w:r>
    </w:p>
    <w:p>
      <w:pPr>
        <w:pStyle w:val="14"/>
        <w:outlineLvl w:val="2"/>
        <w:rPr>
          <w:bCs w:val="0"/>
          <w:szCs w:val="24"/>
        </w:rPr>
      </w:pPr>
      <w:r>
        <w:rPr>
          <w:bCs w:val="0"/>
          <w:szCs w:val="24"/>
        </w:rPr>
        <w:t>42</w:t>
      </w:r>
      <w:r>
        <w:rPr>
          <w:rFonts w:hint="eastAsia"/>
          <w:bCs w:val="0"/>
          <w:szCs w:val="24"/>
        </w:rPr>
        <w:t>、租赁</w:t>
      </w:r>
    </w:p>
    <w:p>
      <w:pPr>
        <w:pStyle w:val="14"/>
        <w:outlineLvl w:val="3"/>
        <w:rPr>
          <w:bCs w:val="0"/>
          <w:szCs w:val="24"/>
        </w:rPr>
      </w:pPr>
      <w:r>
        <w:rPr>
          <w:rFonts w:hint="eastAsia"/>
          <w:bCs w:val="0"/>
          <w:szCs w:val="24"/>
        </w:rPr>
        <w:t>（</w:t>
      </w:r>
      <w:r>
        <w:rPr>
          <w:bCs w:val="0"/>
          <w:szCs w:val="24"/>
        </w:rPr>
        <w:t>1</w:t>
      </w:r>
      <w:r>
        <w:rPr>
          <w:rFonts w:hint="eastAsia"/>
          <w:bCs w:val="0"/>
          <w:szCs w:val="24"/>
        </w:rPr>
        <w:t>）经营租赁的会计处理方法</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）公司租入资产所支付的租赁费，在不扣除免租期的整个租赁期内，按直线法进行分摊，计入当期费用。公司支付的与租赁交易相关的初始直接费用，计入当期费用。</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资产出租方承担了应由公司承担的与租赁相关的费用时，公司将该部分费用从租金总额中扣除，按扣除后的租金费用在租赁期内分摊，计入当期费用。</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公司出租资产所收取的租赁费，在不扣除免租期的整个租赁期内，按直线法进行分摊，确认为租赁相关收入。公司支付的与租赁交易相关的初始直接费用，计入当期费用；如金额较大的，则予以资本化，在整个租赁期间内按照与租赁相关收入确认相同的基础分期计入当期收益。</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公司承担了应由承租方承担的与租赁相关的费用时，公司将该部分费用从租金收入总额中扣除，按扣除后的租金费用在租赁期内分配。</w:t>
      </w:r>
    </w:p>
    <w:p>
      <w:pPr>
        <w:pStyle w:val="14"/>
        <w:ind w:firstLine="361" w:firstLineChars="200"/>
        <w:outlineLvl w:val="3"/>
        <w:rPr>
          <w:bCs w:val="0"/>
          <w:sz w:val="18"/>
          <w:szCs w:val="18"/>
        </w:rPr>
      </w:pPr>
      <w:r>
        <w:rPr>
          <w:rFonts w:hint="eastAsia"/>
          <w:bCs w:val="0"/>
          <w:sz w:val="18"/>
          <w:szCs w:val="18"/>
        </w:rPr>
        <w:t>（</w:t>
      </w:r>
      <w:r>
        <w:rPr>
          <w:bCs w:val="0"/>
          <w:sz w:val="18"/>
          <w:szCs w:val="18"/>
        </w:rPr>
        <w:t>2</w:t>
      </w:r>
      <w:r>
        <w:rPr>
          <w:rFonts w:hint="eastAsia"/>
          <w:bCs w:val="0"/>
          <w:sz w:val="18"/>
          <w:szCs w:val="18"/>
        </w:rPr>
        <w:t>）融资租赁的会计处理方法</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融资租入资产：公司在承租开始日，将租赁资产公允价值与最低租赁付款额现值两者中较低者作为租入资产的入账价值，将最低租赁付款额作为长期应付款的入账价值，其差额作为未确认的融资费用。公司采用实际利率法对未确认的融资费用，在资产租赁期间内摊销，计入财务费用。公司发生的初始直接费用，计入租入资产价值。</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融资租出资产：公司在租赁开始日，将应收融资租赁款，未担保余值之和与其现值的差额确认为未实现融资收益，在将来收到租金的各期间内确认为租赁收入。公司发生的与出租交易相关的初始直接费用，计入应收融资租赁款的初始计量中，并减少租赁期内确认的收益金额。</w:t>
      </w:r>
      <w:r>
        <w:rPr>
          <w:rFonts w:eastAsia="Times New Roman"/>
          <w:color w:val="0000FF"/>
          <w:kern w:val="0"/>
          <w:lang w:val="zh-CN"/>
        </w:rPr>
        <w:t xml:space="preserve"> </w:t>
      </w:r>
    </w:p>
    <w:p>
      <w:pPr>
        <w:pStyle w:val="14"/>
        <w:outlineLvl w:val="2"/>
        <w:rPr>
          <w:bCs w:val="0"/>
          <w:szCs w:val="24"/>
        </w:rPr>
      </w:pPr>
      <w:r>
        <w:rPr>
          <w:bCs w:val="0"/>
          <w:szCs w:val="24"/>
        </w:rPr>
        <w:t>43</w:t>
      </w:r>
      <w:r>
        <w:rPr>
          <w:rFonts w:hint="eastAsia"/>
          <w:bCs w:val="0"/>
          <w:szCs w:val="24"/>
        </w:rPr>
        <w:t>、其他重要的会计政策和会计估计</w:t>
      </w:r>
    </w:p>
    <w:p>
      <w:pPr>
        <w:pStyle w:val="14"/>
        <w:outlineLvl w:val="2"/>
        <w:rPr>
          <w:bCs w:val="0"/>
          <w:szCs w:val="24"/>
        </w:rPr>
      </w:pPr>
      <w:r>
        <w:rPr>
          <w:bCs w:val="0"/>
          <w:szCs w:val="24"/>
        </w:rPr>
        <w:t>44</w:t>
      </w:r>
      <w:r>
        <w:rPr>
          <w:rFonts w:hint="eastAsia"/>
          <w:bCs w:val="0"/>
          <w:szCs w:val="24"/>
        </w:rPr>
        <w:t>、重要会计政策和会计估计变更</w:t>
      </w:r>
    </w:p>
    <w:p>
      <w:pPr>
        <w:pStyle w:val="14"/>
        <w:outlineLvl w:val="3"/>
        <w:rPr>
          <w:bCs w:val="0"/>
          <w:szCs w:val="24"/>
        </w:rPr>
      </w:pPr>
      <w:r>
        <w:rPr>
          <w:rFonts w:hint="eastAsia"/>
          <w:bCs w:val="0"/>
          <w:szCs w:val="24"/>
        </w:rPr>
        <w:t>（</w:t>
      </w:r>
      <w:r>
        <w:rPr>
          <w:bCs w:val="0"/>
          <w:szCs w:val="24"/>
        </w:rPr>
        <w:t>1</w:t>
      </w:r>
      <w:r>
        <w:rPr>
          <w:rFonts w:hint="eastAsia"/>
          <w:bCs w:val="0"/>
          <w:szCs w:val="24"/>
        </w:rPr>
        <w:t>）重要会计政策变更</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tbl>
      <w:tblPr>
        <w:tblStyle w:val="9"/>
        <w:tblW w:w="0" w:type="auto"/>
        <w:tblInd w:w="28" w:type="dxa"/>
        <w:tblLayout w:type="fixed"/>
        <w:tblCellMar>
          <w:top w:w="0" w:type="dxa"/>
          <w:left w:w="28" w:type="dxa"/>
          <w:bottom w:w="0" w:type="dxa"/>
          <w:right w:w="28" w:type="dxa"/>
        </w:tblCellMar>
      </w:tblPr>
      <w:tblGrid>
        <w:gridCol w:w="3191"/>
        <w:gridCol w:w="3189"/>
        <w:gridCol w:w="3189"/>
      </w:tblGrid>
      <w:tr>
        <w:tblPrEx>
          <w:tblCellMar>
            <w:top w:w="0" w:type="dxa"/>
            <w:left w:w="28" w:type="dxa"/>
            <w:bottom w:w="0" w:type="dxa"/>
            <w:right w:w="28" w:type="dxa"/>
          </w:tblCellMar>
        </w:tblPrEx>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会计政策变更的内容和原因</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审批程序</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备注</w:t>
            </w:r>
          </w:p>
        </w:tc>
      </w:tr>
      <w:tr>
        <w:tblPrEx>
          <w:tblCellMar>
            <w:top w:w="0" w:type="dxa"/>
            <w:left w:w="28" w:type="dxa"/>
            <w:bottom w:w="0" w:type="dxa"/>
            <w:right w:w="28" w:type="dxa"/>
          </w:tblCellMar>
        </w:tblPrEx>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执行《财政部关于修订印发</w:t>
            </w:r>
            <w:r>
              <w:rPr>
                <w:szCs w:val="24"/>
              </w:rPr>
              <w:t>2019</w:t>
            </w:r>
            <w:r>
              <w:rPr>
                <w:rFonts w:hint="eastAsia"/>
                <w:szCs w:val="24"/>
              </w:rPr>
              <w:t>年度一般企业财务报表格式的通知》和《关于修订印发合并财务报表格式（</w:t>
            </w:r>
            <w:r>
              <w:rPr>
                <w:szCs w:val="24"/>
              </w:rPr>
              <w:t>2019</w:t>
            </w:r>
            <w:r>
              <w:rPr>
                <w:rFonts w:hint="eastAsia"/>
                <w:szCs w:val="24"/>
              </w:rPr>
              <w:t>版）的通知》：财政部分别于</w:t>
            </w:r>
            <w:r>
              <w:rPr>
                <w:szCs w:val="24"/>
              </w:rPr>
              <w:t>2019</w:t>
            </w:r>
            <w:r>
              <w:rPr>
                <w:rFonts w:hint="eastAsia"/>
                <w:szCs w:val="24"/>
              </w:rPr>
              <w:t>年</w:t>
            </w:r>
            <w:r>
              <w:rPr>
                <w:szCs w:val="24"/>
              </w:rPr>
              <w:t>4</w:t>
            </w:r>
            <w:r>
              <w:rPr>
                <w:rFonts w:hint="eastAsia"/>
                <w:szCs w:val="24"/>
              </w:rPr>
              <w:t>月</w:t>
            </w:r>
            <w:r>
              <w:rPr>
                <w:szCs w:val="24"/>
              </w:rPr>
              <w:t>30</w:t>
            </w:r>
            <w:r>
              <w:rPr>
                <w:rFonts w:hint="eastAsia"/>
                <w:szCs w:val="24"/>
              </w:rPr>
              <w:t>日和</w:t>
            </w:r>
            <w:r>
              <w:rPr>
                <w:szCs w:val="24"/>
              </w:rPr>
              <w:t>2019</w:t>
            </w:r>
            <w:r>
              <w:rPr>
                <w:rFonts w:hint="eastAsia"/>
                <w:szCs w:val="24"/>
              </w:rPr>
              <w:t>年</w:t>
            </w:r>
            <w:r>
              <w:rPr>
                <w:szCs w:val="24"/>
              </w:rPr>
              <w:t>9</w:t>
            </w:r>
            <w:r>
              <w:rPr>
                <w:rFonts w:hint="eastAsia"/>
                <w:szCs w:val="24"/>
              </w:rPr>
              <w:t>月</w:t>
            </w:r>
            <w:r>
              <w:rPr>
                <w:szCs w:val="24"/>
              </w:rPr>
              <w:t>19</w:t>
            </w:r>
            <w:r>
              <w:rPr>
                <w:rFonts w:hint="eastAsia"/>
                <w:szCs w:val="24"/>
              </w:rPr>
              <w:t>日</w:t>
            </w:r>
            <w:r>
              <w:rPr>
                <w:szCs w:val="24"/>
              </w:rPr>
              <w:t xml:space="preserve"> </w:t>
            </w:r>
            <w:r>
              <w:rPr>
                <w:rFonts w:hint="eastAsia"/>
                <w:szCs w:val="24"/>
              </w:rPr>
              <w:t>发布了《关于修订印发</w:t>
            </w:r>
            <w:r>
              <w:rPr>
                <w:szCs w:val="24"/>
              </w:rPr>
              <w:t>2019</w:t>
            </w:r>
            <w:r>
              <w:rPr>
                <w:rFonts w:hint="eastAsia"/>
                <w:szCs w:val="24"/>
              </w:rPr>
              <w:t>年度一般企业财务报表格式的通知》（财会（</w:t>
            </w:r>
            <w:r>
              <w:rPr>
                <w:szCs w:val="24"/>
              </w:rPr>
              <w:t>2019</w:t>
            </w:r>
            <w:r>
              <w:rPr>
                <w:rFonts w:hint="eastAsia"/>
                <w:szCs w:val="24"/>
              </w:rPr>
              <w:t>）</w:t>
            </w:r>
            <w:r>
              <w:rPr>
                <w:szCs w:val="24"/>
              </w:rPr>
              <w:t>6</w:t>
            </w:r>
            <w:r>
              <w:rPr>
                <w:rFonts w:hint="eastAsia"/>
                <w:szCs w:val="24"/>
              </w:rPr>
              <w:t>号）和《关于修订印发合并财务报表格式（</w:t>
            </w:r>
            <w:r>
              <w:rPr>
                <w:szCs w:val="24"/>
              </w:rPr>
              <w:t>2019</w:t>
            </w:r>
            <w:r>
              <w:rPr>
                <w:rFonts w:hint="eastAsia"/>
                <w:szCs w:val="24"/>
              </w:rPr>
              <w:t>版）的通知》（财会（</w:t>
            </w:r>
            <w:r>
              <w:rPr>
                <w:szCs w:val="24"/>
              </w:rPr>
              <w:t>2019</w:t>
            </w:r>
            <w:r>
              <w:rPr>
                <w:rFonts w:hint="eastAsia"/>
                <w:szCs w:val="24"/>
              </w:rPr>
              <w:t>）</w:t>
            </w:r>
            <w:r>
              <w:rPr>
                <w:szCs w:val="24"/>
              </w:rPr>
              <w:t>16</w:t>
            </w:r>
            <w:r>
              <w:rPr>
                <w:rFonts w:hint="eastAsia"/>
                <w:szCs w:val="24"/>
              </w:rPr>
              <w:t>号），对一般企业财务报表格式进行了修订。</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董事会决议</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注</w:t>
            </w:r>
            <w:r>
              <w:rPr>
                <w:szCs w:val="24"/>
              </w:rPr>
              <w:t>1</w:t>
            </w:r>
          </w:p>
        </w:tc>
      </w:tr>
      <w:tr>
        <w:tblPrEx>
          <w:tblCellMar>
            <w:top w:w="0" w:type="dxa"/>
            <w:left w:w="28" w:type="dxa"/>
            <w:bottom w:w="0" w:type="dxa"/>
            <w:right w:w="28" w:type="dxa"/>
          </w:tblCellMar>
        </w:tblPrEx>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执行《企业会计准则第</w:t>
            </w:r>
            <w:r>
              <w:rPr>
                <w:szCs w:val="24"/>
              </w:rPr>
              <w:t>22</w:t>
            </w:r>
            <w:r>
              <w:rPr>
                <w:rFonts w:hint="eastAsia"/>
                <w:szCs w:val="24"/>
              </w:rPr>
              <w:t>号</w:t>
            </w:r>
            <w:r>
              <w:rPr>
                <w:szCs w:val="24"/>
              </w:rPr>
              <w:t>——</w:t>
            </w:r>
            <w:r>
              <w:rPr>
                <w:rFonts w:hint="eastAsia"/>
                <w:szCs w:val="24"/>
              </w:rPr>
              <w:t>金融工具确认和计量》、《企业会计准则第</w:t>
            </w:r>
            <w:r>
              <w:rPr>
                <w:szCs w:val="24"/>
              </w:rPr>
              <w:t>23</w:t>
            </w:r>
            <w:r>
              <w:rPr>
                <w:rFonts w:hint="eastAsia"/>
                <w:szCs w:val="24"/>
              </w:rPr>
              <w:t>号</w:t>
            </w:r>
            <w:r>
              <w:rPr>
                <w:szCs w:val="24"/>
              </w:rPr>
              <w:t>——</w:t>
            </w:r>
            <w:r>
              <w:rPr>
                <w:rFonts w:hint="eastAsia"/>
                <w:szCs w:val="24"/>
              </w:rPr>
              <w:t>金融资产转移》、《企业会计准则第</w:t>
            </w:r>
            <w:r>
              <w:rPr>
                <w:szCs w:val="24"/>
              </w:rPr>
              <w:t>24</w:t>
            </w:r>
            <w:r>
              <w:rPr>
                <w:rFonts w:hint="eastAsia"/>
                <w:szCs w:val="24"/>
              </w:rPr>
              <w:t>号</w:t>
            </w:r>
            <w:r>
              <w:rPr>
                <w:szCs w:val="24"/>
              </w:rPr>
              <w:t>——</w:t>
            </w:r>
            <w:r>
              <w:rPr>
                <w:rFonts w:hint="eastAsia"/>
                <w:szCs w:val="24"/>
              </w:rPr>
              <w:t>套期会计》和《企业会计准则第</w:t>
            </w:r>
            <w:r>
              <w:rPr>
                <w:szCs w:val="24"/>
              </w:rPr>
              <w:t>37</w:t>
            </w:r>
            <w:r>
              <w:rPr>
                <w:rFonts w:hint="eastAsia"/>
                <w:szCs w:val="24"/>
              </w:rPr>
              <w:t>号</w:t>
            </w:r>
            <w:r>
              <w:rPr>
                <w:szCs w:val="24"/>
              </w:rPr>
              <w:t>——</w:t>
            </w:r>
            <w:r>
              <w:rPr>
                <w:rFonts w:hint="eastAsia"/>
                <w:szCs w:val="24"/>
              </w:rPr>
              <w:t>金融工具列报》（</w:t>
            </w:r>
            <w:r>
              <w:rPr>
                <w:szCs w:val="24"/>
              </w:rPr>
              <w:t>2017</w:t>
            </w:r>
            <w:r>
              <w:rPr>
                <w:rFonts w:hint="eastAsia"/>
                <w:szCs w:val="24"/>
              </w:rPr>
              <w:t>年修订）：财政部于</w:t>
            </w:r>
            <w:r>
              <w:rPr>
                <w:szCs w:val="24"/>
              </w:rPr>
              <w:t>2017</w:t>
            </w:r>
            <w:r>
              <w:rPr>
                <w:rFonts w:hint="eastAsia"/>
                <w:szCs w:val="24"/>
              </w:rPr>
              <w:t>年度修订了《企业会计准则第</w:t>
            </w:r>
            <w:r>
              <w:rPr>
                <w:szCs w:val="24"/>
              </w:rPr>
              <w:t>22</w:t>
            </w:r>
            <w:r>
              <w:rPr>
                <w:rFonts w:hint="eastAsia"/>
                <w:szCs w:val="24"/>
              </w:rPr>
              <w:t>号</w:t>
            </w:r>
            <w:r>
              <w:rPr>
                <w:szCs w:val="24"/>
              </w:rPr>
              <w:t>——</w:t>
            </w:r>
            <w:r>
              <w:rPr>
                <w:rFonts w:hint="eastAsia"/>
                <w:szCs w:val="24"/>
              </w:rPr>
              <w:t>金融工具确认和计量》、《企业会计准则第</w:t>
            </w:r>
            <w:r>
              <w:rPr>
                <w:szCs w:val="24"/>
              </w:rPr>
              <w:t>23</w:t>
            </w:r>
            <w:r>
              <w:rPr>
                <w:rFonts w:hint="eastAsia"/>
                <w:szCs w:val="24"/>
              </w:rPr>
              <w:t>号</w:t>
            </w:r>
            <w:r>
              <w:rPr>
                <w:szCs w:val="24"/>
              </w:rPr>
              <w:t>——</w:t>
            </w:r>
            <w:r>
              <w:rPr>
                <w:rFonts w:hint="eastAsia"/>
                <w:szCs w:val="24"/>
              </w:rPr>
              <w:t>金融资产转移》、《企业会计准则第</w:t>
            </w:r>
            <w:r>
              <w:rPr>
                <w:szCs w:val="24"/>
              </w:rPr>
              <w:t>24</w:t>
            </w:r>
            <w:r>
              <w:rPr>
                <w:rFonts w:hint="eastAsia"/>
                <w:szCs w:val="24"/>
              </w:rPr>
              <w:t>号</w:t>
            </w:r>
            <w:r>
              <w:rPr>
                <w:szCs w:val="24"/>
              </w:rPr>
              <w:t>——</w:t>
            </w:r>
            <w:r>
              <w:rPr>
                <w:rFonts w:hint="eastAsia"/>
                <w:szCs w:val="24"/>
              </w:rPr>
              <w:t>套期会计》和《企业会计准则第</w:t>
            </w:r>
            <w:r>
              <w:rPr>
                <w:szCs w:val="24"/>
              </w:rPr>
              <w:t>37</w:t>
            </w:r>
            <w:r>
              <w:rPr>
                <w:rFonts w:hint="eastAsia"/>
                <w:szCs w:val="24"/>
              </w:rPr>
              <w:t>号</w:t>
            </w:r>
            <w:r>
              <w:rPr>
                <w:szCs w:val="24"/>
              </w:rPr>
              <w:t>——</w:t>
            </w:r>
            <w:r>
              <w:rPr>
                <w:rFonts w:hint="eastAsia"/>
                <w:szCs w:val="24"/>
              </w:rPr>
              <w:t>金融工具列报》。修订后的准则规定，对于首次执行日尚未终止确认的金融工具，之前的确认和计量与修订后的准则要求不一致的，应当追溯调整。涉及前期比较财务报表数据与修订后的准则要求不一致的，无需调整。本公司将因追溯调整产生的累积影响数调整当年年初留存收益和其他综合收益。</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董事会决议</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注</w:t>
            </w:r>
            <w:r>
              <w:rPr>
                <w:szCs w:val="24"/>
              </w:rPr>
              <w:t>2</w:t>
            </w:r>
          </w:p>
        </w:tc>
      </w:tr>
      <w:tr>
        <w:tblPrEx>
          <w:tblCellMar>
            <w:top w:w="0" w:type="dxa"/>
            <w:left w:w="28" w:type="dxa"/>
            <w:bottom w:w="0" w:type="dxa"/>
            <w:right w:w="28" w:type="dxa"/>
          </w:tblCellMar>
        </w:tblPrEx>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执行《企业会计准则第</w:t>
            </w:r>
            <w:r>
              <w:rPr>
                <w:szCs w:val="24"/>
              </w:rPr>
              <w:t>7</w:t>
            </w:r>
            <w:r>
              <w:rPr>
                <w:rFonts w:hint="eastAsia"/>
                <w:szCs w:val="24"/>
              </w:rPr>
              <w:t>号</w:t>
            </w:r>
            <w:r>
              <w:rPr>
                <w:szCs w:val="24"/>
              </w:rPr>
              <w:t>——</w:t>
            </w:r>
            <w:r>
              <w:rPr>
                <w:rFonts w:hint="eastAsia"/>
                <w:szCs w:val="24"/>
              </w:rPr>
              <w:t>非货币性资产交换》（</w:t>
            </w:r>
            <w:r>
              <w:rPr>
                <w:szCs w:val="24"/>
              </w:rPr>
              <w:t>2019</w:t>
            </w:r>
            <w:r>
              <w:rPr>
                <w:rFonts w:hint="eastAsia"/>
                <w:szCs w:val="24"/>
              </w:rPr>
              <w:t>修订）：财政部于</w:t>
            </w:r>
            <w:r>
              <w:rPr>
                <w:szCs w:val="24"/>
              </w:rPr>
              <w:t>2019</w:t>
            </w:r>
            <w:r>
              <w:rPr>
                <w:rFonts w:hint="eastAsia"/>
                <w:szCs w:val="24"/>
              </w:rPr>
              <w:t>年</w:t>
            </w:r>
            <w:r>
              <w:rPr>
                <w:szCs w:val="24"/>
              </w:rPr>
              <w:t>5</w:t>
            </w:r>
            <w:r>
              <w:rPr>
                <w:rFonts w:hint="eastAsia"/>
                <w:szCs w:val="24"/>
              </w:rPr>
              <w:t>月</w:t>
            </w:r>
            <w:r>
              <w:rPr>
                <w:szCs w:val="24"/>
              </w:rPr>
              <w:t>9</w:t>
            </w:r>
            <w:r>
              <w:rPr>
                <w:rFonts w:hint="eastAsia"/>
                <w:szCs w:val="24"/>
              </w:rPr>
              <w:t>日发布了《企业会计准则第</w:t>
            </w:r>
            <w:r>
              <w:rPr>
                <w:szCs w:val="24"/>
              </w:rPr>
              <w:t>7</w:t>
            </w:r>
            <w:r>
              <w:rPr>
                <w:rFonts w:hint="eastAsia"/>
                <w:szCs w:val="24"/>
              </w:rPr>
              <w:t>号</w:t>
            </w:r>
            <w:r>
              <w:rPr>
                <w:szCs w:val="24"/>
              </w:rPr>
              <w:t>——</w:t>
            </w:r>
            <w:r>
              <w:rPr>
                <w:rFonts w:hint="eastAsia"/>
                <w:szCs w:val="24"/>
              </w:rPr>
              <w:t>非货币性资产交换》（</w:t>
            </w:r>
            <w:r>
              <w:rPr>
                <w:szCs w:val="24"/>
              </w:rPr>
              <w:t>2019</w:t>
            </w:r>
            <w:r>
              <w:rPr>
                <w:rFonts w:hint="eastAsia"/>
                <w:szCs w:val="24"/>
              </w:rPr>
              <w:t>修订）（财会〔</w:t>
            </w:r>
            <w:r>
              <w:rPr>
                <w:szCs w:val="24"/>
              </w:rPr>
              <w:t>2019</w:t>
            </w:r>
            <w:r>
              <w:rPr>
                <w:rFonts w:hint="eastAsia"/>
                <w:szCs w:val="24"/>
              </w:rPr>
              <w:t>〕</w:t>
            </w:r>
            <w:r>
              <w:rPr>
                <w:szCs w:val="24"/>
              </w:rPr>
              <w:t>8</w:t>
            </w:r>
            <w:r>
              <w:rPr>
                <w:rFonts w:hint="eastAsia"/>
                <w:szCs w:val="24"/>
              </w:rPr>
              <w:t>号），修订后的准则自</w:t>
            </w:r>
            <w:r>
              <w:rPr>
                <w:szCs w:val="24"/>
              </w:rPr>
              <w:t>2019</w:t>
            </w:r>
            <w:r>
              <w:rPr>
                <w:rFonts w:hint="eastAsia"/>
                <w:szCs w:val="24"/>
              </w:rPr>
              <w:t>年</w:t>
            </w:r>
            <w:r>
              <w:rPr>
                <w:szCs w:val="24"/>
              </w:rPr>
              <w:t>6</w:t>
            </w:r>
            <w:r>
              <w:rPr>
                <w:rFonts w:hint="eastAsia"/>
                <w:szCs w:val="24"/>
              </w:rPr>
              <w:t>月</w:t>
            </w:r>
            <w:r>
              <w:rPr>
                <w:szCs w:val="24"/>
              </w:rPr>
              <w:t>10</w:t>
            </w:r>
            <w:r>
              <w:rPr>
                <w:rFonts w:hint="eastAsia"/>
                <w:szCs w:val="24"/>
              </w:rPr>
              <w:t>日起施行，对</w:t>
            </w:r>
            <w:r>
              <w:rPr>
                <w:szCs w:val="24"/>
              </w:rPr>
              <w:t>2019</w:t>
            </w:r>
            <w:r>
              <w:rPr>
                <w:rFonts w:hint="eastAsia"/>
                <w:szCs w:val="24"/>
              </w:rPr>
              <w:t>年</w:t>
            </w:r>
            <w:r>
              <w:rPr>
                <w:szCs w:val="24"/>
              </w:rPr>
              <w:t>1</w:t>
            </w:r>
            <w:r>
              <w:rPr>
                <w:rFonts w:hint="eastAsia"/>
                <w:szCs w:val="24"/>
              </w:rPr>
              <w:t>月</w:t>
            </w:r>
            <w:r>
              <w:rPr>
                <w:szCs w:val="24"/>
              </w:rPr>
              <w:t>1</w:t>
            </w:r>
            <w:r>
              <w:rPr>
                <w:rFonts w:hint="eastAsia"/>
                <w:szCs w:val="24"/>
              </w:rPr>
              <w:t>日至本准则施行日之间发生的非货币性资产交换，应根据本准则进行调整。对</w:t>
            </w:r>
            <w:r>
              <w:rPr>
                <w:szCs w:val="24"/>
              </w:rPr>
              <w:t>2019</w:t>
            </w:r>
            <w:r>
              <w:rPr>
                <w:rFonts w:hint="eastAsia"/>
                <w:szCs w:val="24"/>
              </w:rPr>
              <w:t>年</w:t>
            </w:r>
            <w:r>
              <w:rPr>
                <w:szCs w:val="24"/>
              </w:rPr>
              <w:t>1</w:t>
            </w:r>
            <w:r>
              <w:rPr>
                <w:rFonts w:hint="eastAsia"/>
                <w:szCs w:val="24"/>
              </w:rPr>
              <w:t>月</w:t>
            </w:r>
            <w:r>
              <w:rPr>
                <w:szCs w:val="24"/>
              </w:rPr>
              <w:t>1</w:t>
            </w:r>
            <w:r>
              <w:rPr>
                <w:rFonts w:hint="eastAsia"/>
                <w:szCs w:val="24"/>
              </w:rPr>
              <w:t>日之前发生的非货币性资产交换，不需要按照本准则的规定进行追溯调整。本公司执行上述准则在本报告期内无重大影响。</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董事会决议</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blPrEx>
          <w:tblCellMar>
            <w:top w:w="0" w:type="dxa"/>
            <w:left w:w="28" w:type="dxa"/>
            <w:bottom w:w="0" w:type="dxa"/>
            <w:right w:w="28" w:type="dxa"/>
          </w:tblCellMar>
        </w:tblPrEx>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执行《企业会计准则第</w:t>
            </w:r>
            <w:r>
              <w:rPr>
                <w:szCs w:val="24"/>
              </w:rPr>
              <w:t>12</w:t>
            </w:r>
            <w:r>
              <w:rPr>
                <w:rFonts w:hint="eastAsia"/>
                <w:szCs w:val="24"/>
              </w:rPr>
              <w:t>号</w:t>
            </w:r>
            <w:r>
              <w:rPr>
                <w:szCs w:val="24"/>
              </w:rPr>
              <w:t>——</w:t>
            </w:r>
            <w:r>
              <w:rPr>
                <w:rFonts w:hint="eastAsia"/>
                <w:szCs w:val="24"/>
              </w:rPr>
              <w:t>债务重组》（</w:t>
            </w:r>
            <w:r>
              <w:rPr>
                <w:szCs w:val="24"/>
              </w:rPr>
              <w:t>2019</w:t>
            </w:r>
            <w:r>
              <w:rPr>
                <w:rFonts w:hint="eastAsia"/>
                <w:szCs w:val="24"/>
              </w:rPr>
              <w:t>修订）：财政部于</w:t>
            </w:r>
            <w:r>
              <w:rPr>
                <w:szCs w:val="24"/>
              </w:rPr>
              <w:t>2019</w:t>
            </w:r>
            <w:r>
              <w:rPr>
                <w:rFonts w:hint="eastAsia"/>
                <w:szCs w:val="24"/>
              </w:rPr>
              <w:t>年</w:t>
            </w:r>
            <w:r>
              <w:rPr>
                <w:szCs w:val="24"/>
              </w:rPr>
              <w:t>5</w:t>
            </w:r>
            <w:r>
              <w:rPr>
                <w:rFonts w:hint="eastAsia"/>
                <w:szCs w:val="24"/>
              </w:rPr>
              <w:t>月</w:t>
            </w:r>
            <w:r>
              <w:rPr>
                <w:szCs w:val="24"/>
              </w:rPr>
              <w:t>16</w:t>
            </w:r>
            <w:r>
              <w:rPr>
                <w:rFonts w:hint="eastAsia"/>
                <w:szCs w:val="24"/>
              </w:rPr>
              <w:t>日发布了《企业会计准则第</w:t>
            </w:r>
            <w:r>
              <w:rPr>
                <w:szCs w:val="24"/>
              </w:rPr>
              <w:t>12</w:t>
            </w:r>
            <w:r>
              <w:rPr>
                <w:rFonts w:hint="eastAsia"/>
                <w:szCs w:val="24"/>
              </w:rPr>
              <w:t>号</w:t>
            </w:r>
            <w:r>
              <w:rPr>
                <w:szCs w:val="24"/>
              </w:rPr>
              <w:t>——</w:t>
            </w:r>
            <w:r>
              <w:rPr>
                <w:rFonts w:hint="eastAsia"/>
                <w:szCs w:val="24"/>
              </w:rPr>
              <w:t>债务重组》（</w:t>
            </w:r>
            <w:r>
              <w:rPr>
                <w:szCs w:val="24"/>
              </w:rPr>
              <w:t>2019</w:t>
            </w:r>
            <w:r>
              <w:rPr>
                <w:rFonts w:hint="eastAsia"/>
                <w:szCs w:val="24"/>
              </w:rPr>
              <w:t>修订）（财会〔</w:t>
            </w:r>
            <w:r>
              <w:rPr>
                <w:szCs w:val="24"/>
              </w:rPr>
              <w:t>2019</w:t>
            </w:r>
            <w:r>
              <w:rPr>
                <w:rFonts w:hint="eastAsia"/>
                <w:szCs w:val="24"/>
              </w:rPr>
              <w:t>〕</w:t>
            </w:r>
            <w:r>
              <w:rPr>
                <w:szCs w:val="24"/>
              </w:rPr>
              <w:t>9</w:t>
            </w:r>
            <w:r>
              <w:rPr>
                <w:rFonts w:hint="eastAsia"/>
                <w:szCs w:val="24"/>
              </w:rPr>
              <w:t>号），修订后的准则自</w:t>
            </w:r>
            <w:r>
              <w:rPr>
                <w:szCs w:val="24"/>
              </w:rPr>
              <w:t>2019</w:t>
            </w:r>
            <w:r>
              <w:rPr>
                <w:rFonts w:hint="eastAsia"/>
                <w:szCs w:val="24"/>
              </w:rPr>
              <w:t>年</w:t>
            </w:r>
            <w:r>
              <w:rPr>
                <w:szCs w:val="24"/>
              </w:rPr>
              <w:t>6</w:t>
            </w:r>
            <w:r>
              <w:rPr>
                <w:rFonts w:hint="eastAsia"/>
                <w:szCs w:val="24"/>
              </w:rPr>
              <w:t>月</w:t>
            </w:r>
            <w:r>
              <w:rPr>
                <w:szCs w:val="24"/>
              </w:rPr>
              <w:t>17</w:t>
            </w:r>
            <w:r>
              <w:rPr>
                <w:rFonts w:hint="eastAsia"/>
                <w:szCs w:val="24"/>
              </w:rPr>
              <w:t>日起施行，对</w:t>
            </w:r>
            <w:r>
              <w:rPr>
                <w:szCs w:val="24"/>
              </w:rPr>
              <w:t>2019</w:t>
            </w:r>
            <w:r>
              <w:rPr>
                <w:rFonts w:hint="eastAsia"/>
                <w:szCs w:val="24"/>
              </w:rPr>
              <w:t>年</w:t>
            </w:r>
            <w:r>
              <w:rPr>
                <w:szCs w:val="24"/>
              </w:rPr>
              <w:t>1</w:t>
            </w:r>
            <w:r>
              <w:rPr>
                <w:rFonts w:hint="eastAsia"/>
                <w:szCs w:val="24"/>
              </w:rPr>
              <w:t>月</w:t>
            </w:r>
            <w:r>
              <w:rPr>
                <w:szCs w:val="24"/>
              </w:rPr>
              <w:t>1</w:t>
            </w:r>
            <w:r>
              <w:rPr>
                <w:rFonts w:hint="eastAsia"/>
                <w:szCs w:val="24"/>
              </w:rPr>
              <w:t>日至本准则施行日之间发生的债务重组，应根据本准则进行调整。对</w:t>
            </w:r>
            <w:r>
              <w:rPr>
                <w:szCs w:val="24"/>
              </w:rPr>
              <w:t>2019</w:t>
            </w:r>
            <w:r>
              <w:rPr>
                <w:rFonts w:hint="eastAsia"/>
                <w:szCs w:val="24"/>
              </w:rPr>
              <w:t>年</w:t>
            </w:r>
            <w:r>
              <w:rPr>
                <w:szCs w:val="24"/>
              </w:rPr>
              <w:t>1</w:t>
            </w:r>
            <w:r>
              <w:rPr>
                <w:rFonts w:hint="eastAsia"/>
                <w:szCs w:val="24"/>
              </w:rPr>
              <w:t>月</w:t>
            </w:r>
            <w:r>
              <w:rPr>
                <w:szCs w:val="24"/>
              </w:rPr>
              <w:t>1</w:t>
            </w:r>
            <w:r>
              <w:rPr>
                <w:rFonts w:hint="eastAsia"/>
                <w:szCs w:val="24"/>
              </w:rPr>
              <w:t>日之前发生的债务重组，不需要按照本准则的规定进行追溯调整。本公司执行上述准则在本报告期的影响详见本报告附注十四（一）之说明。</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董事会决议</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bl>
    <w:p>
      <w:pPr>
        <w:autoSpaceDE w:val="0"/>
        <w:autoSpaceDN w:val="0"/>
        <w:adjustRightInd w:val="0"/>
        <w:spacing w:before="0" w:after="0"/>
        <w:ind w:left="76"/>
        <w:rPr>
          <w:rFonts w:eastAsiaTheme="minorEastAsia"/>
          <w:kern w:val="0"/>
          <w:lang w:val="zh-CN"/>
        </w:rPr>
      </w:pPr>
      <w:r>
        <w:rPr>
          <w:rFonts w:hint="eastAsia" w:ascii="宋体" w:hAnsi="宋体" w:cs="宋体"/>
          <w:kern w:val="0"/>
          <w:lang w:val="zh-CN"/>
        </w:rPr>
        <w:t>注</w:t>
      </w:r>
      <w:r>
        <w:rPr>
          <w:rFonts w:eastAsia="Times New Roman"/>
          <w:kern w:val="0"/>
          <w:lang w:val="zh-CN"/>
        </w:rPr>
        <w:t>1</w:t>
      </w:r>
      <w:r>
        <w:rPr>
          <w:rFonts w:hint="eastAsia" w:ascii="宋体" w:hAnsi="宋体" w:cs="宋体"/>
          <w:kern w:val="0"/>
          <w:lang w:val="zh-CN"/>
        </w:rPr>
        <w:t>：</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188"/>
        <w:gridCol w:w="3055"/>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95" w:type="pct"/>
            <w:vMerge w:val="restart"/>
            <w:vAlign w:val="center"/>
          </w:tcPr>
          <w:p>
            <w:r>
              <w:t>会计政策变更的内容</w:t>
            </w:r>
          </w:p>
        </w:tc>
        <w:tc>
          <w:tcPr>
            <w:tcW w:w="603" w:type="pct"/>
            <w:vMerge w:val="restart"/>
            <w:vAlign w:val="center"/>
          </w:tcPr>
          <w:p>
            <w:r>
              <w:t>审批程序</w:t>
            </w:r>
          </w:p>
        </w:tc>
        <w:tc>
          <w:tcPr>
            <w:tcW w:w="3102" w:type="pct"/>
            <w:gridSpan w:val="2"/>
            <w:vAlign w:val="center"/>
          </w:tcPr>
          <w:p>
            <w:pPr>
              <w:ind w:left="616"/>
              <w:jc w:val="center"/>
            </w:pPr>
            <w:r>
              <w:t>受影响的报表项目名称和金额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95" w:type="pct"/>
            <w:vMerge w:val="continue"/>
            <w:vAlign w:val="center"/>
          </w:tcPr>
          <w:p>
            <w:pPr>
              <w:ind w:left="616"/>
              <w:jc w:val="center"/>
            </w:pPr>
          </w:p>
        </w:tc>
        <w:tc>
          <w:tcPr>
            <w:tcW w:w="603" w:type="pct"/>
            <w:vMerge w:val="continue"/>
            <w:vAlign w:val="center"/>
          </w:tcPr>
          <w:p>
            <w:pPr>
              <w:ind w:left="616"/>
              <w:jc w:val="center"/>
            </w:pPr>
          </w:p>
        </w:tc>
        <w:tc>
          <w:tcPr>
            <w:tcW w:w="1550" w:type="pct"/>
            <w:vAlign w:val="center"/>
          </w:tcPr>
          <w:p>
            <w:pPr>
              <w:ind w:left="616"/>
              <w:jc w:val="center"/>
            </w:pPr>
            <w:r>
              <w:rPr>
                <w:rFonts w:hint="eastAsia"/>
              </w:rPr>
              <w:t>合并</w:t>
            </w:r>
          </w:p>
        </w:tc>
        <w:tc>
          <w:tcPr>
            <w:tcW w:w="1552" w:type="pct"/>
            <w:vAlign w:val="center"/>
          </w:tcPr>
          <w:p>
            <w:pPr>
              <w:ind w:left="616"/>
              <w:jc w:val="center"/>
            </w:pPr>
            <w:r>
              <w:rPr>
                <w:rFonts w:hint="eastAsia"/>
              </w:rPr>
              <w:t>母公司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r>
              <w:rPr>
                <w:rFonts w:hint="eastAsia"/>
              </w:rPr>
              <w:t>（1）资产负债表中</w:t>
            </w:r>
            <w:r>
              <w:rPr>
                <w:rFonts w:hint="eastAsia" w:ascii="宋体" w:hAnsi="宋体"/>
              </w:rPr>
              <w:t>“</w:t>
            </w:r>
            <w:r>
              <w:rPr>
                <w:rFonts w:hint="eastAsia"/>
              </w:rPr>
              <w:t>应收票据及应收账款</w:t>
            </w:r>
            <w:r>
              <w:rPr>
                <w:rFonts w:hint="eastAsia" w:ascii="宋体" w:hAnsi="宋体"/>
              </w:rPr>
              <w:t>”</w:t>
            </w:r>
            <w:r>
              <w:rPr>
                <w:rFonts w:hint="eastAsia"/>
              </w:rPr>
              <w:t>拆分为</w:t>
            </w:r>
            <w:r>
              <w:rPr>
                <w:rFonts w:hint="eastAsia" w:ascii="宋体" w:hAnsi="宋体"/>
              </w:rPr>
              <w:t>“</w:t>
            </w:r>
            <w:r>
              <w:rPr>
                <w:rFonts w:hint="eastAsia"/>
              </w:rPr>
              <w:t>应收票据</w:t>
            </w:r>
            <w:r>
              <w:rPr>
                <w:rFonts w:hint="eastAsia" w:ascii="宋体" w:hAnsi="宋体"/>
              </w:rPr>
              <w:t>”</w:t>
            </w:r>
            <w:r>
              <w:rPr>
                <w:rFonts w:hint="eastAsia"/>
              </w:rPr>
              <w:t>和</w:t>
            </w:r>
            <w:r>
              <w:rPr>
                <w:rFonts w:hint="eastAsia" w:ascii="宋体" w:hAnsi="宋体"/>
              </w:rPr>
              <w:t>“</w:t>
            </w:r>
            <w:r>
              <w:rPr>
                <w:rFonts w:hint="eastAsia"/>
              </w:rPr>
              <w:t>应收账款</w:t>
            </w:r>
            <w:r>
              <w:rPr>
                <w:rFonts w:hint="eastAsia" w:ascii="宋体" w:hAnsi="宋体"/>
              </w:rPr>
              <w:t>”</w:t>
            </w:r>
            <w:r>
              <w:rPr>
                <w:rFonts w:hint="eastAsia"/>
              </w:rPr>
              <w:t>列示；</w:t>
            </w:r>
            <w:r>
              <w:rPr>
                <w:rFonts w:hint="eastAsia" w:ascii="宋体" w:hAnsi="宋体"/>
              </w:rPr>
              <w:t>“</w:t>
            </w:r>
            <w:r>
              <w:rPr>
                <w:rFonts w:hint="eastAsia"/>
              </w:rPr>
              <w:t>应付票据及应付账款</w:t>
            </w:r>
            <w:r>
              <w:rPr>
                <w:rFonts w:hint="eastAsia" w:ascii="宋体" w:hAnsi="宋体"/>
              </w:rPr>
              <w:t>”</w:t>
            </w:r>
            <w:r>
              <w:rPr>
                <w:rFonts w:hint="eastAsia"/>
              </w:rPr>
              <w:t>拆分为</w:t>
            </w:r>
            <w:r>
              <w:rPr>
                <w:rFonts w:hint="eastAsia" w:ascii="宋体" w:hAnsi="宋体"/>
              </w:rPr>
              <w:t>“</w:t>
            </w:r>
            <w:r>
              <w:rPr>
                <w:rFonts w:hint="eastAsia"/>
              </w:rPr>
              <w:t>应付票据</w:t>
            </w:r>
            <w:r>
              <w:rPr>
                <w:rFonts w:hint="eastAsia" w:ascii="宋体" w:hAnsi="宋体"/>
              </w:rPr>
              <w:t>”</w:t>
            </w:r>
            <w:r>
              <w:rPr>
                <w:rFonts w:hint="eastAsia"/>
              </w:rPr>
              <w:t>和</w:t>
            </w:r>
            <w:r>
              <w:rPr>
                <w:rFonts w:hint="eastAsia" w:ascii="宋体" w:hAnsi="宋体"/>
              </w:rPr>
              <w:t>“</w:t>
            </w:r>
            <w:r>
              <w:rPr>
                <w:rFonts w:hint="eastAsia"/>
              </w:rPr>
              <w:t>应付账款</w:t>
            </w:r>
            <w:r>
              <w:rPr>
                <w:rFonts w:hint="eastAsia" w:ascii="宋体" w:hAnsi="宋体"/>
              </w:rPr>
              <w:t>”</w:t>
            </w:r>
            <w:r>
              <w:rPr>
                <w:rFonts w:hint="eastAsia"/>
              </w:rPr>
              <w:t>列示；比较数据相应调整。</w:t>
            </w:r>
          </w:p>
        </w:tc>
        <w:tc>
          <w:tcPr>
            <w:tcW w:w="603" w:type="pct"/>
            <w:vAlign w:val="center"/>
          </w:tcPr>
          <w:p>
            <w:r>
              <w:rPr>
                <w:rFonts w:hint="eastAsia"/>
              </w:rPr>
              <w:t>董事会决议</w:t>
            </w:r>
          </w:p>
        </w:tc>
        <w:tc>
          <w:tcPr>
            <w:tcW w:w="1550" w:type="pct"/>
            <w:vAlign w:val="center"/>
          </w:tcPr>
          <w:p>
            <w:r>
              <w:rPr>
                <w:rFonts w:hint="eastAsia" w:ascii="宋体" w:hAnsi="宋体"/>
              </w:rPr>
              <w:t>“</w:t>
            </w:r>
            <w:r>
              <w:rPr>
                <w:rFonts w:hint="eastAsia"/>
              </w:rPr>
              <w:t>应收票据及应收账款</w:t>
            </w:r>
            <w:r>
              <w:rPr>
                <w:rFonts w:hint="eastAsia" w:ascii="宋体" w:hAnsi="宋体"/>
              </w:rPr>
              <w:t>”</w:t>
            </w:r>
            <w:r>
              <w:rPr>
                <w:rFonts w:hint="eastAsia"/>
              </w:rPr>
              <w:t>拆分为</w:t>
            </w:r>
            <w:r>
              <w:rPr>
                <w:rFonts w:hint="eastAsia" w:ascii="宋体" w:hAnsi="宋体"/>
              </w:rPr>
              <w:t>“</w:t>
            </w:r>
            <w:r>
              <w:rPr>
                <w:rFonts w:hint="eastAsia"/>
              </w:rPr>
              <w:t>应收票据</w:t>
            </w:r>
            <w:r>
              <w:rPr>
                <w:rFonts w:hint="eastAsia" w:ascii="宋体" w:hAnsi="宋体"/>
              </w:rPr>
              <w:t>”</w:t>
            </w:r>
            <w:r>
              <w:rPr>
                <w:rFonts w:hint="eastAsia"/>
              </w:rPr>
              <w:t>和</w:t>
            </w:r>
            <w:r>
              <w:rPr>
                <w:rFonts w:hint="eastAsia" w:ascii="宋体" w:hAnsi="宋体"/>
              </w:rPr>
              <w:t>“</w:t>
            </w:r>
            <w:r>
              <w:rPr>
                <w:rFonts w:hint="eastAsia"/>
              </w:rPr>
              <w:t>应收账款</w:t>
            </w:r>
            <w:r>
              <w:rPr>
                <w:rFonts w:hint="eastAsia" w:ascii="宋体" w:hAnsi="宋体"/>
              </w:rPr>
              <w:t>”</w:t>
            </w:r>
            <w:r>
              <w:rPr>
                <w:rFonts w:hint="eastAsia"/>
              </w:rPr>
              <w:t>，</w:t>
            </w:r>
            <w:r>
              <w:rPr>
                <w:rFonts w:hint="eastAsia" w:ascii="宋体" w:hAnsi="宋体"/>
              </w:rPr>
              <w:t>“</w:t>
            </w:r>
            <w:r>
              <w:rPr>
                <w:rFonts w:hint="eastAsia"/>
              </w:rPr>
              <w:t>应收票据</w:t>
            </w:r>
            <w:r>
              <w:rPr>
                <w:rFonts w:hint="eastAsia" w:ascii="宋体" w:hAnsi="宋体"/>
              </w:rPr>
              <w:t>”</w:t>
            </w:r>
            <w:r>
              <w:rPr>
                <w:rFonts w:hint="eastAsia"/>
              </w:rPr>
              <w:t>上年年末余额</w:t>
            </w:r>
            <w:r>
              <w:t>2,407,764.60</w:t>
            </w:r>
            <w:r>
              <w:rPr>
                <w:rFonts w:hint="eastAsia"/>
              </w:rPr>
              <w:t xml:space="preserve">元， </w:t>
            </w:r>
            <w:r>
              <w:rPr>
                <w:rFonts w:hint="eastAsia" w:ascii="宋体" w:hAnsi="宋体"/>
              </w:rPr>
              <w:t>“</w:t>
            </w:r>
            <w:r>
              <w:rPr>
                <w:rFonts w:hint="eastAsia"/>
              </w:rPr>
              <w:t>应收账款</w:t>
            </w:r>
            <w:r>
              <w:rPr>
                <w:rFonts w:hint="eastAsia" w:ascii="宋体" w:hAnsi="宋体"/>
              </w:rPr>
              <w:t>”</w:t>
            </w:r>
            <w:r>
              <w:rPr>
                <w:rFonts w:hint="eastAsia"/>
              </w:rPr>
              <w:t>上年年末余额</w:t>
            </w:r>
            <w:r>
              <w:t>1,305,469,274.95</w:t>
            </w:r>
            <w:r>
              <w:rPr>
                <w:rFonts w:hint="eastAsia"/>
              </w:rPr>
              <w:t>元；</w:t>
            </w:r>
          </w:p>
          <w:p>
            <w:r>
              <w:rPr>
                <w:rFonts w:hint="eastAsia" w:ascii="宋体" w:hAnsi="宋体"/>
              </w:rPr>
              <w:t>“</w:t>
            </w:r>
            <w:r>
              <w:rPr>
                <w:rFonts w:hint="eastAsia"/>
              </w:rPr>
              <w:t>应付票据及应付账款</w:t>
            </w:r>
            <w:r>
              <w:rPr>
                <w:rFonts w:hint="eastAsia" w:ascii="宋体" w:hAnsi="宋体"/>
              </w:rPr>
              <w:t>”</w:t>
            </w:r>
            <w:r>
              <w:rPr>
                <w:rFonts w:hint="eastAsia"/>
              </w:rPr>
              <w:t>拆分为</w:t>
            </w:r>
            <w:r>
              <w:rPr>
                <w:rFonts w:hint="eastAsia" w:ascii="宋体" w:hAnsi="宋体"/>
              </w:rPr>
              <w:t>“</w:t>
            </w:r>
            <w:r>
              <w:rPr>
                <w:rFonts w:hint="eastAsia"/>
              </w:rPr>
              <w:t>应付票据</w:t>
            </w:r>
            <w:r>
              <w:rPr>
                <w:rFonts w:hint="eastAsia" w:ascii="宋体" w:hAnsi="宋体"/>
              </w:rPr>
              <w:t>”</w:t>
            </w:r>
            <w:r>
              <w:rPr>
                <w:rFonts w:hint="eastAsia"/>
              </w:rPr>
              <w:t>和</w:t>
            </w:r>
            <w:r>
              <w:rPr>
                <w:rFonts w:hint="eastAsia" w:ascii="宋体" w:hAnsi="宋体"/>
              </w:rPr>
              <w:t>“</w:t>
            </w:r>
            <w:r>
              <w:rPr>
                <w:rFonts w:hint="eastAsia"/>
              </w:rPr>
              <w:t>应付账款</w:t>
            </w:r>
            <w:r>
              <w:rPr>
                <w:rFonts w:hint="eastAsia" w:ascii="宋体" w:hAnsi="宋体"/>
              </w:rPr>
              <w:t>”</w:t>
            </w:r>
            <w:r>
              <w:rPr>
                <w:rFonts w:hint="eastAsia"/>
              </w:rPr>
              <w:t>，</w:t>
            </w:r>
            <w:r>
              <w:rPr>
                <w:rFonts w:hint="eastAsia" w:ascii="宋体" w:hAnsi="宋体"/>
              </w:rPr>
              <w:t>“</w:t>
            </w:r>
            <w:r>
              <w:rPr>
                <w:rFonts w:hint="eastAsia"/>
              </w:rPr>
              <w:t>应付票据</w:t>
            </w:r>
            <w:r>
              <w:rPr>
                <w:rFonts w:hint="eastAsia" w:ascii="宋体" w:hAnsi="宋体"/>
              </w:rPr>
              <w:t>”</w:t>
            </w:r>
            <w:r>
              <w:rPr>
                <w:rFonts w:hint="eastAsia"/>
              </w:rPr>
              <w:t>上年年末余额</w:t>
            </w:r>
            <w:r>
              <w:t>55,090,000.00</w:t>
            </w:r>
            <w:r>
              <w:rPr>
                <w:rFonts w:hint="eastAsia"/>
              </w:rPr>
              <w:t xml:space="preserve">元， </w:t>
            </w:r>
            <w:r>
              <w:rPr>
                <w:rFonts w:hint="eastAsia" w:ascii="宋体" w:hAnsi="宋体"/>
              </w:rPr>
              <w:t>“</w:t>
            </w:r>
            <w:r>
              <w:rPr>
                <w:rFonts w:hint="eastAsia"/>
              </w:rPr>
              <w:t>应付账款</w:t>
            </w:r>
            <w:r>
              <w:rPr>
                <w:rFonts w:hint="eastAsia" w:ascii="宋体" w:hAnsi="宋体"/>
              </w:rPr>
              <w:t>”</w:t>
            </w:r>
            <w:r>
              <w:rPr>
                <w:rFonts w:hint="eastAsia"/>
              </w:rPr>
              <w:t>上年年末余额</w:t>
            </w:r>
            <w:r>
              <w:t>176,508,332.56</w:t>
            </w:r>
            <w:r>
              <w:rPr>
                <w:rFonts w:hint="eastAsia"/>
              </w:rPr>
              <w:t>元。</w:t>
            </w:r>
          </w:p>
        </w:tc>
        <w:tc>
          <w:tcPr>
            <w:tcW w:w="1552" w:type="pct"/>
            <w:vAlign w:val="center"/>
          </w:tcPr>
          <w:p>
            <w:r>
              <w:rPr>
                <w:rFonts w:hint="eastAsia" w:ascii="宋体" w:hAnsi="宋体"/>
              </w:rPr>
              <w:t>“</w:t>
            </w:r>
            <w:r>
              <w:rPr>
                <w:rFonts w:hint="eastAsia"/>
              </w:rPr>
              <w:t>应收票据及应收账款</w:t>
            </w:r>
            <w:r>
              <w:rPr>
                <w:rFonts w:hint="eastAsia" w:ascii="宋体" w:hAnsi="宋体"/>
              </w:rPr>
              <w:t>”</w:t>
            </w:r>
            <w:r>
              <w:rPr>
                <w:rFonts w:hint="eastAsia"/>
              </w:rPr>
              <w:t>拆分为</w:t>
            </w:r>
            <w:r>
              <w:rPr>
                <w:rFonts w:hint="eastAsia" w:ascii="宋体" w:hAnsi="宋体"/>
              </w:rPr>
              <w:t>“</w:t>
            </w:r>
            <w:r>
              <w:rPr>
                <w:rFonts w:hint="eastAsia"/>
              </w:rPr>
              <w:t>应收票据</w:t>
            </w:r>
            <w:r>
              <w:rPr>
                <w:rFonts w:hint="eastAsia" w:ascii="宋体" w:hAnsi="宋体"/>
              </w:rPr>
              <w:t>”</w:t>
            </w:r>
            <w:r>
              <w:rPr>
                <w:rFonts w:hint="eastAsia"/>
              </w:rPr>
              <w:t>和</w:t>
            </w:r>
            <w:r>
              <w:rPr>
                <w:rFonts w:hint="eastAsia" w:ascii="宋体" w:hAnsi="宋体"/>
              </w:rPr>
              <w:t>“</w:t>
            </w:r>
            <w:r>
              <w:rPr>
                <w:rFonts w:hint="eastAsia"/>
              </w:rPr>
              <w:t>应收账款</w:t>
            </w:r>
            <w:r>
              <w:rPr>
                <w:rFonts w:hint="eastAsia" w:ascii="宋体" w:hAnsi="宋体"/>
              </w:rPr>
              <w:t>”</w:t>
            </w:r>
            <w:r>
              <w:rPr>
                <w:rFonts w:hint="eastAsia"/>
              </w:rPr>
              <w:t>，</w:t>
            </w:r>
            <w:r>
              <w:rPr>
                <w:rFonts w:hint="eastAsia" w:ascii="宋体" w:hAnsi="宋体"/>
              </w:rPr>
              <w:t>“</w:t>
            </w:r>
            <w:r>
              <w:rPr>
                <w:rFonts w:hint="eastAsia"/>
              </w:rPr>
              <w:t>应收票据</w:t>
            </w:r>
            <w:r>
              <w:rPr>
                <w:rFonts w:hint="eastAsia" w:ascii="宋体" w:hAnsi="宋体"/>
              </w:rPr>
              <w:t>”</w:t>
            </w:r>
            <w:r>
              <w:rPr>
                <w:rFonts w:hint="eastAsia"/>
              </w:rPr>
              <w:t>上年年末余额</w:t>
            </w:r>
            <w:r>
              <w:t>1,502,764.60</w:t>
            </w:r>
            <w:r>
              <w:rPr>
                <w:rFonts w:hint="eastAsia"/>
              </w:rPr>
              <w:t xml:space="preserve">元， </w:t>
            </w:r>
            <w:r>
              <w:rPr>
                <w:rFonts w:hint="eastAsia" w:ascii="宋体" w:hAnsi="宋体"/>
              </w:rPr>
              <w:t>“</w:t>
            </w:r>
            <w:r>
              <w:rPr>
                <w:rFonts w:hint="eastAsia"/>
              </w:rPr>
              <w:t>应收账款</w:t>
            </w:r>
            <w:r>
              <w:rPr>
                <w:rFonts w:hint="eastAsia" w:ascii="宋体" w:hAnsi="宋体"/>
              </w:rPr>
              <w:t>”</w:t>
            </w:r>
            <w:r>
              <w:rPr>
                <w:rFonts w:hint="eastAsia"/>
              </w:rPr>
              <w:t>上年年末余额</w:t>
            </w:r>
            <w:r>
              <w:t>529,578,756.65</w:t>
            </w:r>
            <w:r>
              <w:rPr>
                <w:rFonts w:hint="eastAsia"/>
              </w:rPr>
              <w:t>元；</w:t>
            </w:r>
          </w:p>
          <w:p>
            <w:r>
              <w:rPr>
                <w:rFonts w:hint="eastAsia" w:ascii="宋体" w:hAnsi="宋体"/>
              </w:rPr>
              <w:t>“</w:t>
            </w:r>
            <w:r>
              <w:rPr>
                <w:rFonts w:hint="eastAsia"/>
              </w:rPr>
              <w:t>应付票据及应付账款</w:t>
            </w:r>
            <w:r>
              <w:rPr>
                <w:rFonts w:hint="eastAsia" w:ascii="宋体" w:hAnsi="宋体"/>
              </w:rPr>
              <w:t>”</w:t>
            </w:r>
            <w:r>
              <w:rPr>
                <w:rFonts w:hint="eastAsia"/>
              </w:rPr>
              <w:t>拆分为</w:t>
            </w:r>
            <w:r>
              <w:rPr>
                <w:rFonts w:hint="eastAsia" w:ascii="宋体" w:hAnsi="宋体"/>
              </w:rPr>
              <w:t>“</w:t>
            </w:r>
            <w:r>
              <w:rPr>
                <w:rFonts w:hint="eastAsia"/>
              </w:rPr>
              <w:t>应付票据</w:t>
            </w:r>
            <w:r>
              <w:rPr>
                <w:rFonts w:hint="eastAsia" w:ascii="宋体" w:hAnsi="宋体"/>
              </w:rPr>
              <w:t>”</w:t>
            </w:r>
            <w:r>
              <w:rPr>
                <w:rFonts w:hint="eastAsia"/>
              </w:rPr>
              <w:t>和</w:t>
            </w:r>
            <w:r>
              <w:rPr>
                <w:rFonts w:hint="eastAsia" w:ascii="宋体" w:hAnsi="宋体"/>
              </w:rPr>
              <w:t>“</w:t>
            </w:r>
            <w:r>
              <w:rPr>
                <w:rFonts w:hint="eastAsia"/>
              </w:rPr>
              <w:t>应付账款</w:t>
            </w:r>
            <w:r>
              <w:rPr>
                <w:rFonts w:hint="eastAsia" w:ascii="宋体" w:hAnsi="宋体"/>
              </w:rPr>
              <w:t>”</w:t>
            </w:r>
            <w:r>
              <w:rPr>
                <w:rFonts w:hint="eastAsia"/>
              </w:rPr>
              <w:t>，</w:t>
            </w:r>
            <w:r>
              <w:rPr>
                <w:rFonts w:hint="eastAsia" w:ascii="宋体" w:hAnsi="宋体"/>
              </w:rPr>
              <w:t>“</w:t>
            </w:r>
            <w:r>
              <w:rPr>
                <w:rFonts w:hint="eastAsia"/>
              </w:rPr>
              <w:t>应付票据</w:t>
            </w:r>
            <w:r>
              <w:rPr>
                <w:rFonts w:hint="eastAsia" w:ascii="宋体" w:hAnsi="宋体"/>
              </w:rPr>
              <w:t>”</w:t>
            </w:r>
            <w:r>
              <w:rPr>
                <w:rFonts w:hint="eastAsia"/>
              </w:rPr>
              <w:t>上年年末余额</w:t>
            </w:r>
            <w:r>
              <w:t>20,000,000.00</w:t>
            </w:r>
            <w:r>
              <w:rPr>
                <w:rFonts w:hint="eastAsia"/>
              </w:rPr>
              <w:t xml:space="preserve">元， </w:t>
            </w:r>
            <w:r>
              <w:rPr>
                <w:rFonts w:hint="eastAsia" w:ascii="宋体" w:hAnsi="宋体"/>
              </w:rPr>
              <w:t>“</w:t>
            </w:r>
            <w:r>
              <w:rPr>
                <w:rFonts w:hint="eastAsia"/>
              </w:rPr>
              <w:t>应付账款</w:t>
            </w:r>
            <w:r>
              <w:rPr>
                <w:rFonts w:hint="eastAsia" w:ascii="宋体" w:hAnsi="宋体"/>
              </w:rPr>
              <w:t>”</w:t>
            </w:r>
            <w:r>
              <w:rPr>
                <w:rFonts w:hint="eastAsia"/>
              </w:rPr>
              <w:t>上年年末余额</w:t>
            </w:r>
            <w:r>
              <w:t>105,565,614.66</w:t>
            </w:r>
            <w:r>
              <w:rPr>
                <w:rFonts w:hint="eastAsia"/>
              </w:rPr>
              <w:t>元。</w:t>
            </w:r>
          </w:p>
        </w:tc>
      </w:tr>
    </w:tbl>
    <w:p>
      <w:pPr>
        <w:autoSpaceDE w:val="0"/>
        <w:autoSpaceDN w:val="0"/>
        <w:adjustRightInd w:val="0"/>
        <w:spacing w:before="0" w:after="0"/>
        <w:ind w:left="76"/>
        <w:rPr>
          <w:rFonts w:eastAsia="Times New Roman"/>
          <w:kern w:val="0"/>
          <w:lang w:val="zh-CN"/>
        </w:rPr>
      </w:pPr>
      <w:r>
        <w:rPr>
          <w:rFonts w:hint="eastAsia" w:ascii="宋体" w:hAnsi="宋体" w:cs="宋体"/>
          <w:kern w:val="0"/>
          <w:lang w:val="zh-CN"/>
        </w:rPr>
        <w:t>注</w:t>
      </w:r>
      <w:r>
        <w:rPr>
          <w:rFonts w:eastAsia="Times New Roman"/>
          <w:kern w:val="0"/>
          <w:lang w:val="zh-CN"/>
        </w:rPr>
        <w:t>2</w:t>
      </w:r>
      <w:r>
        <w:rPr>
          <w:rFonts w:hint="eastAsia" w:ascii="宋体" w:hAnsi="宋体" w:cs="宋体"/>
          <w:kern w:val="0"/>
          <w:lang w:val="zh-CN"/>
        </w:rPr>
        <w:t>：</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4"/>
        <w:gridCol w:w="1906"/>
        <w:gridCol w:w="2478"/>
        <w:gridCol w:w="2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19" w:type="pct"/>
            <w:vMerge w:val="restart"/>
            <w:vAlign w:val="center"/>
          </w:tcPr>
          <w:p>
            <w:pPr>
              <w:ind w:left="616"/>
              <w:jc w:val="center"/>
            </w:pPr>
            <w:r>
              <w:t>会计政策变更的内容和原因</w:t>
            </w:r>
          </w:p>
        </w:tc>
        <w:tc>
          <w:tcPr>
            <w:tcW w:w="967" w:type="pct"/>
            <w:vMerge w:val="restart"/>
            <w:vAlign w:val="center"/>
          </w:tcPr>
          <w:p>
            <w:pPr>
              <w:ind w:left="616"/>
              <w:jc w:val="center"/>
            </w:pPr>
            <w:r>
              <w:t>审批程序</w:t>
            </w:r>
          </w:p>
        </w:tc>
        <w:tc>
          <w:tcPr>
            <w:tcW w:w="2513" w:type="pct"/>
            <w:gridSpan w:val="2"/>
            <w:vAlign w:val="center"/>
          </w:tcPr>
          <w:p>
            <w:pPr>
              <w:ind w:left="616"/>
              <w:jc w:val="center"/>
            </w:pPr>
            <w:r>
              <w:t>受影响的报表项目名称</w:t>
            </w:r>
            <w:r>
              <w:rPr>
                <w:rFonts w:hint="eastAsia"/>
              </w:rPr>
              <w:t>和</w:t>
            </w:r>
            <w: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19" w:type="pct"/>
            <w:vMerge w:val="continue"/>
            <w:vAlign w:val="center"/>
          </w:tcPr>
          <w:p>
            <w:pPr>
              <w:ind w:left="616"/>
              <w:jc w:val="center"/>
            </w:pPr>
          </w:p>
        </w:tc>
        <w:tc>
          <w:tcPr>
            <w:tcW w:w="967" w:type="pct"/>
            <w:vMerge w:val="continue"/>
            <w:vAlign w:val="center"/>
          </w:tcPr>
          <w:p>
            <w:pPr>
              <w:ind w:left="616"/>
              <w:jc w:val="center"/>
            </w:pPr>
          </w:p>
        </w:tc>
        <w:tc>
          <w:tcPr>
            <w:tcW w:w="1257" w:type="pct"/>
            <w:vAlign w:val="center"/>
          </w:tcPr>
          <w:p>
            <w:pPr>
              <w:ind w:left="616"/>
              <w:jc w:val="center"/>
            </w:pPr>
            <w:r>
              <w:rPr>
                <w:rFonts w:hint="eastAsia"/>
              </w:rPr>
              <w:t>合并</w:t>
            </w:r>
          </w:p>
        </w:tc>
        <w:tc>
          <w:tcPr>
            <w:tcW w:w="1256" w:type="pct"/>
            <w:vAlign w:val="center"/>
          </w:tcPr>
          <w:p>
            <w:pPr>
              <w:ind w:left="616"/>
              <w:jc w:val="center"/>
            </w:pPr>
            <w:r>
              <w:rPr>
                <w:rFonts w:hint="eastAsia"/>
              </w:rPr>
              <w:t>母公司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9" w:type="pct"/>
            <w:vAlign w:val="center"/>
          </w:tcPr>
          <w:p>
            <w:r>
              <w:rPr>
                <w:rFonts w:hint="eastAsia"/>
              </w:rPr>
              <w:t>（</w:t>
            </w:r>
            <w:r>
              <w:t>1</w:t>
            </w:r>
            <w:r>
              <w:rPr>
                <w:rFonts w:hint="eastAsia"/>
              </w:rPr>
              <w:t>）非交易性的可供出售权益工具投资指定为</w:t>
            </w:r>
            <w:r>
              <w:rPr>
                <w:rFonts w:hint="eastAsia" w:ascii="宋体" w:hAnsi="宋体"/>
              </w:rPr>
              <w:t>“</w:t>
            </w:r>
            <w:r>
              <w:rPr>
                <w:rFonts w:hint="eastAsia"/>
              </w:rPr>
              <w:t>以公允价值计量且其变动计入其他综合收益的金融资产</w:t>
            </w:r>
            <w:r>
              <w:rPr>
                <w:rFonts w:hint="eastAsia" w:ascii="宋体" w:hAnsi="宋体"/>
              </w:rPr>
              <w:t>”</w:t>
            </w:r>
            <w:r>
              <w:rPr>
                <w:rFonts w:hint="eastAsia"/>
              </w:rPr>
              <w:t>。</w:t>
            </w:r>
          </w:p>
        </w:tc>
        <w:tc>
          <w:tcPr>
            <w:tcW w:w="967" w:type="pct"/>
            <w:vAlign w:val="center"/>
          </w:tcPr>
          <w:p>
            <w:r>
              <w:rPr>
                <w:rFonts w:hint="eastAsia"/>
              </w:rPr>
              <w:t>董事会决议</w:t>
            </w:r>
          </w:p>
        </w:tc>
        <w:tc>
          <w:tcPr>
            <w:tcW w:w="1257" w:type="pct"/>
            <w:vAlign w:val="center"/>
          </w:tcPr>
          <w:p>
            <w:r>
              <w:rPr>
                <w:rFonts w:hint="eastAsia"/>
              </w:rPr>
              <w:t>可供出售金融资产：减少</w:t>
            </w:r>
            <w:r>
              <w:t>30,600,000.00</w:t>
            </w:r>
            <w:r>
              <w:rPr>
                <w:rFonts w:hint="eastAsia"/>
              </w:rPr>
              <w:t>元</w:t>
            </w:r>
            <w:r>
              <w:t>，</w:t>
            </w:r>
            <w:r>
              <w:rPr>
                <w:rFonts w:hint="eastAsia"/>
              </w:rPr>
              <w:t>其他权益工具投资：增加</w:t>
            </w:r>
            <w:r>
              <w:t>30,</w:t>
            </w:r>
            <w:r>
              <w:rPr>
                <w:rFonts w:hint="eastAsia"/>
              </w:rPr>
              <w:t>6</w:t>
            </w:r>
            <w:r>
              <w:t>00,000.00</w:t>
            </w:r>
            <w:r>
              <w:rPr>
                <w:rFonts w:hint="eastAsia"/>
              </w:rPr>
              <w:t>元。</w:t>
            </w:r>
          </w:p>
        </w:tc>
        <w:tc>
          <w:tcPr>
            <w:tcW w:w="1256" w:type="pct"/>
            <w:vAlign w:val="center"/>
          </w:tcPr>
          <w:p>
            <w:r>
              <w:rPr>
                <w:rFonts w:hint="eastAsia"/>
              </w:rPr>
              <w:t>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9" w:type="pct"/>
            <w:vAlign w:val="center"/>
          </w:tcPr>
          <w:p>
            <w:r>
              <w:rPr>
                <w:rFonts w:hint="eastAsia"/>
              </w:rPr>
              <w:t>（</w:t>
            </w:r>
            <w:r>
              <w:t>2</w:t>
            </w:r>
            <w:r>
              <w:rPr>
                <w:rFonts w:hint="eastAsia"/>
              </w:rPr>
              <w:t>）将部分</w:t>
            </w:r>
            <w:r>
              <w:rPr>
                <w:rFonts w:hint="eastAsia" w:ascii="宋体" w:hAnsi="宋体"/>
              </w:rPr>
              <w:t>“</w:t>
            </w:r>
            <w:r>
              <w:rPr>
                <w:rFonts w:hint="eastAsia"/>
              </w:rPr>
              <w:t>应收款项</w:t>
            </w:r>
            <w:r>
              <w:rPr>
                <w:rFonts w:hint="eastAsia" w:ascii="宋体" w:hAnsi="宋体"/>
              </w:rPr>
              <w:t>”</w:t>
            </w:r>
            <w:r>
              <w:rPr>
                <w:rFonts w:hint="eastAsia"/>
              </w:rPr>
              <w:t>重分类至</w:t>
            </w:r>
            <w:r>
              <w:rPr>
                <w:rFonts w:hint="eastAsia" w:ascii="宋体" w:hAnsi="宋体"/>
              </w:rPr>
              <w:t>“</w:t>
            </w:r>
            <w:r>
              <w:rPr>
                <w:rFonts w:hint="eastAsia"/>
              </w:rPr>
              <w:t>以公允价值计量且其变动计入其他综合收益的金融资产（债务工具）</w:t>
            </w:r>
            <w:r>
              <w:rPr>
                <w:rFonts w:hint="eastAsia" w:ascii="宋体" w:hAnsi="宋体"/>
              </w:rPr>
              <w:t>”</w:t>
            </w:r>
          </w:p>
        </w:tc>
        <w:tc>
          <w:tcPr>
            <w:tcW w:w="967" w:type="pct"/>
            <w:vAlign w:val="center"/>
          </w:tcPr>
          <w:p>
            <w:r>
              <w:rPr>
                <w:rFonts w:hint="eastAsia"/>
              </w:rPr>
              <w:t>董事会决议</w:t>
            </w:r>
          </w:p>
        </w:tc>
        <w:tc>
          <w:tcPr>
            <w:tcW w:w="1257" w:type="pct"/>
            <w:vAlign w:val="center"/>
          </w:tcPr>
          <w:p>
            <w:r>
              <w:rPr>
                <w:rFonts w:hint="eastAsia"/>
              </w:rPr>
              <w:t>应收票据：减少</w:t>
            </w:r>
            <w:r>
              <w:t>2,407,764.60</w:t>
            </w:r>
            <w:r>
              <w:rPr>
                <w:rFonts w:hint="eastAsia"/>
              </w:rPr>
              <w:t>元</w:t>
            </w:r>
            <w:r>
              <w:t>，</w:t>
            </w:r>
          </w:p>
          <w:p>
            <w:r>
              <w:rPr>
                <w:rFonts w:hint="eastAsia"/>
              </w:rPr>
              <w:t>应收款项融资：增加</w:t>
            </w:r>
            <w:r>
              <w:t>2,407,764.60</w:t>
            </w:r>
            <w:r>
              <w:rPr>
                <w:rFonts w:hint="eastAsia"/>
              </w:rPr>
              <w:t>元</w:t>
            </w:r>
          </w:p>
        </w:tc>
        <w:tc>
          <w:tcPr>
            <w:tcW w:w="1256" w:type="pct"/>
            <w:vAlign w:val="center"/>
          </w:tcPr>
          <w:p>
            <w:r>
              <w:rPr>
                <w:rFonts w:hint="eastAsia"/>
              </w:rPr>
              <w:t>应收票据：减少</w:t>
            </w:r>
            <w:r>
              <w:t>1,502,764.60</w:t>
            </w:r>
            <w:r>
              <w:rPr>
                <w:rFonts w:hint="eastAsia"/>
              </w:rPr>
              <w:t>元</w:t>
            </w:r>
            <w:r>
              <w:t>，</w:t>
            </w:r>
          </w:p>
          <w:p>
            <w:r>
              <w:rPr>
                <w:rFonts w:hint="eastAsia"/>
              </w:rPr>
              <w:t>应收款项融资：增加</w:t>
            </w:r>
            <w:r>
              <w:t>1,502,764.60</w:t>
            </w:r>
            <w:r>
              <w:rPr>
                <w:rFonts w:hint="eastAsia"/>
              </w:rPr>
              <w:t>元</w:t>
            </w:r>
          </w:p>
        </w:tc>
      </w:tr>
    </w:tbl>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其他说明：</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以按照财会〔</w:t>
      </w:r>
      <w:r>
        <w:rPr>
          <w:rFonts w:eastAsia="Times New Roman"/>
          <w:kern w:val="0"/>
          <w:lang w:val="zh-CN"/>
        </w:rPr>
        <w:t>2019</w:t>
      </w:r>
      <w:r>
        <w:rPr>
          <w:rFonts w:hint="eastAsia" w:ascii="宋体" w:hAnsi="宋体" w:cs="宋体"/>
          <w:kern w:val="0"/>
          <w:lang w:val="zh-CN"/>
        </w:rPr>
        <w:t>〕</w:t>
      </w:r>
      <w:r>
        <w:rPr>
          <w:rFonts w:eastAsia="Times New Roman"/>
          <w:kern w:val="0"/>
          <w:lang w:val="zh-CN"/>
        </w:rPr>
        <w:t>6</w:t>
      </w:r>
      <w:r>
        <w:rPr>
          <w:rFonts w:hint="eastAsia" w:ascii="宋体" w:hAnsi="宋体" w:cs="宋体"/>
          <w:kern w:val="0"/>
          <w:lang w:val="zh-CN"/>
        </w:rPr>
        <w:t>号和财会〔</w:t>
      </w:r>
      <w:r>
        <w:rPr>
          <w:rFonts w:eastAsia="Times New Roman"/>
          <w:kern w:val="0"/>
          <w:lang w:val="zh-CN"/>
        </w:rPr>
        <w:t>2019</w:t>
      </w:r>
      <w:r>
        <w:rPr>
          <w:rFonts w:hint="eastAsia" w:ascii="宋体" w:hAnsi="宋体" w:cs="宋体"/>
          <w:kern w:val="0"/>
          <w:lang w:val="zh-CN"/>
        </w:rPr>
        <w:t>〕</w:t>
      </w:r>
      <w:r>
        <w:rPr>
          <w:rFonts w:eastAsia="Times New Roman"/>
          <w:kern w:val="0"/>
          <w:lang w:val="zh-CN"/>
        </w:rPr>
        <w:t>16</w:t>
      </w:r>
      <w:r>
        <w:rPr>
          <w:rFonts w:hint="eastAsia" w:ascii="宋体" w:hAnsi="宋体" w:cs="宋体"/>
          <w:kern w:val="0"/>
          <w:lang w:val="zh-CN"/>
        </w:rPr>
        <w:t>号的规定调整后的上年年末余额为基础，各项金融资产和金融负债按照修订前后金融工具确认计量准则的规定进行分类和计量结果对比如下：</w:t>
      </w:r>
    </w:p>
    <w:p>
      <w:pPr>
        <w:autoSpaceDE w:val="0"/>
        <w:autoSpaceDN w:val="0"/>
        <w:adjustRightInd w:val="0"/>
        <w:spacing w:before="0" w:after="0"/>
        <w:rPr>
          <w:rFonts w:ascii="宋体" w:hAnsi="宋体" w:cs="宋体"/>
          <w:kern w:val="0"/>
          <w:lang w:val="zh-CN"/>
        </w:rPr>
      </w:pPr>
      <w:r>
        <w:rPr>
          <w:rFonts w:hint="eastAsia" w:ascii="宋体" w:hAnsi="宋体" w:cs="宋体"/>
          <w:kern w:val="0"/>
          <w:lang w:val="zh-CN"/>
        </w:rPr>
        <w:t>合并</w:t>
      </w:r>
    </w:p>
    <w:tbl>
      <w:tblPr>
        <w:tblStyle w:val="27"/>
        <w:tblW w:w="5000"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345"/>
        <w:gridCol w:w="1153"/>
        <w:gridCol w:w="1149"/>
        <w:gridCol w:w="1608"/>
        <w:gridCol w:w="1379"/>
        <w:gridCol w:w="3219"/>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blHeader/>
        </w:trPr>
        <w:tc>
          <w:tcPr>
            <w:tcW w:w="1851" w:type="pct"/>
            <w:gridSpan w:val="3"/>
            <w:shd w:val="clear" w:color="auto" w:fill="auto"/>
            <w:noWrap/>
            <w:vAlign w:val="center"/>
          </w:tcPr>
          <w:p>
            <w:pPr>
              <w:spacing w:line="400" w:lineRule="atLeast"/>
              <w:jc w:val="center"/>
              <w:rPr>
                <w:color w:val="000000"/>
              </w:rPr>
            </w:pPr>
            <w:r>
              <w:rPr>
                <w:rFonts w:hint="eastAsia"/>
                <w:color w:val="000000"/>
              </w:rPr>
              <w:t>原金融工具准则</w:t>
            </w:r>
            <w:r>
              <w:rPr>
                <w:color w:val="000000"/>
              </w:rPr>
              <w:t xml:space="preserve"> </w:t>
            </w:r>
          </w:p>
        </w:tc>
        <w:tc>
          <w:tcPr>
            <w:tcW w:w="3149" w:type="pct"/>
            <w:gridSpan w:val="3"/>
            <w:shd w:val="clear" w:color="auto" w:fill="auto"/>
            <w:vAlign w:val="center"/>
          </w:tcPr>
          <w:p>
            <w:pPr>
              <w:spacing w:line="400" w:lineRule="atLeast"/>
              <w:jc w:val="center"/>
              <w:rPr>
                <w:color w:val="000000"/>
              </w:rPr>
            </w:pPr>
            <w:r>
              <w:rPr>
                <w:color w:val="000000"/>
              </w:rPr>
              <w:t xml:space="preserve"> </w:t>
            </w:r>
            <w:r>
              <w:rPr>
                <w:rFonts w:hint="eastAsia"/>
                <w:color w:val="000000"/>
              </w:rPr>
              <w:t>新金融工具准则</w:t>
            </w:r>
            <w:r>
              <w:rPr>
                <w:color w:val="000000"/>
              </w:rPr>
              <w:t xml:space="preserve">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683" w:type="pct"/>
            <w:shd w:val="clear" w:color="auto" w:fill="auto"/>
            <w:noWrap/>
            <w:vAlign w:val="center"/>
          </w:tcPr>
          <w:p>
            <w:pPr>
              <w:spacing w:line="400" w:lineRule="atLeast"/>
              <w:jc w:val="center"/>
              <w:rPr>
                <w:color w:val="000000"/>
              </w:rPr>
            </w:pPr>
            <w:r>
              <w:rPr>
                <w:rFonts w:hint="eastAsia"/>
                <w:color w:val="000000"/>
              </w:rPr>
              <w:t>列报项目</w:t>
            </w:r>
          </w:p>
        </w:tc>
        <w:tc>
          <w:tcPr>
            <w:tcW w:w="585" w:type="pct"/>
            <w:shd w:val="clear" w:color="auto" w:fill="auto"/>
            <w:noWrap/>
            <w:vAlign w:val="center"/>
          </w:tcPr>
          <w:p>
            <w:pPr>
              <w:spacing w:line="400" w:lineRule="atLeast"/>
              <w:jc w:val="center"/>
              <w:rPr>
                <w:color w:val="000000"/>
              </w:rPr>
            </w:pPr>
            <w:r>
              <w:rPr>
                <w:rFonts w:hint="eastAsia"/>
                <w:color w:val="000000"/>
              </w:rPr>
              <w:t>计量类别</w:t>
            </w:r>
          </w:p>
        </w:tc>
        <w:tc>
          <w:tcPr>
            <w:tcW w:w="583" w:type="pct"/>
            <w:shd w:val="clear" w:color="auto" w:fill="auto"/>
            <w:noWrap/>
            <w:vAlign w:val="center"/>
          </w:tcPr>
          <w:p>
            <w:pPr>
              <w:spacing w:line="400" w:lineRule="atLeast"/>
              <w:jc w:val="center"/>
              <w:rPr>
                <w:color w:val="000000"/>
              </w:rPr>
            </w:pPr>
            <w:r>
              <w:rPr>
                <w:rFonts w:hint="eastAsia"/>
                <w:color w:val="000000"/>
              </w:rPr>
              <w:t>账面价值</w:t>
            </w:r>
          </w:p>
        </w:tc>
        <w:tc>
          <w:tcPr>
            <w:tcW w:w="816" w:type="pct"/>
            <w:shd w:val="clear" w:color="auto" w:fill="auto"/>
            <w:noWrap/>
            <w:vAlign w:val="center"/>
          </w:tcPr>
          <w:p>
            <w:pPr>
              <w:spacing w:line="400" w:lineRule="atLeast"/>
              <w:jc w:val="center"/>
              <w:rPr>
                <w:color w:val="000000"/>
              </w:rPr>
            </w:pPr>
            <w:r>
              <w:rPr>
                <w:rFonts w:hint="eastAsia"/>
                <w:color w:val="000000"/>
              </w:rPr>
              <w:t>列报项目</w:t>
            </w:r>
          </w:p>
        </w:tc>
        <w:tc>
          <w:tcPr>
            <w:tcW w:w="700" w:type="pct"/>
            <w:shd w:val="clear" w:color="auto" w:fill="auto"/>
            <w:vAlign w:val="center"/>
          </w:tcPr>
          <w:p>
            <w:pPr>
              <w:spacing w:line="400" w:lineRule="atLeast"/>
              <w:jc w:val="center"/>
              <w:rPr>
                <w:color w:val="000000"/>
              </w:rPr>
            </w:pPr>
            <w:r>
              <w:rPr>
                <w:rFonts w:hint="eastAsia"/>
                <w:color w:val="000000"/>
              </w:rPr>
              <w:t>计量类别</w:t>
            </w:r>
          </w:p>
        </w:tc>
        <w:tc>
          <w:tcPr>
            <w:tcW w:w="1633" w:type="pct"/>
            <w:shd w:val="clear" w:color="auto" w:fill="auto"/>
            <w:noWrap/>
            <w:vAlign w:val="center"/>
          </w:tcPr>
          <w:p>
            <w:pPr>
              <w:spacing w:line="400" w:lineRule="atLeast"/>
              <w:jc w:val="center"/>
              <w:rPr>
                <w:color w:val="000000"/>
              </w:rPr>
            </w:pPr>
            <w:r>
              <w:rPr>
                <w:rFonts w:hint="eastAsia"/>
                <w:color w:val="000000"/>
              </w:rPr>
              <w:t>账面价值</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683" w:type="pct"/>
            <w:shd w:val="clear" w:color="auto" w:fill="auto"/>
            <w:noWrap/>
            <w:vAlign w:val="center"/>
          </w:tcPr>
          <w:p>
            <w:pPr>
              <w:spacing w:line="400" w:lineRule="atLeast"/>
              <w:rPr>
                <w:color w:val="000000"/>
              </w:rPr>
            </w:pPr>
            <w:r>
              <w:rPr>
                <w:rFonts w:hint="eastAsia"/>
                <w:color w:val="000000"/>
              </w:rPr>
              <w:t>货币资金</w:t>
            </w:r>
            <w:r>
              <w:rPr>
                <w:color w:val="000000"/>
              </w:rPr>
              <w:t xml:space="preserve"> </w:t>
            </w:r>
          </w:p>
        </w:tc>
        <w:tc>
          <w:tcPr>
            <w:tcW w:w="585" w:type="pct"/>
            <w:shd w:val="clear" w:color="auto" w:fill="auto"/>
            <w:noWrap/>
            <w:vAlign w:val="center"/>
          </w:tcPr>
          <w:p>
            <w:pPr>
              <w:spacing w:line="400" w:lineRule="atLeast"/>
              <w:rPr>
                <w:color w:val="000000"/>
              </w:rPr>
            </w:pPr>
            <w:r>
              <w:rPr>
                <w:rFonts w:hint="eastAsia"/>
                <w:color w:val="000000"/>
              </w:rPr>
              <w:t>摊余成本</w:t>
            </w:r>
          </w:p>
        </w:tc>
        <w:tc>
          <w:tcPr>
            <w:tcW w:w="583" w:type="pct"/>
            <w:shd w:val="clear" w:color="auto" w:fill="auto"/>
            <w:noWrap/>
            <w:vAlign w:val="center"/>
          </w:tcPr>
          <w:p>
            <w:pPr>
              <w:spacing w:line="400" w:lineRule="atLeast"/>
              <w:jc w:val="right"/>
              <w:rPr>
                <w:color w:val="000000"/>
              </w:rPr>
            </w:pPr>
            <w:r>
              <w:rPr>
                <w:color w:val="000000"/>
              </w:rPr>
              <w:t>417,288,640.73</w:t>
            </w:r>
          </w:p>
        </w:tc>
        <w:tc>
          <w:tcPr>
            <w:tcW w:w="816" w:type="pct"/>
            <w:shd w:val="clear" w:color="auto" w:fill="auto"/>
            <w:noWrap/>
            <w:vAlign w:val="center"/>
          </w:tcPr>
          <w:p>
            <w:pPr>
              <w:spacing w:line="400" w:lineRule="atLeast"/>
              <w:rPr>
                <w:color w:val="000000"/>
              </w:rPr>
            </w:pPr>
            <w:r>
              <w:rPr>
                <w:color w:val="000000"/>
              </w:rPr>
              <w:t xml:space="preserve"> </w:t>
            </w:r>
            <w:r>
              <w:rPr>
                <w:rFonts w:hint="eastAsia"/>
                <w:color w:val="000000"/>
              </w:rPr>
              <w:t>货币资金</w:t>
            </w:r>
          </w:p>
        </w:tc>
        <w:tc>
          <w:tcPr>
            <w:tcW w:w="700" w:type="pct"/>
            <w:shd w:val="clear" w:color="auto" w:fill="auto"/>
            <w:vAlign w:val="center"/>
          </w:tcPr>
          <w:p>
            <w:pPr>
              <w:spacing w:line="400" w:lineRule="atLeast"/>
              <w:rPr>
                <w:color w:val="000000"/>
              </w:rPr>
            </w:pPr>
            <w:r>
              <w:rPr>
                <w:rFonts w:hint="eastAsia"/>
                <w:color w:val="000000"/>
              </w:rPr>
              <w:t>摊余成本</w:t>
            </w:r>
          </w:p>
        </w:tc>
        <w:tc>
          <w:tcPr>
            <w:tcW w:w="1633" w:type="pct"/>
            <w:shd w:val="clear" w:color="auto" w:fill="auto"/>
            <w:noWrap/>
            <w:vAlign w:val="center"/>
          </w:tcPr>
          <w:p>
            <w:pPr>
              <w:spacing w:line="400" w:lineRule="atLeast"/>
              <w:jc w:val="right"/>
              <w:rPr>
                <w:color w:val="000000"/>
              </w:rPr>
            </w:pPr>
            <w:r>
              <w:rPr>
                <w:color w:val="000000"/>
              </w:rPr>
              <w:t>417,288,640.73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830" w:hRule="atLeast"/>
        </w:trPr>
        <w:tc>
          <w:tcPr>
            <w:tcW w:w="683" w:type="pct"/>
            <w:shd w:val="clear" w:color="auto" w:fill="auto"/>
            <w:noWrap/>
            <w:vAlign w:val="center"/>
          </w:tcPr>
          <w:p>
            <w:pPr>
              <w:spacing w:line="400" w:lineRule="atLeast"/>
              <w:rPr>
                <w:color w:val="000000"/>
              </w:rPr>
            </w:pPr>
            <w:r>
              <w:rPr>
                <w:rFonts w:hint="eastAsia"/>
                <w:color w:val="000000"/>
              </w:rPr>
              <w:t>应收票据</w:t>
            </w:r>
          </w:p>
        </w:tc>
        <w:tc>
          <w:tcPr>
            <w:tcW w:w="585" w:type="pct"/>
            <w:shd w:val="clear" w:color="auto" w:fill="auto"/>
            <w:noWrap/>
            <w:vAlign w:val="center"/>
          </w:tcPr>
          <w:p>
            <w:pPr>
              <w:spacing w:line="400" w:lineRule="atLeast"/>
              <w:rPr>
                <w:color w:val="000000"/>
              </w:rPr>
            </w:pPr>
            <w:r>
              <w:rPr>
                <w:rFonts w:hint="eastAsia"/>
                <w:color w:val="000000"/>
              </w:rPr>
              <w:t>摊余成本</w:t>
            </w:r>
            <w:r>
              <w:rPr>
                <w:color w:val="000000"/>
              </w:rPr>
              <w:t xml:space="preserve"> </w:t>
            </w:r>
          </w:p>
        </w:tc>
        <w:tc>
          <w:tcPr>
            <w:tcW w:w="583" w:type="pct"/>
            <w:shd w:val="clear" w:color="auto" w:fill="auto"/>
            <w:noWrap/>
            <w:vAlign w:val="center"/>
          </w:tcPr>
          <w:p>
            <w:pPr>
              <w:spacing w:line="400" w:lineRule="atLeast"/>
              <w:jc w:val="right"/>
              <w:rPr>
                <w:color w:val="000000"/>
              </w:rPr>
            </w:pPr>
            <w:r>
              <w:rPr>
                <w:color w:val="000000"/>
              </w:rPr>
              <w:t>2,407,764.60</w:t>
            </w:r>
          </w:p>
        </w:tc>
        <w:tc>
          <w:tcPr>
            <w:tcW w:w="816" w:type="pct"/>
            <w:shd w:val="clear" w:color="auto" w:fill="auto"/>
            <w:noWrap/>
            <w:vAlign w:val="center"/>
          </w:tcPr>
          <w:p>
            <w:pPr>
              <w:spacing w:line="400" w:lineRule="atLeast"/>
              <w:rPr>
                <w:color w:val="000000"/>
              </w:rPr>
            </w:pPr>
            <w:r>
              <w:rPr>
                <w:rFonts w:hint="eastAsia"/>
                <w:color w:val="000000"/>
              </w:rPr>
              <w:t>应收款项融资</w:t>
            </w:r>
          </w:p>
        </w:tc>
        <w:tc>
          <w:tcPr>
            <w:tcW w:w="700" w:type="pct"/>
            <w:shd w:val="clear" w:color="auto" w:fill="auto"/>
            <w:vAlign w:val="center"/>
          </w:tcPr>
          <w:p>
            <w:pPr>
              <w:spacing w:line="400" w:lineRule="atLeast"/>
              <w:rPr>
                <w:color w:val="000000"/>
              </w:rPr>
            </w:pPr>
            <w:r>
              <w:rPr>
                <w:rFonts w:hint="eastAsia"/>
                <w:color w:val="000000"/>
              </w:rPr>
              <w:t>以公允价值计量且其变动计入其他综合收益</w:t>
            </w:r>
          </w:p>
        </w:tc>
        <w:tc>
          <w:tcPr>
            <w:tcW w:w="1633" w:type="pct"/>
            <w:shd w:val="clear" w:color="auto" w:fill="auto"/>
            <w:noWrap/>
            <w:vAlign w:val="center"/>
          </w:tcPr>
          <w:p>
            <w:pPr>
              <w:spacing w:line="400" w:lineRule="atLeast"/>
              <w:jc w:val="right"/>
              <w:rPr>
                <w:color w:val="000000"/>
              </w:rPr>
            </w:pPr>
            <w:r>
              <w:rPr>
                <w:color w:val="000000"/>
              </w:rPr>
              <w:t>2,407,764.60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683" w:type="pct"/>
            <w:shd w:val="clear" w:color="auto" w:fill="auto"/>
            <w:noWrap/>
            <w:vAlign w:val="center"/>
          </w:tcPr>
          <w:p>
            <w:pPr>
              <w:spacing w:line="400" w:lineRule="atLeast"/>
              <w:rPr>
                <w:color w:val="000000"/>
              </w:rPr>
            </w:pPr>
            <w:r>
              <w:rPr>
                <w:rFonts w:hint="eastAsia"/>
                <w:color w:val="000000"/>
              </w:rPr>
              <w:t>应收账款</w:t>
            </w:r>
          </w:p>
        </w:tc>
        <w:tc>
          <w:tcPr>
            <w:tcW w:w="585" w:type="pct"/>
            <w:shd w:val="clear" w:color="auto" w:fill="auto"/>
            <w:noWrap/>
            <w:vAlign w:val="center"/>
          </w:tcPr>
          <w:p>
            <w:pPr>
              <w:spacing w:line="400" w:lineRule="atLeast"/>
              <w:rPr>
                <w:color w:val="000000"/>
              </w:rPr>
            </w:pPr>
            <w:r>
              <w:rPr>
                <w:rFonts w:hint="eastAsia"/>
                <w:color w:val="000000"/>
              </w:rPr>
              <w:t>摊余成本</w:t>
            </w:r>
            <w:r>
              <w:rPr>
                <w:color w:val="000000"/>
              </w:rPr>
              <w:t xml:space="preserve"> </w:t>
            </w:r>
          </w:p>
        </w:tc>
        <w:tc>
          <w:tcPr>
            <w:tcW w:w="583" w:type="pct"/>
            <w:shd w:val="clear" w:color="auto" w:fill="auto"/>
            <w:noWrap/>
            <w:vAlign w:val="center"/>
          </w:tcPr>
          <w:p>
            <w:pPr>
              <w:spacing w:line="400" w:lineRule="atLeast"/>
              <w:jc w:val="right"/>
              <w:rPr>
                <w:color w:val="000000"/>
              </w:rPr>
            </w:pPr>
            <w:r>
              <w:rPr>
                <w:color w:val="000000"/>
              </w:rPr>
              <w:t>1,305,469,274.95</w:t>
            </w:r>
          </w:p>
        </w:tc>
        <w:tc>
          <w:tcPr>
            <w:tcW w:w="816" w:type="pct"/>
            <w:shd w:val="clear" w:color="auto" w:fill="auto"/>
            <w:noWrap/>
            <w:vAlign w:val="center"/>
          </w:tcPr>
          <w:p>
            <w:pPr>
              <w:spacing w:line="400" w:lineRule="atLeast"/>
              <w:rPr>
                <w:color w:val="000000"/>
              </w:rPr>
            </w:pPr>
            <w:r>
              <w:rPr>
                <w:rFonts w:hint="eastAsia"/>
                <w:color w:val="000000"/>
              </w:rPr>
              <w:t>应收账款</w:t>
            </w:r>
          </w:p>
        </w:tc>
        <w:tc>
          <w:tcPr>
            <w:tcW w:w="700" w:type="pct"/>
            <w:shd w:val="clear" w:color="auto" w:fill="auto"/>
            <w:vAlign w:val="center"/>
          </w:tcPr>
          <w:p>
            <w:pPr>
              <w:spacing w:line="400" w:lineRule="atLeast"/>
              <w:rPr>
                <w:color w:val="000000"/>
              </w:rPr>
            </w:pPr>
            <w:r>
              <w:rPr>
                <w:rFonts w:hint="eastAsia"/>
                <w:color w:val="000000"/>
              </w:rPr>
              <w:t>摊余成本</w:t>
            </w:r>
          </w:p>
        </w:tc>
        <w:tc>
          <w:tcPr>
            <w:tcW w:w="1633" w:type="pct"/>
            <w:shd w:val="clear" w:color="auto" w:fill="auto"/>
            <w:noWrap/>
            <w:vAlign w:val="center"/>
          </w:tcPr>
          <w:p>
            <w:pPr>
              <w:spacing w:line="400" w:lineRule="atLeast"/>
              <w:jc w:val="right"/>
              <w:rPr>
                <w:color w:val="000000"/>
              </w:rPr>
            </w:pPr>
            <w:r>
              <w:rPr>
                <w:color w:val="000000"/>
              </w:rPr>
              <w:t>1,305,469,274.95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683" w:type="pct"/>
            <w:shd w:val="clear" w:color="auto" w:fill="auto"/>
            <w:noWrap/>
            <w:vAlign w:val="center"/>
          </w:tcPr>
          <w:p>
            <w:pPr>
              <w:spacing w:line="400" w:lineRule="atLeast"/>
              <w:rPr>
                <w:color w:val="000000"/>
              </w:rPr>
            </w:pPr>
            <w:r>
              <w:rPr>
                <w:rFonts w:hint="eastAsia"/>
                <w:color w:val="000000"/>
              </w:rPr>
              <w:t>其他应收款</w:t>
            </w:r>
          </w:p>
        </w:tc>
        <w:tc>
          <w:tcPr>
            <w:tcW w:w="585" w:type="pct"/>
            <w:shd w:val="clear" w:color="auto" w:fill="auto"/>
            <w:noWrap/>
            <w:vAlign w:val="center"/>
          </w:tcPr>
          <w:p>
            <w:pPr>
              <w:spacing w:line="400" w:lineRule="atLeast"/>
              <w:rPr>
                <w:color w:val="000000"/>
              </w:rPr>
            </w:pPr>
            <w:r>
              <w:rPr>
                <w:rFonts w:hint="eastAsia"/>
                <w:color w:val="000000"/>
              </w:rPr>
              <w:t>摊余成本</w:t>
            </w:r>
          </w:p>
        </w:tc>
        <w:tc>
          <w:tcPr>
            <w:tcW w:w="583" w:type="pct"/>
            <w:shd w:val="clear" w:color="auto" w:fill="auto"/>
            <w:noWrap/>
            <w:vAlign w:val="center"/>
          </w:tcPr>
          <w:p>
            <w:pPr>
              <w:spacing w:line="400" w:lineRule="atLeast"/>
              <w:jc w:val="right"/>
              <w:rPr>
                <w:color w:val="000000"/>
              </w:rPr>
            </w:pPr>
            <w:r>
              <w:rPr>
                <w:color w:val="000000"/>
              </w:rPr>
              <w:t>150,595,595.76</w:t>
            </w:r>
          </w:p>
        </w:tc>
        <w:tc>
          <w:tcPr>
            <w:tcW w:w="816" w:type="pct"/>
            <w:shd w:val="clear" w:color="auto" w:fill="auto"/>
            <w:noWrap/>
            <w:vAlign w:val="center"/>
          </w:tcPr>
          <w:p>
            <w:pPr>
              <w:spacing w:line="400" w:lineRule="atLeast"/>
              <w:rPr>
                <w:color w:val="000000"/>
              </w:rPr>
            </w:pPr>
            <w:r>
              <w:rPr>
                <w:rFonts w:hint="eastAsia"/>
                <w:color w:val="000000"/>
              </w:rPr>
              <w:t>其他应收款</w:t>
            </w:r>
          </w:p>
        </w:tc>
        <w:tc>
          <w:tcPr>
            <w:tcW w:w="700" w:type="pct"/>
            <w:shd w:val="clear" w:color="auto" w:fill="auto"/>
            <w:vAlign w:val="center"/>
          </w:tcPr>
          <w:p>
            <w:pPr>
              <w:spacing w:line="400" w:lineRule="atLeast"/>
              <w:rPr>
                <w:color w:val="000000"/>
              </w:rPr>
            </w:pPr>
            <w:r>
              <w:rPr>
                <w:rFonts w:hint="eastAsia"/>
                <w:color w:val="000000"/>
              </w:rPr>
              <w:t>摊余成本</w:t>
            </w:r>
          </w:p>
        </w:tc>
        <w:tc>
          <w:tcPr>
            <w:tcW w:w="1633" w:type="pct"/>
            <w:shd w:val="clear" w:color="auto" w:fill="auto"/>
            <w:noWrap/>
            <w:vAlign w:val="center"/>
          </w:tcPr>
          <w:p>
            <w:pPr>
              <w:spacing w:line="400" w:lineRule="atLeast"/>
              <w:jc w:val="right"/>
              <w:rPr>
                <w:color w:val="000000"/>
              </w:rPr>
            </w:pPr>
            <w:r>
              <w:rPr>
                <w:color w:val="000000"/>
              </w:rPr>
              <w:t>150,595,595.76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683" w:type="pct"/>
            <w:shd w:val="clear" w:color="auto" w:fill="auto"/>
            <w:vAlign w:val="center"/>
          </w:tcPr>
          <w:p>
            <w:pPr>
              <w:spacing w:line="400" w:lineRule="atLeast"/>
              <w:rPr>
                <w:color w:val="000000"/>
              </w:rPr>
            </w:pPr>
            <w:r>
              <w:rPr>
                <w:rFonts w:hint="eastAsia"/>
                <w:color w:val="000000"/>
              </w:rPr>
              <w:t>可供出售金融资产</w:t>
            </w:r>
          </w:p>
        </w:tc>
        <w:tc>
          <w:tcPr>
            <w:tcW w:w="585" w:type="pct"/>
            <w:shd w:val="clear" w:color="auto" w:fill="auto"/>
            <w:noWrap/>
            <w:vAlign w:val="center"/>
          </w:tcPr>
          <w:p>
            <w:pPr>
              <w:spacing w:line="400" w:lineRule="atLeast"/>
              <w:rPr>
                <w:color w:val="000000"/>
              </w:rPr>
            </w:pPr>
            <w:r>
              <w:rPr>
                <w:rFonts w:hint="eastAsia"/>
                <w:color w:val="000000"/>
              </w:rPr>
              <w:t>以成本计量</w:t>
            </w:r>
            <w:r>
              <w:rPr>
                <w:color w:val="000000"/>
              </w:rPr>
              <w:t>(</w:t>
            </w:r>
            <w:r>
              <w:rPr>
                <w:rFonts w:hint="eastAsia"/>
                <w:color w:val="000000"/>
              </w:rPr>
              <w:t>权益工具</w:t>
            </w:r>
            <w:r>
              <w:rPr>
                <w:color w:val="000000"/>
              </w:rPr>
              <w:t>)</w:t>
            </w:r>
          </w:p>
        </w:tc>
        <w:tc>
          <w:tcPr>
            <w:tcW w:w="583" w:type="pct"/>
            <w:shd w:val="clear" w:color="auto" w:fill="auto"/>
            <w:noWrap/>
            <w:vAlign w:val="center"/>
          </w:tcPr>
          <w:p>
            <w:pPr>
              <w:spacing w:line="400" w:lineRule="atLeast"/>
              <w:jc w:val="right"/>
              <w:rPr>
                <w:color w:val="000000"/>
              </w:rPr>
            </w:pPr>
            <w:r>
              <w:rPr>
                <w:color w:val="000000"/>
              </w:rPr>
              <w:t>30,600,000.00</w:t>
            </w:r>
          </w:p>
        </w:tc>
        <w:tc>
          <w:tcPr>
            <w:tcW w:w="816" w:type="pct"/>
            <w:shd w:val="clear" w:color="auto" w:fill="auto"/>
            <w:noWrap/>
            <w:vAlign w:val="center"/>
          </w:tcPr>
          <w:p>
            <w:pPr>
              <w:spacing w:line="400" w:lineRule="atLeast"/>
              <w:rPr>
                <w:color w:val="000000"/>
              </w:rPr>
            </w:pPr>
            <w:r>
              <w:rPr>
                <w:rFonts w:hint="eastAsia"/>
                <w:color w:val="000000"/>
              </w:rPr>
              <w:t>其他权益工具投资</w:t>
            </w:r>
          </w:p>
        </w:tc>
        <w:tc>
          <w:tcPr>
            <w:tcW w:w="700" w:type="pct"/>
            <w:shd w:val="clear" w:color="auto" w:fill="auto"/>
            <w:vAlign w:val="center"/>
          </w:tcPr>
          <w:p>
            <w:pPr>
              <w:spacing w:line="400" w:lineRule="atLeast"/>
              <w:rPr>
                <w:color w:val="000000"/>
              </w:rPr>
            </w:pPr>
            <w:r>
              <w:rPr>
                <w:rFonts w:hint="eastAsia"/>
                <w:color w:val="000000"/>
              </w:rPr>
              <w:t>以公允价值计量且其变动计入其他综合收益</w:t>
            </w:r>
          </w:p>
        </w:tc>
        <w:tc>
          <w:tcPr>
            <w:tcW w:w="1633" w:type="pct"/>
            <w:shd w:val="clear" w:color="auto" w:fill="auto"/>
            <w:noWrap/>
            <w:vAlign w:val="center"/>
          </w:tcPr>
          <w:p>
            <w:pPr>
              <w:spacing w:line="400" w:lineRule="atLeast"/>
              <w:jc w:val="right"/>
              <w:rPr>
                <w:color w:val="000000"/>
              </w:rPr>
            </w:pPr>
            <w:r>
              <w:rPr>
                <w:color w:val="000000"/>
              </w:rPr>
              <w:t>30,600,000.00</w:t>
            </w:r>
          </w:p>
        </w:tc>
      </w:tr>
    </w:tbl>
    <w:p>
      <w:pPr>
        <w:autoSpaceDE w:val="0"/>
        <w:autoSpaceDN w:val="0"/>
        <w:adjustRightInd w:val="0"/>
        <w:spacing w:before="0" w:after="0"/>
        <w:rPr>
          <w:rFonts w:eastAsiaTheme="minorEastAsia"/>
          <w:kern w:val="0"/>
          <w:lang w:val="zh-CN"/>
        </w:rPr>
      </w:pPr>
      <w:r>
        <w:rPr>
          <w:rFonts w:hint="eastAsia" w:ascii="宋体" w:hAnsi="宋体" w:cs="宋体"/>
          <w:kern w:val="0"/>
          <w:lang w:val="zh-CN"/>
        </w:rPr>
        <w:t>母公司</w:t>
      </w:r>
    </w:p>
    <w:tbl>
      <w:tblPr>
        <w:tblStyle w:val="27"/>
        <w:tblW w:w="5000"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30"/>
        <w:gridCol w:w="1868"/>
        <w:gridCol w:w="1350"/>
        <w:gridCol w:w="1455"/>
        <w:gridCol w:w="2386"/>
        <w:gridCol w:w="1256"/>
        <w:gridCol w:w="1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5" w:type="pct"/>
          <w:tblHeader/>
        </w:trPr>
        <w:tc>
          <w:tcPr>
            <w:tcW w:w="2409" w:type="pct"/>
            <w:gridSpan w:val="3"/>
            <w:shd w:val="clear" w:color="auto" w:fill="auto"/>
            <w:noWrap/>
            <w:vAlign w:val="center"/>
          </w:tcPr>
          <w:p>
            <w:pPr>
              <w:spacing w:line="400" w:lineRule="atLeast"/>
              <w:jc w:val="center"/>
              <w:rPr>
                <w:color w:val="000000"/>
              </w:rPr>
            </w:pPr>
            <w:r>
              <w:rPr>
                <w:rFonts w:hint="eastAsia"/>
                <w:color w:val="000000"/>
              </w:rPr>
              <w:t>原金融工具准则</w:t>
            </w:r>
            <w:r>
              <w:rPr>
                <w:color w:val="000000"/>
              </w:rPr>
              <w:t xml:space="preserve"> </w:t>
            </w:r>
          </w:p>
        </w:tc>
        <w:tc>
          <w:tcPr>
            <w:tcW w:w="2586" w:type="pct"/>
            <w:gridSpan w:val="3"/>
            <w:shd w:val="clear" w:color="auto" w:fill="auto"/>
            <w:vAlign w:val="center"/>
          </w:tcPr>
          <w:p>
            <w:pPr>
              <w:spacing w:line="400" w:lineRule="atLeast"/>
              <w:jc w:val="center"/>
              <w:rPr>
                <w:color w:val="000000"/>
              </w:rPr>
            </w:pPr>
            <w:r>
              <w:rPr>
                <w:color w:val="000000"/>
              </w:rPr>
              <w:t xml:space="preserve"> </w:t>
            </w:r>
            <w:r>
              <w:rPr>
                <w:rFonts w:hint="eastAsia"/>
                <w:color w:val="000000"/>
              </w:rPr>
              <w:t>新金融工具准则</w:t>
            </w:r>
            <w:r>
              <w:rPr>
                <w:color w:val="000000"/>
              </w:rPr>
              <w:t xml:space="preserve">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776" w:type="pct"/>
            <w:shd w:val="clear" w:color="auto" w:fill="auto"/>
            <w:noWrap/>
            <w:vAlign w:val="center"/>
          </w:tcPr>
          <w:p>
            <w:pPr>
              <w:spacing w:line="400" w:lineRule="atLeast"/>
              <w:jc w:val="center"/>
              <w:rPr>
                <w:color w:val="000000"/>
              </w:rPr>
            </w:pPr>
            <w:r>
              <w:rPr>
                <w:rFonts w:hint="eastAsia"/>
                <w:color w:val="000000"/>
              </w:rPr>
              <w:t>列报项目</w:t>
            </w:r>
          </w:p>
        </w:tc>
        <w:tc>
          <w:tcPr>
            <w:tcW w:w="948" w:type="pct"/>
            <w:shd w:val="clear" w:color="auto" w:fill="auto"/>
            <w:noWrap/>
            <w:vAlign w:val="center"/>
          </w:tcPr>
          <w:p>
            <w:pPr>
              <w:spacing w:line="400" w:lineRule="atLeast"/>
              <w:jc w:val="center"/>
              <w:rPr>
                <w:color w:val="000000"/>
              </w:rPr>
            </w:pPr>
            <w:r>
              <w:rPr>
                <w:rFonts w:hint="eastAsia"/>
                <w:color w:val="000000"/>
              </w:rPr>
              <w:t>计量类别</w:t>
            </w:r>
          </w:p>
        </w:tc>
        <w:tc>
          <w:tcPr>
            <w:tcW w:w="685" w:type="pct"/>
            <w:shd w:val="clear" w:color="auto" w:fill="auto"/>
            <w:noWrap/>
            <w:vAlign w:val="center"/>
          </w:tcPr>
          <w:p>
            <w:pPr>
              <w:spacing w:line="400" w:lineRule="atLeast"/>
              <w:jc w:val="center"/>
              <w:rPr>
                <w:color w:val="000000"/>
              </w:rPr>
            </w:pPr>
            <w:r>
              <w:rPr>
                <w:rFonts w:hint="eastAsia"/>
                <w:color w:val="000000"/>
              </w:rPr>
              <w:t>账面价值</w:t>
            </w:r>
          </w:p>
        </w:tc>
        <w:tc>
          <w:tcPr>
            <w:tcW w:w="738" w:type="pct"/>
            <w:shd w:val="clear" w:color="auto" w:fill="auto"/>
            <w:noWrap/>
            <w:vAlign w:val="center"/>
          </w:tcPr>
          <w:p>
            <w:pPr>
              <w:spacing w:line="400" w:lineRule="atLeast"/>
              <w:jc w:val="center"/>
              <w:rPr>
                <w:color w:val="000000"/>
              </w:rPr>
            </w:pPr>
            <w:r>
              <w:rPr>
                <w:rFonts w:hint="eastAsia"/>
                <w:color w:val="000000"/>
              </w:rPr>
              <w:t>列报项目</w:t>
            </w:r>
          </w:p>
        </w:tc>
        <w:tc>
          <w:tcPr>
            <w:tcW w:w="1211" w:type="pct"/>
            <w:shd w:val="clear" w:color="auto" w:fill="auto"/>
            <w:vAlign w:val="center"/>
          </w:tcPr>
          <w:p>
            <w:pPr>
              <w:spacing w:line="400" w:lineRule="atLeast"/>
              <w:jc w:val="center"/>
              <w:rPr>
                <w:color w:val="000000"/>
              </w:rPr>
            </w:pPr>
            <w:r>
              <w:rPr>
                <w:rFonts w:hint="eastAsia"/>
                <w:color w:val="000000"/>
              </w:rPr>
              <w:t>计量类别</w:t>
            </w:r>
          </w:p>
        </w:tc>
        <w:tc>
          <w:tcPr>
            <w:tcW w:w="642" w:type="pct"/>
            <w:gridSpan w:val="2"/>
            <w:shd w:val="clear" w:color="auto" w:fill="auto"/>
            <w:noWrap/>
            <w:vAlign w:val="center"/>
          </w:tcPr>
          <w:p>
            <w:pPr>
              <w:spacing w:line="400" w:lineRule="atLeast"/>
              <w:jc w:val="center"/>
              <w:rPr>
                <w:color w:val="000000"/>
              </w:rPr>
            </w:pPr>
            <w:r>
              <w:rPr>
                <w:rFonts w:hint="eastAsia"/>
                <w:color w:val="000000"/>
              </w:rPr>
              <w:t>账面价值</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776" w:type="pct"/>
            <w:shd w:val="clear" w:color="auto" w:fill="auto"/>
            <w:noWrap/>
            <w:vAlign w:val="center"/>
          </w:tcPr>
          <w:p>
            <w:pPr>
              <w:spacing w:line="400" w:lineRule="atLeast"/>
              <w:rPr>
                <w:color w:val="000000"/>
              </w:rPr>
            </w:pPr>
            <w:r>
              <w:rPr>
                <w:rFonts w:hint="eastAsia"/>
                <w:color w:val="000000"/>
              </w:rPr>
              <w:t>货币资金</w:t>
            </w:r>
            <w:r>
              <w:rPr>
                <w:color w:val="000000"/>
              </w:rPr>
              <w:t xml:space="preserve"> </w:t>
            </w:r>
          </w:p>
        </w:tc>
        <w:tc>
          <w:tcPr>
            <w:tcW w:w="948" w:type="pct"/>
            <w:shd w:val="clear" w:color="auto" w:fill="auto"/>
            <w:noWrap/>
            <w:vAlign w:val="center"/>
          </w:tcPr>
          <w:p>
            <w:pPr>
              <w:spacing w:line="400" w:lineRule="atLeast"/>
              <w:rPr>
                <w:color w:val="000000"/>
              </w:rPr>
            </w:pPr>
            <w:r>
              <w:rPr>
                <w:rFonts w:hint="eastAsia"/>
                <w:color w:val="000000"/>
              </w:rPr>
              <w:t>摊余成本</w:t>
            </w:r>
          </w:p>
        </w:tc>
        <w:tc>
          <w:tcPr>
            <w:tcW w:w="685" w:type="pct"/>
            <w:shd w:val="clear" w:color="auto" w:fill="auto"/>
            <w:noWrap/>
            <w:vAlign w:val="center"/>
          </w:tcPr>
          <w:p>
            <w:pPr>
              <w:spacing w:line="400" w:lineRule="atLeast"/>
              <w:jc w:val="right"/>
              <w:rPr>
                <w:color w:val="000000"/>
              </w:rPr>
            </w:pPr>
            <w:r>
              <w:rPr>
                <w:color w:val="000000"/>
              </w:rPr>
              <w:t>253,573,190.96</w:t>
            </w:r>
          </w:p>
        </w:tc>
        <w:tc>
          <w:tcPr>
            <w:tcW w:w="738" w:type="pct"/>
            <w:shd w:val="clear" w:color="auto" w:fill="auto"/>
            <w:noWrap/>
            <w:vAlign w:val="center"/>
          </w:tcPr>
          <w:p>
            <w:pPr>
              <w:spacing w:line="400" w:lineRule="atLeast"/>
              <w:rPr>
                <w:color w:val="000000"/>
              </w:rPr>
            </w:pPr>
            <w:r>
              <w:rPr>
                <w:color w:val="000000"/>
              </w:rPr>
              <w:t xml:space="preserve"> </w:t>
            </w:r>
            <w:r>
              <w:rPr>
                <w:rFonts w:hint="eastAsia"/>
                <w:color w:val="000000"/>
              </w:rPr>
              <w:t>货币资金</w:t>
            </w:r>
          </w:p>
        </w:tc>
        <w:tc>
          <w:tcPr>
            <w:tcW w:w="1211" w:type="pct"/>
            <w:shd w:val="clear" w:color="auto" w:fill="auto"/>
            <w:vAlign w:val="center"/>
          </w:tcPr>
          <w:p>
            <w:pPr>
              <w:spacing w:line="400" w:lineRule="atLeast"/>
              <w:rPr>
                <w:color w:val="000000"/>
              </w:rPr>
            </w:pPr>
            <w:r>
              <w:rPr>
                <w:rFonts w:hint="eastAsia"/>
                <w:color w:val="000000"/>
              </w:rPr>
              <w:t>摊余成本</w:t>
            </w:r>
          </w:p>
        </w:tc>
        <w:tc>
          <w:tcPr>
            <w:tcW w:w="642" w:type="pct"/>
            <w:gridSpan w:val="2"/>
            <w:shd w:val="clear" w:color="auto" w:fill="auto"/>
            <w:noWrap/>
            <w:vAlign w:val="center"/>
          </w:tcPr>
          <w:p>
            <w:pPr>
              <w:spacing w:line="400" w:lineRule="atLeast"/>
              <w:jc w:val="right"/>
              <w:rPr>
                <w:color w:val="000000"/>
              </w:rPr>
            </w:pPr>
            <w:r>
              <w:rPr>
                <w:color w:val="000000"/>
              </w:rPr>
              <w:t>253,573,190.96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830" w:hRule="atLeast"/>
        </w:trPr>
        <w:tc>
          <w:tcPr>
            <w:tcW w:w="776" w:type="pct"/>
            <w:shd w:val="clear" w:color="auto" w:fill="auto"/>
            <w:noWrap/>
            <w:vAlign w:val="center"/>
          </w:tcPr>
          <w:p>
            <w:pPr>
              <w:spacing w:line="400" w:lineRule="atLeast"/>
              <w:rPr>
                <w:color w:val="000000"/>
              </w:rPr>
            </w:pPr>
            <w:r>
              <w:rPr>
                <w:rFonts w:hint="eastAsia"/>
                <w:color w:val="000000"/>
              </w:rPr>
              <w:t>应收票据</w:t>
            </w:r>
          </w:p>
        </w:tc>
        <w:tc>
          <w:tcPr>
            <w:tcW w:w="948" w:type="pct"/>
            <w:shd w:val="clear" w:color="auto" w:fill="auto"/>
            <w:noWrap/>
            <w:vAlign w:val="center"/>
          </w:tcPr>
          <w:p>
            <w:pPr>
              <w:spacing w:line="400" w:lineRule="atLeast"/>
              <w:rPr>
                <w:color w:val="000000"/>
              </w:rPr>
            </w:pPr>
            <w:r>
              <w:rPr>
                <w:rFonts w:hint="eastAsia"/>
                <w:color w:val="000000"/>
              </w:rPr>
              <w:t>摊余成本</w:t>
            </w:r>
            <w:r>
              <w:rPr>
                <w:color w:val="000000"/>
              </w:rPr>
              <w:t xml:space="preserve"> </w:t>
            </w:r>
          </w:p>
        </w:tc>
        <w:tc>
          <w:tcPr>
            <w:tcW w:w="685" w:type="pct"/>
            <w:shd w:val="clear" w:color="auto" w:fill="auto"/>
            <w:noWrap/>
            <w:vAlign w:val="center"/>
          </w:tcPr>
          <w:p>
            <w:pPr>
              <w:spacing w:line="400" w:lineRule="atLeast"/>
              <w:jc w:val="right"/>
              <w:rPr>
                <w:color w:val="000000"/>
              </w:rPr>
            </w:pPr>
            <w:r>
              <w:rPr>
                <w:color w:val="000000"/>
              </w:rPr>
              <w:t>1,502,764.60</w:t>
            </w:r>
          </w:p>
        </w:tc>
        <w:tc>
          <w:tcPr>
            <w:tcW w:w="738" w:type="pct"/>
            <w:shd w:val="clear" w:color="auto" w:fill="auto"/>
            <w:noWrap/>
            <w:vAlign w:val="center"/>
          </w:tcPr>
          <w:p>
            <w:pPr>
              <w:spacing w:line="400" w:lineRule="atLeast"/>
              <w:rPr>
                <w:color w:val="000000"/>
              </w:rPr>
            </w:pPr>
            <w:r>
              <w:rPr>
                <w:rFonts w:hint="eastAsia"/>
                <w:color w:val="000000"/>
              </w:rPr>
              <w:t>应收款项融资</w:t>
            </w:r>
          </w:p>
        </w:tc>
        <w:tc>
          <w:tcPr>
            <w:tcW w:w="1211" w:type="pct"/>
            <w:shd w:val="clear" w:color="auto" w:fill="auto"/>
            <w:vAlign w:val="center"/>
          </w:tcPr>
          <w:p>
            <w:pPr>
              <w:spacing w:line="400" w:lineRule="atLeast"/>
              <w:rPr>
                <w:color w:val="000000"/>
              </w:rPr>
            </w:pPr>
            <w:r>
              <w:rPr>
                <w:rFonts w:hint="eastAsia"/>
                <w:color w:val="000000"/>
              </w:rPr>
              <w:t>以公允价值计量且其变动计入其他综合收益</w:t>
            </w:r>
          </w:p>
        </w:tc>
        <w:tc>
          <w:tcPr>
            <w:tcW w:w="642" w:type="pct"/>
            <w:gridSpan w:val="2"/>
            <w:shd w:val="clear" w:color="auto" w:fill="auto"/>
            <w:noWrap/>
            <w:vAlign w:val="center"/>
          </w:tcPr>
          <w:p>
            <w:pPr>
              <w:spacing w:line="400" w:lineRule="atLeast"/>
              <w:jc w:val="right"/>
              <w:rPr>
                <w:color w:val="000000"/>
              </w:rPr>
            </w:pPr>
            <w:r>
              <w:rPr>
                <w:color w:val="000000"/>
              </w:rPr>
              <w:t>1,502,764.60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776" w:type="pct"/>
            <w:shd w:val="clear" w:color="auto" w:fill="auto"/>
            <w:noWrap/>
            <w:vAlign w:val="center"/>
          </w:tcPr>
          <w:p>
            <w:pPr>
              <w:spacing w:line="400" w:lineRule="atLeast"/>
              <w:rPr>
                <w:color w:val="000000"/>
              </w:rPr>
            </w:pPr>
            <w:r>
              <w:rPr>
                <w:rFonts w:hint="eastAsia"/>
                <w:color w:val="000000"/>
              </w:rPr>
              <w:t>应收账款</w:t>
            </w:r>
          </w:p>
        </w:tc>
        <w:tc>
          <w:tcPr>
            <w:tcW w:w="948" w:type="pct"/>
            <w:shd w:val="clear" w:color="auto" w:fill="auto"/>
            <w:noWrap/>
            <w:vAlign w:val="center"/>
          </w:tcPr>
          <w:p>
            <w:pPr>
              <w:spacing w:line="400" w:lineRule="atLeast"/>
              <w:rPr>
                <w:color w:val="000000"/>
              </w:rPr>
            </w:pPr>
            <w:r>
              <w:rPr>
                <w:rFonts w:hint="eastAsia"/>
                <w:color w:val="000000"/>
              </w:rPr>
              <w:t>摊余成本</w:t>
            </w:r>
            <w:r>
              <w:rPr>
                <w:color w:val="000000"/>
              </w:rPr>
              <w:t xml:space="preserve"> </w:t>
            </w:r>
          </w:p>
        </w:tc>
        <w:tc>
          <w:tcPr>
            <w:tcW w:w="685" w:type="pct"/>
            <w:shd w:val="clear" w:color="auto" w:fill="auto"/>
            <w:noWrap/>
            <w:vAlign w:val="center"/>
          </w:tcPr>
          <w:p>
            <w:pPr>
              <w:spacing w:line="400" w:lineRule="atLeast"/>
              <w:jc w:val="right"/>
              <w:rPr>
                <w:color w:val="000000"/>
              </w:rPr>
            </w:pPr>
            <w:r>
              <w:rPr>
                <w:color w:val="000000"/>
              </w:rPr>
              <w:t>529,578,756.65</w:t>
            </w:r>
          </w:p>
        </w:tc>
        <w:tc>
          <w:tcPr>
            <w:tcW w:w="738" w:type="pct"/>
            <w:shd w:val="clear" w:color="auto" w:fill="auto"/>
            <w:noWrap/>
            <w:vAlign w:val="center"/>
          </w:tcPr>
          <w:p>
            <w:pPr>
              <w:spacing w:line="400" w:lineRule="atLeast"/>
              <w:rPr>
                <w:color w:val="000000"/>
              </w:rPr>
            </w:pPr>
            <w:r>
              <w:rPr>
                <w:rFonts w:hint="eastAsia"/>
                <w:color w:val="000000"/>
              </w:rPr>
              <w:t>应收账款</w:t>
            </w:r>
          </w:p>
        </w:tc>
        <w:tc>
          <w:tcPr>
            <w:tcW w:w="1211" w:type="pct"/>
            <w:shd w:val="clear" w:color="auto" w:fill="auto"/>
            <w:vAlign w:val="center"/>
          </w:tcPr>
          <w:p>
            <w:pPr>
              <w:spacing w:line="400" w:lineRule="atLeast"/>
              <w:rPr>
                <w:color w:val="000000"/>
              </w:rPr>
            </w:pPr>
            <w:r>
              <w:rPr>
                <w:rFonts w:hint="eastAsia"/>
                <w:color w:val="000000"/>
              </w:rPr>
              <w:t>摊余成本</w:t>
            </w:r>
          </w:p>
        </w:tc>
        <w:tc>
          <w:tcPr>
            <w:tcW w:w="642" w:type="pct"/>
            <w:gridSpan w:val="2"/>
            <w:shd w:val="clear" w:color="auto" w:fill="auto"/>
            <w:noWrap/>
            <w:vAlign w:val="center"/>
          </w:tcPr>
          <w:p>
            <w:pPr>
              <w:spacing w:line="400" w:lineRule="atLeast"/>
              <w:jc w:val="right"/>
              <w:rPr>
                <w:color w:val="000000"/>
              </w:rPr>
            </w:pPr>
            <w:r>
              <w:rPr>
                <w:color w:val="000000"/>
              </w:rPr>
              <w:t>529,578,756.65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776" w:type="pct"/>
            <w:shd w:val="clear" w:color="auto" w:fill="auto"/>
            <w:noWrap/>
            <w:vAlign w:val="center"/>
          </w:tcPr>
          <w:p>
            <w:pPr>
              <w:spacing w:line="400" w:lineRule="atLeast"/>
              <w:rPr>
                <w:color w:val="000000"/>
              </w:rPr>
            </w:pPr>
            <w:r>
              <w:rPr>
                <w:rFonts w:hint="eastAsia"/>
                <w:color w:val="000000"/>
              </w:rPr>
              <w:t>其他应收款</w:t>
            </w:r>
          </w:p>
        </w:tc>
        <w:tc>
          <w:tcPr>
            <w:tcW w:w="948" w:type="pct"/>
            <w:shd w:val="clear" w:color="auto" w:fill="auto"/>
            <w:noWrap/>
            <w:vAlign w:val="center"/>
          </w:tcPr>
          <w:p>
            <w:pPr>
              <w:spacing w:line="400" w:lineRule="atLeast"/>
              <w:rPr>
                <w:color w:val="000000"/>
              </w:rPr>
            </w:pPr>
            <w:r>
              <w:rPr>
                <w:rFonts w:hint="eastAsia"/>
                <w:color w:val="000000"/>
              </w:rPr>
              <w:t>摊余成本</w:t>
            </w:r>
          </w:p>
        </w:tc>
        <w:tc>
          <w:tcPr>
            <w:tcW w:w="685" w:type="pct"/>
            <w:shd w:val="clear" w:color="auto" w:fill="auto"/>
            <w:noWrap/>
            <w:vAlign w:val="center"/>
          </w:tcPr>
          <w:p>
            <w:pPr>
              <w:spacing w:line="400" w:lineRule="atLeast"/>
              <w:jc w:val="right"/>
              <w:rPr>
                <w:color w:val="000000"/>
              </w:rPr>
            </w:pPr>
            <w:r>
              <w:rPr>
                <w:color w:val="000000"/>
              </w:rPr>
              <w:t>372,090,632.22</w:t>
            </w:r>
          </w:p>
        </w:tc>
        <w:tc>
          <w:tcPr>
            <w:tcW w:w="738" w:type="pct"/>
            <w:shd w:val="clear" w:color="auto" w:fill="auto"/>
            <w:noWrap/>
            <w:vAlign w:val="center"/>
          </w:tcPr>
          <w:p>
            <w:pPr>
              <w:spacing w:line="400" w:lineRule="atLeast"/>
              <w:rPr>
                <w:color w:val="000000"/>
              </w:rPr>
            </w:pPr>
            <w:r>
              <w:rPr>
                <w:rFonts w:hint="eastAsia"/>
                <w:color w:val="000000"/>
              </w:rPr>
              <w:t>其他应收款</w:t>
            </w:r>
          </w:p>
        </w:tc>
        <w:tc>
          <w:tcPr>
            <w:tcW w:w="1211" w:type="pct"/>
            <w:shd w:val="clear" w:color="auto" w:fill="auto"/>
            <w:vAlign w:val="center"/>
          </w:tcPr>
          <w:p>
            <w:pPr>
              <w:spacing w:line="400" w:lineRule="atLeast"/>
              <w:rPr>
                <w:color w:val="000000"/>
              </w:rPr>
            </w:pPr>
            <w:r>
              <w:rPr>
                <w:rFonts w:hint="eastAsia"/>
                <w:color w:val="000000"/>
              </w:rPr>
              <w:t>摊余成本</w:t>
            </w:r>
          </w:p>
        </w:tc>
        <w:tc>
          <w:tcPr>
            <w:tcW w:w="642" w:type="pct"/>
            <w:gridSpan w:val="2"/>
            <w:shd w:val="clear" w:color="auto" w:fill="auto"/>
            <w:noWrap/>
            <w:vAlign w:val="center"/>
          </w:tcPr>
          <w:p>
            <w:pPr>
              <w:spacing w:line="400" w:lineRule="atLeast"/>
              <w:jc w:val="right"/>
              <w:rPr>
                <w:color w:val="000000"/>
              </w:rPr>
            </w:pPr>
            <w:r>
              <w:rPr>
                <w:color w:val="000000"/>
              </w:rPr>
              <w:t>372,090,632.22</w:t>
            </w:r>
          </w:p>
        </w:tc>
      </w:tr>
    </w:tbl>
    <w:p>
      <w:pPr>
        <w:autoSpaceDE w:val="0"/>
        <w:autoSpaceDN w:val="0"/>
        <w:adjustRightInd w:val="0"/>
        <w:spacing w:before="0" w:after="0"/>
        <w:rPr>
          <w:rFonts w:eastAsiaTheme="minorEastAsia"/>
          <w:kern w:val="0"/>
          <w:sz w:val="21"/>
          <w:szCs w:val="24"/>
          <w:lang w:val="zh-CN"/>
        </w:rPr>
      </w:pPr>
    </w:p>
    <w:p>
      <w:pPr>
        <w:pStyle w:val="14"/>
        <w:outlineLvl w:val="3"/>
        <w:rPr>
          <w:bCs w:val="0"/>
          <w:szCs w:val="24"/>
        </w:rPr>
      </w:pPr>
      <w:r>
        <w:rPr>
          <w:rFonts w:hint="eastAsia"/>
          <w:bCs w:val="0"/>
          <w:szCs w:val="24"/>
        </w:rPr>
        <w:t>（</w:t>
      </w:r>
      <w:r>
        <w:rPr>
          <w:bCs w:val="0"/>
          <w:szCs w:val="24"/>
        </w:rPr>
        <w:t>2</w:t>
      </w:r>
      <w:r>
        <w:rPr>
          <w:rFonts w:hint="eastAsia"/>
          <w:bCs w:val="0"/>
          <w:szCs w:val="24"/>
        </w:rPr>
        <w:t>）重要会计估计变更</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3"/>
        <w:rPr>
          <w:bCs w:val="0"/>
          <w:szCs w:val="24"/>
        </w:rPr>
      </w:pPr>
      <w:r>
        <w:rPr>
          <w:rFonts w:hint="eastAsia"/>
          <w:bCs w:val="0"/>
          <w:szCs w:val="24"/>
        </w:rPr>
        <w:t>（</w:t>
      </w:r>
      <w:r>
        <w:rPr>
          <w:bCs w:val="0"/>
          <w:szCs w:val="24"/>
        </w:rPr>
        <w:t>3</w:t>
      </w:r>
      <w:r>
        <w:rPr>
          <w:rFonts w:hint="eastAsia"/>
          <w:bCs w:val="0"/>
          <w:szCs w:val="24"/>
        </w:rPr>
        <w:t>）</w:t>
      </w:r>
      <w:r>
        <w:rPr>
          <w:bCs w:val="0"/>
          <w:szCs w:val="24"/>
        </w:rPr>
        <w:t>2019</w:t>
      </w:r>
      <w:r>
        <w:rPr>
          <w:rFonts w:hint="eastAsia"/>
          <w:bCs w:val="0"/>
          <w:szCs w:val="24"/>
        </w:rPr>
        <w:t>年起执行新金融工具准则、新收入准则或新租赁准则调整执行当年年初财务报表相关项目情况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合并资产负债表</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2206"/>
        <w:gridCol w:w="2453"/>
        <w:gridCol w:w="2454"/>
        <w:gridCol w:w="2454"/>
      </w:tblGrid>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24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2018</w:t>
            </w:r>
            <w:r>
              <w:rPr>
                <w:rFonts w:hint="eastAsia"/>
                <w:szCs w:val="24"/>
              </w:rPr>
              <w:t>年</w:t>
            </w:r>
            <w:r>
              <w:rPr>
                <w:szCs w:val="24"/>
              </w:rPr>
              <w:t>12</w:t>
            </w:r>
            <w:r>
              <w:rPr>
                <w:rFonts w:hint="eastAsia"/>
                <w:szCs w:val="24"/>
              </w:rPr>
              <w:t>月</w:t>
            </w:r>
            <w:r>
              <w:rPr>
                <w:szCs w:val="24"/>
              </w:rPr>
              <w:t>31</w:t>
            </w:r>
            <w:r>
              <w:rPr>
                <w:rFonts w:hint="eastAsia"/>
                <w:szCs w:val="24"/>
              </w:rPr>
              <w:t>日</w:t>
            </w: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2019</w:t>
            </w:r>
            <w:r>
              <w:rPr>
                <w:rFonts w:hint="eastAsia"/>
                <w:szCs w:val="24"/>
              </w:rPr>
              <w:t>年</w:t>
            </w:r>
            <w:r>
              <w:rPr>
                <w:szCs w:val="24"/>
              </w:rPr>
              <w:t>01</w:t>
            </w:r>
            <w:r>
              <w:rPr>
                <w:rFonts w:hint="eastAsia"/>
                <w:szCs w:val="24"/>
              </w:rPr>
              <w:t>月</w:t>
            </w:r>
            <w:r>
              <w:rPr>
                <w:szCs w:val="24"/>
              </w:rPr>
              <w:t>01</w:t>
            </w:r>
            <w:r>
              <w:rPr>
                <w:rFonts w:hint="eastAsia"/>
                <w:szCs w:val="24"/>
              </w:rPr>
              <w:t>日</w:t>
            </w: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调整数</w:t>
            </w: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流动资产：</w:t>
            </w:r>
          </w:p>
        </w:tc>
        <w:tc>
          <w:tcPr>
            <w:tcW w:w="24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货币资金</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417,288,640.73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417,288,640.73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结算备付金</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拆出资金</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交易性金融资产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以公允价值计量且其变动计入当期损益的金融资产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衍生金融资产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应收票据</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2,407,764.60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-2,407,764.60</w:t>
            </w: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应收账款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1,305,469,274.95</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1,305,469,274.95</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应收款项融资</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2,407,764.60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2,407,764.60</w:t>
            </w: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预付款项</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102,451,879.49</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102,451,879.49</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应收保费</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应收分保账款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应收分保合同准备金</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其他应收款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150,595,595.76</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150,595,595.76</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其中：应收利息</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应收股利</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买入返售金融资产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存货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388,413,307.90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388,413,307.90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合同资产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持有待售资产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一年内到期的非流动资产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其他流动资产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13,543,618.66</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13,543,618.66</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流动资产合计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2,380,170,082.09</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2,380,170,082.09</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非流动资产：</w:t>
            </w:r>
          </w:p>
        </w:tc>
        <w:tc>
          <w:tcPr>
            <w:tcW w:w="24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发放贷款和垫款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债权投资</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可供出售金融资产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30,600,000.00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-30,600,000.00</w:t>
            </w: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其他债权投资</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持有至到期投资</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长期应收款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长期股权投资</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247,456,230.38</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247,456,230.38</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其他权益工具投资</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30,600,000.00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30,600,000.00</w:t>
            </w: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其他非流动金融资产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投资性房地产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固定资产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414,937,464.27</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414,937,464.27</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在建工程</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307,014,414.17</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307,014,414.17</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生产性生物资产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油气资产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使用权资产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无形资产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190,550,968.56</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190,550,968.56</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开发支出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商誉</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836,469,565.74</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836,469,565.74</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长期待摊费用</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80,446,373.13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80,446,373.13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递延所得税资产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31,744,055.02</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31,744,055.02</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其他非流动资产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77,660,304.16</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77,660,304.16</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非流动资产合计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2,216,879,375.43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2,216,879,375.43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资产总计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4,597,049,457.52</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4,597,049,457.52</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流动负债：</w:t>
            </w:r>
          </w:p>
        </w:tc>
        <w:tc>
          <w:tcPr>
            <w:tcW w:w="24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短期借款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1,130,490,000.00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1,130,490,000.00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向中央银行借款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拆入资金</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交易性金融负债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以公允价值计量且其变动计入当期损益的金融负债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衍生金融负债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应付票据</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55,090,000.00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55,090,000.00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应付账款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176,508,332.56</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176,508,332.56</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预收款项</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37,540,679.10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37,540,679.10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合同负债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卖出回购金融资产款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吸收存款及同业存放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代理买卖证券款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代理承销证券款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应付职工薪酬</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74,955,903.64</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74,955,903.64</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应交税费</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101,575,463.25</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101,575,463.25</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其他应付款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259,892,109.90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259,892,109.90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其中：应付利息</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1,842,654.03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1,842,654.03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应付股利</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应付手续费及佣金</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应付分保账款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持有待售负债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一年内到期的非流动负债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323,014,975.58</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323,014,975.58</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其他流动负债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流动负债合计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2,159,067,464.03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2,159,067,464.03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非流动负债：</w:t>
            </w:r>
          </w:p>
        </w:tc>
        <w:tc>
          <w:tcPr>
            <w:tcW w:w="24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保险合同准备金</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长期借款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120,000,000.00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120,000,000.00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应付债券</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其中：优先股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永续债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租赁负债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长期应付款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长期应付职工薪酬</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预计负债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递延收益</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21,741,300.89</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21,741,300.89</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递延所得税负债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26,371,854.69</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26,371,854.69</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其他非流动负债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非流动负债合计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168,113,155.58</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168,113,155.58</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负债合计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2,327,180,619.61</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2,327,180,619.61</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所有者权益：</w:t>
            </w:r>
          </w:p>
        </w:tc>
        <w:tc>
          <w:tcPr>
            <w:tcW w:w="24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股本</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346,397,300.00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346,397,300.00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其他权益工具</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其中：优先股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永续债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资本公积</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572,135,742.13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572,135,742.13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减：库存股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85,572,413.00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85,572,413.00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其他综合收益</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193,149.62</w:t>
            </w:r>
          </w:p>
        </w:tc>
        <w:tc>
          <w:tcPr>
            <w:tcW w:w="2454"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193,149.62</w:t>
            </w:r>
          </w:p>
        </w:tc>
        <w:tc>
          <w:tcPr>
            <w:tcW w:w="2454"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专项储备</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盈余公积</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119,009,437.30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119,009,437.30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一般风险准备</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未分配利润</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918,195,494.69</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918,195,494.69</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归属于母公司所有者权益合计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1,870,358,710.74</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1,870,358,710.74</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少数股东权益</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399,510,127.17</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399,510,127.17</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所有者权益合计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2,269,868,837.91</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2,269,868,837.91</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负债和所有者权益总计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4,597,049,457.52</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4,597,049,457.52</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bl>
    <w:p>
      <w:pPr>
        <w:jc w:val="left"/>
        <w:rPr>
          <w:szCs w:val="24"/>
        </w:rPr>
      </w:pPr>
      <w:r>
        <w:rPr>
          <w:rFonts w:hint="eastAsia"/>
          <w:szCs w:val="24"/>
        </w:rPr>
        <w:t>调整情况说明</w:t>
      </w:r>
    </w:p>
    <w:p>
      <w:pPr>
        <w:jc w:val="left"/>
        <w:rPr>
          <w:szCs w:val="24"/>
        </w:rPr>
      </w:pPr>
      <w:r>
        <w:rPr>
          <w:rFonts w:hint="eastAsia"/>
          <w:szCs w:val="24"/>
        </w:rPr>
        <w:t>母公司资产负债表</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2206"/>
        <w:gridCol w:w="2453"/>
        <w:gridCol w:w="2454"/>
        <w:gridCol w:w="2454"/>
      </w:tblGrid>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24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2018</w:t>
            </w:r>
            <w:r>
              <w:rPr>
                <w:rFonts w:hint="eastAsia"/>
                <w:szCs w:val="24"/>
              </w:rPr>
              <w:t>年</w:t>
            </w:r>
            <w:r>
              <w:rPr>
                <w:szCs w:val="24"/>
              </w:rPr>
              <w:t>12</w:t>
            </w:r>
            <w:r>
              <w:rPr>
                <w:rFonts w:hint="eastAsia"/>
                <w:szCs w:val="24"/>
              </w:rPr>
              <w:t>月</w:t>
            </w:r>
            <w:r>
              <w:rPr>
                <w:szCs w:val="24"/>
              </w:rPr>
              <w:t>31</w:t>
            </w:r>
            <w:r>
              <w:rPr>
                <w:rFonts w:hint="eastAsia"/>
                <w:szCs w:val="24"/>
              </w:rPr>
              <w:t>日</w:t>
            </w: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2019</w:t>
            </w:r>
            <w:r>
              <w:rPr>
                <w:rFonts w:hint="eastAsia"/>
                <w:szCs w:val="24"/>
              </w:rPr>
              <w:t>年</w:t>
            </w:r>
            <w:r>
              <w:rPr>
                <w:szCs w:val="24"/>
              </w:rPr>
              <w:t>01</w:t>
            </w:r>
            <w:r>
              <w:rPr>
                <w:rFonts w:hint="eastAsia"/>
                <w:szCs w:val="24"/>
              </w:rPr>
              <w:t>月</w:t>
            </w:r>
            <w:r>
              <w:rPr>
                <w:szCs w:val="24"/>
              </w:rPr>
              <w:t>01</w:t>
            </w:r>
            <w:r>
              <w:rPr>
                <w:rFonts w:hint="eastAsia"/>
                <w:szCs w:val="24"/>
              </w:rPr>
              <w:t>日</w:t>
            </w: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调整数</w:t>
            </w: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流动资产：</w:t>
            </w:r>
          </w:p>
        </w:tc>
        <w:tc>
          <w:tcPr>
            <w:tcW w:w="24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货币资金</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253,573,190.96</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253,573,190.96</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交易性金融资产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以公允价值计量且其变动计入当期损益的金融资产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衍生金融资产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应收票据</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1,502,764.60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-1,502,764.60</w:t>
            </w: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应收账款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529,578,756.65</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529,578,756.65</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应收款项融资</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1,502,764.60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1,502,764.60</w:t>
            </w: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预付款项</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71,263,606.04</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71,263,606.04</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其他应收款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372,090,632.22</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372,090,632.22</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其中：应收利息</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应收股利</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存货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109,712,818.41</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109,712,818.41</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合同资产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持有待售资产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一年内到期的非流动资产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其他流动资产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5,015,392.63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5,015,392.63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流动资产合计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1,342,737,161.51</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1,342,737,161.51</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非流动资产：</w:t>
            </w:r>
          </w:p>
        </w:tc>
        <w:tc>
          <w:tcPr>
            <w:tcW w:w="24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债权投资</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可供出售金融资产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其他债权投资</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持有至到期投资</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长期应收款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长期股权投资</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1,695,358,086.03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1,695,358,086.03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其他权益工具投资</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其他非流动金融资产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投资性房地产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固定资产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319,911,673.53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319,911,673.53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在建工程</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299,641,019.60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299,641,019.60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生产性生物资产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油气资产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使用权资产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无形资产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80,147,588.67</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80,147,588.67</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开发支出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商誉</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长期待摊费用</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35,366,509.81</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35,366,509.81</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递延所得税资产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12,567,904.91</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12,567,904.91</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其他非流动资产</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40,762,139.22</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40,762,139.22</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非流动资产合计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2,483,754,921.77</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2,483,754,921.77</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资产总计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3,826,492,083.28</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3,826,492,083.28</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流动负债：</w:t>
            </w:r>
          </w:p>
        </w:tc>
        <w:tc>
          <w:tcPr>
            <w:tcW w:w="24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短期借款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1,098,000,000.00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1,098,000,000.00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交易性金融负债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以公允价值计量且其变动计入当期损益的金融负债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衍生金融负债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应付票据</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应付账款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105,565,614.66</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105,565,614.66</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预收款项</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19,455,609.38</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19,455,609.38</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合同负债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应付职工薪酬</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45,228,728.62</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45,228,728.62</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应交税费</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47,038,452.16</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47,038,452.16</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其他应付款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279,300,900.03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279,300,900.03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其中：应付利息</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应付股利</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持有待售负债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一年内到期的非流动负债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139,382,263.19</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139,382,263.19</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其他流动负债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流动负债合计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1,753,971,568.04</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1,753,971,568.04</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非流动负债：</w:t>
            </w:r>
          </w:p>
        </w:tc>
        <w:tc>
          <w:tcPr>
            <w:tcW w:w="24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长期借款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120,000,000.00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120,000,000.00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应付债券</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其中：优先股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永续债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租赁负债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长期应付款</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长期应付职工薪酬</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预计负债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递延收益</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8,106,144.64</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8,106,144.64</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递延所得税负债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23,043,676.93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23,043,676.93</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其他非流动负债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非流动负债合计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151,149,821.57</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151,149,821.57</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负债合计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1,905,121,389.61</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1,905,121,389.61</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所有者权益：</w:t>
            </w:r>
          </w:p>
        </w:tc>
        <w:tc>
          <w:tcPr>
            <w:tcW w:w="245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股本</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346,397,300.00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346,397,300.00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其他权益工具</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其中：优先股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永续债</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资本公积</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608,813,786.51</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608,813,786.51</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减：库存股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85,572,413.00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85,572,413.00</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其他综合收益</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专项储备</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盈余公积</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117,994,869.87</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117,994,869.87</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未分配利润</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933,737,150.29</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933,737,150.29</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所有者权益合计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1,921,370,693.67</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1,921,370,693.67</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20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负债和所有者权益总计</w:t>
            </w:r>
          </w:p>
        </w:tc>
        <w:tc>
          <w:tcPr>
            <w:tcW w:w="24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3,826,492,083.28</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3,826,492,083.28</w:t>
            </w:r>
          </w:p>
        </w:tc>
        <w:tc>
          <w:tcPr>
            <w:tcW w:w="2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bl>
    <w:p>
      <w:pPr>
        <w:jc w:val="left"/>
        <w:rPr>
          <w:szCs w:val="24"/>
        </w:rPr>
      </w:pPr>
      <w:r>
        <w:rPr>
          <w:rFonts w:hint="eastAsia"/>
          <w:szCs w:val="24"/>
        </w:rPr>
        <w:t>调整情况说明</w:t>
      </w:r>
    </w:p>
    <w:p>
      <w:pPr>
        <w:pStyle w:val="14"/>
        <w:outlineLvl w:val="3"/>
        <w:rPr>
          <w:bCs w:val="0"/>
          <w:szCs w:val="24"/>
        </w:rPr>
      </w:pPr>
      <w:r>
        <w:rPr>
          <w:rFonts w:hint="eastAsia"/>
          <w:bCs w:val="0"/>
          <w:szCs w:val="24"/>
        </w:rPr>
        <w:t>（</w:t>
      </w:r>
      <w:r>
        <w:rPr>
          <w:bCs w:val="0"/>
          <w:szCs w:val="24"/>
        </w:rPr>
        <w:t>4</w:t>
      </w:r>
      <w:r>
        <w:rPr>
          <w:rFonts w:hint="eastAsia"/>
          <w:bCs w:val="0"/>
          <w:szCs w:val="24"/>
        </w:rPr>
        <w:t>）</w:t>
      </w:r>
      <w:r>
        <w:rPr>
          <w:bCs w:val="0"/>
          <w:szCs w:val="24"/>
        </w:rPr>
        <w:t>2019</w:t>
      </w:r>
      <w:r>
        <w:rPr>
          <w:rFonts w:hint="eastAsia"/>
          <w:bCs w:val="0"/>
          <w:szCs w:val="24"/>
        </w:rPr>
        <w:t>年起执行新金融工具准则或新租赁准则追溯调整前期比较数据说明</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2"/>
        <w:rPr>
          <w:bCs w:val="0"/>
          <w:szCs w:val="24"/>
        </w:rPr>
      </w:pPr>
      <w:r>
        <w:rPr>
          <w:bCs w:val="0"/>
          <w:szCs w:val="24"/>
        </w:rPr>
        <w:t>45</w:t>
      </w:r>
      <w:r>
        <w:rPr>
          <w:rFonts w:hint="eastAsia"/>
          <w:bCs w:val="0"/>
          <w:szCs w:val="24"/>
        </w:rPr>
        <w:t>、其他</w:t>
      </w:r>
    </w:p>
    <w:p>
      <w:pPr>
        <w:pStyle w:val="13"/>
        <w:outlineLvl w:val="1"/>
        <w:rPr>
          <w:bCs w:val="0"/>
        </w:rPr>
      </w:pPr>
      <w:r>
        <w:rPr>
          <w:rFonts w:hint="eastAsia"/>
          <w:bCs w:val="0"/>
        </w:rPr>
        <w:t>六、税项</w:t>
      </w:r>
    </w:p>
    <w:p>
      <w:pPr>
        <w:pStyle w:val="14"/>
        <w:outlineLvl w:val="2"/>
        <w:rPr>
          <w:bCs w:val="0"/>
          <w:szCs w:val="24"/>
        </w:rPr>
      </w:pPr>
      <w:r>
        <w:rPr>
          <w:bCs w:val="0"/>
          <w:szCs w:val="24"/>
        </w:rPr>
        <w:t>1</w:t>
      </w:r>
      <w:r>
        <w:rPr>
          <w:rFonts w:hint="eastAsia"/>
          <w:bCs w:val="0"/>
          <w:szCs w:val="24"/>
        </w:rPr>
        <w:t>、主要税种及税率</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税种</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计税依据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税率</w:t>
            </w:r>
          </w:p>
        </w:tc>
      </w:tr>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增值税</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按税法规定计算的销售货物和应税劳务收入为基础计算销项税额，在扣除当期允许抵扣的进项税额后，差额部分为应交增值税</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w:t>
            </w:r>
            <w:r>
              <w:rPr>
                <w:rFonts w:hint="eastAsia"/>
                <w:szCs w:val="24"/>
              </w:rPr>
              <w:t>、</w:t>
            </w:r>
            <w:r>
              <w:rPr>
                <w:szCs w:val="24"/>
              </w:rPr>
              <w:t>5%</w:t>
            </w:r>
            <w:r>
              <w:rPr>
                <w:rFonts w:hint="eastAsia"/>
                <w:szCs w:val="24"/>
              </w:rPr>
              <w:t>、</w:t>
            </w:r>
            <w:r>
              <w:rPr>
                <w:szCs w:val="24"/>
              </w:rPr>
              <w:t>6%</w:t>
            </w:r>
            <w:r>
              <w:rPr>
                <w:rFonts w:hint="eastAsia"/>
                <w:szCs w:val="24"/>
              </w:rPr>
              <w:t>、</w:t>
            </w:r>
            <w:r>
              <w:rPr>
                <w:szCs w:val="24"/>
              </w:rPr>
              <w:t>13%</w:t>
            </w:r>
            <w:r>
              <w:rPr>
                <w:rFonts w:hint="eastAsia"/>
                <w:szCs w:val="24"/>
              </w:rPr>
              <w:t>、</w:t>
            </w:r>
            <w:r>
              <w:rPr>
                <w:szCs w:val="24"/>
              </w:rPr>
              <w:t>16%</w:t>
            </w:r>
          </w:p>
        </w:tc>
      </w:tr>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城市维护建设税</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按实际缴纳的增值税及消费税计缴</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7%</w:t>
            </w:r>
          </w:p>
        </w:tc>
      </w:tr>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企业所得税</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按应纳税所得额计缴</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w:t>
            </w:r>
            <w:r>
              <w:rPr>
                <w:rFonts w:hint="eastAsia"/>
                <w:szCs w:val="24"/>
              </w:rPr>
              <w:t>、</w:t>
            </w:r>
            <w:r>
              <w:rPr>
                <w:szCs w:val="24"/>
              </w:rPr>
              <w:t>5%</w:t>
            </w:r>
            <w:r>
              <w:rPr>
                <w:rFonts w:hint="eastAsia"/>
                <w:szCs w:val="24"/>
              </w:rPr>
              <w:t>、</w:t>
            </w:r>
            <w:r>
              <w:rPr>
                <w:szCs w:val="24"/>
              </w:rPr>
              <w:t>15%</w:t>
            </w:r>
            <w:r>
              <w:rPr>
                <w:rFonts w:hint="eastAsia"/>
                <w:szCs w:val="24"/>
              </w:rPr>
              <w:t>、</w:t>
            </w:r>
            <w:r>
              <w:rPr>
                <w:szCs w:val="24"/>
              </w:rPr>
              <w:t>25%</w:t>
            </w:r>
            <w:r>
              <w:rPr>
                <w:rFonts w:hint="eastAsia"/>
                <w:szCs w:val="24"/>
              </w:rPr>
              <w:t>、</w:t>
            </w:r>
            <w:r>
              <w:rPr>
                <w:szCs w:val="24"/>
              </w:rPr>
              <w:t>16.5%</w:t>
            </w:r>
            <w:r>
              <w:rPr>
                <w:rFonts w:hint="eastAsia"/>
                <w:szCs w:val="24"/>
              </w:rPr>
              <w:t>、</w:t>
            </w:r>
            <w:r>
              <w:rPr>
                <w:szCs w:val="24"/>
              </w:rPr>
              <w:t>21</w:t>
            </w:r>
            <w:r>
              <w:rPr>
                <w:rFonts w:hint="eastAsia"/>
                <w:szCs w:val="24"/>
              </w:rPr>
              <w:t>%、</w:t>
            </w:r>
            <w:r>
              <w:rPr>
                <w:szCs w:val="24"/>
              </w:rPr>
              <w:t>8.84%</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教育费附加</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按实际缴纳的增值税及消费税计缴</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地方教育费附加</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按实际缴纳的增值税及消费税计缴</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w:t>
            </w:r>
          </w:p>
        </w:tc>
      </w:tr>
    </w:tbl>
    <w:p>
      <w:pPr>
        <w:jc w:val="left"/>
        <w:rPr>
          <w:szCs w:val="24"/>
        </w:rPr>
      </w:pPr>
      <w:r>
        <w:rPr>
          <w:rFonts w:hint="eastAsia"/>
          <w:szCs w:val="24"/>
        </w:rPr>
        <w:t>存在不同企业所得税税率纳税主体的，披露情况说明</w:t>
      </w:r>
    </w:p>
    <w:tbl>
      <w:tblPr>
        <w:tblStyle w:val="9"/>
        <w:tblW w:w="0" w:type="auto"/>
        <w:tblInd w:w="28" w:type="dxa"/>
        <w:tblLayout w:type="fixed"/>
        <w:tblCellMar>
          <w:top w:w="0" w:type="dxa"/>
          <w:left w:w="28" w:type="dxa"/>
          <w:bottom w:w="0" w:type="dxa"/>
          <w:right w:w="28" w:type="dxa"/>
        </w:tblCellMar>
      </w:tblPr>
      <w:tblGrid>
        <w:gridCol w:w="4782"/>
        <w:gridCol w:w="4786"/>
      </w:tblGrid>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纳税主体名称</w:t>
            </w:r>
          </w:p>
        </w:tc>
        <w:tc>
          <w:tcPr>
            <w:tcW w:w="478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所得税税率</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京都弘益生物科技（苏州）有限公司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5%</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r>
              <w:rPr>
                <w:rFonts w:hint="eastAsia"/>
              </w:rPr>
              <w:t>宁波美康盛德生物科技有限公司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r>
              <w:rPr>
                <w:rFonts w:hint="eastAsia"/>
              </w:rPr>
              <w:t>15%</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r>
              <w:rPr>
                <w:rFonts w:hint="eastAsia"/>
              </w:rPr>
              <w:t>宁波美康盛德医学检验所有限公司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r>
              <w:rPr>
                <w:rFonts w:hint="eastAsia"/>
              </w:rPr>
              <w:t>15%</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r>
              <w:rPr>
                <w:rFonts w:hint="eastAsia"/>
              </w:rPr>
              <w:t>重庆和盛医疗器械有限公司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r>
              <w:rPr>
                <w:rFonts w:hint="eastAsia"/>
              </w:rPr>
              <w:t>15%</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内蒙古美康生物医疗器械有限公司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SD MEDICAL SYSTEM,INC</w:t>
            </w:r>
            <w:r>
              <w:rPr>
                <w:rFonts w:hint="eastAsia"/>
                <w:szCs w:val="24"/>
              </w:rPr>
              <w:t>（圣地亚哥美康）</w:t>
            </w:r>
          </w:p>
        </w:tc>
        <w:tc>
          <w:tcPr>
            <w:tcW w:w="47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21%</w:t>
            </w:r>
            <w:r>
              <w:rPr>
                <w:rFonts w:hint="eastAsia"/>
                <w:szCs w:val="24"/>
              </w:rPr>
              <w:t>、</w:t>
            </w:r>
            <w:r>
              <w:rPr>
                <w:szCs w:val="24"/>
              </w:rPr>
              <w:t>8.84%</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VAP DIAGNOSTICS LABORATORY INC</w:t>
            </w:r>
            <w:r>
              <w:rPr>
                <w:rFonts w:hint="eastAsia"/>
                <w:szCs w:val="24"/>
              </w:rPr>
              <w:t>（伯明翰美康）</w:t>
            </w:r>
          </w:p>
        </w:tc>
        <w:tc>
          <w:tcPr>
            <w:tcW w:w="47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21%</w:t>
            </w:r>
            <w:r>
              <w:rPr>
                <w:rFonts w:hint="eastAsia"/>
                <w:szCs w:val="24"/>
              </w:rPr>
              <w:t>、</w:t>
            </w:r>
            <w:r>
              <w:rPr>
                <w:szCs w:val="24"/>
              </w:rPr>
              <w:t>8.84</w:t>
            </w:r>
            <w:r>
              <w:rPr>
                <w:rFonts w:hint="eastAsia"/>
                <w:szCs w:val="24"/>
              </w:rPr>
              <w:t>%</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美康生物（香港）有限公司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16.5%</w:t>
            </w:r>
          </w:p>
        </w:tc>
      </w:tr>
    </w:tbl>
    <w:p>
      <w:pPr>
        <w:pStyle w:val="14"/>
        <w:outlineLvl w:val="2"/>
        <w:rPr>
          <w:bCs w:val="0"/>
          <w:szCs w:val="24"/>
        </w:rPr>
      </w:pPr>
      <w:r>
        <w:rPr>
          <w:bCs w:val="0"/>
          <w:szCs w:val="24"/>
        </w:rPr>
        <w:t>2</w:t>
      </w:r>
      <w:r>
        <w:rPr>
          <w:rFonts w:hint="eastAsia"/>
          <w:bCs w:val="0"/>
          <w:szCs w:val="24"/>
        </w:rPr>
        <w:t>、税收优惠</w:t>
      </w:r>
    </w:p>
    <w:p>
      <w:pPr>
        <w:pStyle w:val="28"/>
        <w:ind w:left="0" w:firstLine="360" w:firstLineChars="200"/>
        <w:rPr>
          <w:rFonts w:eastAsiaTheme="minorEastAsia"/>
          <w:sz w:val="18"/>
          <w:szCs w:val="18"/>
        </w:rPr>
      </w:pPr>
      <w:r>
        <w:rPr>
          <w:rFonts w:hint="eastAsia" w:eastAsiaTheme="minorEastAsia"/>
          <w:sz w:val="18"/>
          <w:szCs w:val="18"/>
        </w:rPr>
        <w:t>1、根据宁波市高新技术企业认定管理工作领导小组下达的《关于公布宁波市2017年高新技术企业名单的通知》（甬高企认领[2017]2号），公司于2</w:t>
      </w:r>
      <w:r>
        <w:rPr>
          <w:rFonts w:eastAsiaTheme="minorEastAsia"/>
          <w:sz w:val="18"/>
          <w:szCs w:val="18"/>
        </w:rPr>
        <w:t>017年</w:t>
      </w:r>
      <w:r>
        <w:rPr>
          <w:rFonts w:hint="eastAsia" w:eastAsiaTheme="minorEastAsia"/>
          <w:sz w:val="18"/>
          <w:szCs w:val="18"/>
        </w:rPr>
        <w:t>1</w:t>
      </w:r>
      <w:r>
        <w:rPr>
          <w:rFonts w:eastAsiaTheme="minorEastAsia"/>
          <w:sz w:val="18"/>
          <w:szCs w:val="18"/>
        </w:rPr>
        <w:t>1月</w:t>
      </w:r>
      <w:r>
        <w:rPr>
          <w:rFonts w:hint="eastAsia" w:eastAsiaTheme="minorEastAsia"/>
          <w:sz w:val="18"/>
          <w:szCs w:val="18"/>
        </w:rPr>
        <w:t>被认定为高新技术企业，证书编号为GR201733100645，认定有效期为3年。2019 年享受高新技术企业的所得税税率为 15%的税收优惠政策。</w:t>
      </w:r>
    </w:p>
    <w:p>
      <w:pPr>
        <w:pStyle w:val="28"/>
        <w:ind w:left="0" w:firstLine="360" w:firstLineChars="200"/>
        <w:rPr>
          <w:rFonts w:eastAsiaTheme="minorEastAsia"/>
          <w:sz w:val="18"/>
          <w:szCs w:val="18"/>
        </w:rPr>
      </w:pPr>
      <w:r>
        <w:rPr>
          <w:rFonts w:eastAsiaTheme="minorEastAsia"/>
          <w:sz w:val="18"/>
          <w:szCs w:val="18"/>
        </w:rPr>
        <w:t>2</w:t>
      </w:r>
      <w:r>
        <w:rPr>
          <w:rFonts w:hint="eastAsia" w:eastAsiaTheme="minorEastAsia"/>
          <w:sz w:val="18"/>
          <w:szCs w:val="18"/>
        </w:rPr>
        <w:t>、根据宁波市高新技术企业认定管理工作领导小组下达的《关于公布宁波市2018年高新技术企业名单的通知》（甬高企认领[2019]1号），子公司盛德科技于2</w:t>
      </w:r>
      <w:r>
        <w:rPr>
          <w:rFonts w:eastAsiaTheme="minorEastAsia"/>
          <w:sz w:val="18"/>
          <w:szCs w:val="18"/>
        </w:rPr>
        <w:t>018年</w:t>
      </w:r>
      <w:r>
        <w:rPr>
          <w:rFonts w:hint="eastAsia" w:eastAsiaTheme="minorEastAsia"/>
          <w:sz w:val="18"/>
          <w:szCs w:val="18"/>
        </w:rPr>
        <w:t>1</w:t>
      </w:r>
      <w:r>
        <w:rPr>
          <w:rFonts w:eastAsiaTheme="minorEastAsia"/>
          <w:sz w:val="18"/>
          <w:szCs w:val="18"/>
        </w:rPr>
        <w:t>1月</w:t>
      </w:r>
      <w:r>
        <w:rPr>
          <w:rFonts w:hint="eastAsia" w:eastAsiaTheme="minorEastAsia"/>
          <w:sz w:val="18"/>
          <w:szCs w:val="18"/>
        </w:rPr>
        <w:t>被认定为高新技术企业，证书编号为GR201833100494，认定有效期为3年。2019 年享受高新技术企业的所得税税率为 15%的税收优惠政策。</w:t>
      </w:r>
    </w:p>
    <w:p>
      <w:pPr>
        <w:pStyle w:val="28"/>
        <w:ind w:left="0" w:firstLine="360" w:firstLineChars="200"/>
        <w:rPr>
          <w:rFonts w:eastAsiaTheme="minorEastAsia"/>
          <w:sz w:val="18"/>
          <w:szCs w:val="18"/>
        </w:rPr>
      </w:pPr>
      <w:r>
        <w:rPr>
          <w:rFonts w:eastAsiaTheme="minorEastAsia"/>
          <w:sz w:val="18"/>
          <w:szCs w:val="18"/>
        </w:rPr>
        <w:t>3</w:t>
      </w:r>
      <w:r>
        <w:rPr>
          <w:rFonts w:hint="eastAsia" w:eastAsiaTheme="minorEastAsia"/>
          <w:sz w:val="18"/>
          <w:szCs w:val="18"/>
        </w:rPr>
        <w:t>、根据宁波市高新技术企业认定管理工作领导小组下达的《关于公布宁波市2018年高新技术企业名单的通知》（甬高企认领[2019]1号），子公司盛德医检所于2</w:t>
      </w:r>
      <w:r>
        <w:rPr>
          <w:rFonts w:eastAsiaTheme="minorEastAsia"/>
          <w:sz w:val="18"/>
          <w:szCs w:val="18"/>
        </w:rPr>
        <w:t>018年</w:t>
      </w:r>
      <w:r>
        <w:rPr>
          <w:rFonts w:hint="eastAsia" w:eastAsiaTheme="minorEastAsia"/>
          <w:sz w:val="18"/>
          <w:szCs w:val="18"/>
        </w:rPr>
        <w:t>1</w:t>
      </w:r>
      <w:r>
        <w:rPr>
          <w:rFonts w:eastAsiaTheme="minorEastAsia"/>
          <w:sz w:val="18"/>
          <w:szCs w:val="18"/>
        </w:rPr>
        <w:t>1月</w:t>
      </w:r>
      <w:r>
        <w:rPr>
          <w:rFonts w:hint="eastAsia" w:eastAsiaTheme="minorEastAsia"/>
          <w:sz w:val="18"/>
          <w:szCs w:val="18"/>
        </w:rPr>
        <w:t>被认定为高新技术企业，证书编号为</w:t>
      </w:r>
      <w:r>
        <w:rPr>
          <w:rFonts w:eastAsiaTheme="minorEastAsia"/>
          <w:sz w:val="18"/>
          <w:szCs w:val="18"/>
        </w:rPr>
        <w:t>GR201833100613</w:t>
      </w:r>
      <w:r>
        <w:rPr>
          <w:rFonts w:hint="eastAsia" w:eastAsiaTheme="minorEastAsia"/>
          <w:sz w:val="18"/>
          <w:szCs w:val="18"/>
        </w:rPr>
        <w:t>，认定有效期为3年。2019 年享受高新技术企业的所得税税率为 15%的税收优惠政策。</w:t>
      </w:r>
    </w:p>
    <w:p>
      <w:pPr>
        <w:pStyle w:val="28"/>
        <w:ind w:left="0" w:firstLine="360" w:firstLineChars="200"/>
        <w:rPr>
          <w:rFonts w:eastAsiaTheme="minorEastAsia"/>
          <w:sz w:val="18"/>
          <w:szCs w:val="18"/>
        </w:rPr>
      </w:pPr>
      <w:r>
        <w:rPr>
          <w:rFonts w:hint="eastAsia" w:eastAsiaTheme="minorEastAsia"/>
          <w:sz w:val="18"/>
          <w:szCs w:val="18"/>
        </w:rPr>
        <w:t>4、</w:t>
      </w:r>
      <w:r>
        <w:rPr>
          <w:rFonts w:eastAsiaTheme="minorEastAsia"/>
          <w:sz w:val="18"/>
          <w:szCs w:val="18"/>
        </w:rPr>
        <w:t>根据国家税务总局公告2015年第14号文《国家税务总局关于执行&lt;西部地区鼓励类产业目录&gt;有关企业所得税问题的公告》及重庆市渝中区发展和改革委员会批复的渝中发改鼓励类确认[2017]1号文《西部地区鼓励类产业项目确认书》，子公司重庆和盛</w:t>
      </w:r>
      <w:r>
        <w:rPr>
          <w:rFonts w:hint="eastAsia" w:eastAsiaTheme="minorEastAsia"/>
          <w:sz w:val="18"/>
          <w:szCs w:val="18"/>
        </w:rPr>
        <w:t>2</w:t>
      </w:r>
      <w:r>
        <w:rPr>
          <w:rFonts w:eastAsiaTheme="minorEastAsia"/>
          <w:sz w:val="18"/>
          <w:szCs w:val="18"/>
        </w:rPr>
        <w:t>019年</w:t>
      </w:r>
      <w:r>
        <w:rPr>
          <w:rFonts w:hint="eastAsia" w:eastAsiaTheme="minorEastAsia"/>
          <w:sz w:val="18"/>
          <w:szCs w:val="18"/>
        </w:rPr>
        <w:t>享受所得税税率为 15%的税收优惠政策。</w:t>
      </w:r>
    </w:p>
    <w:p>
      <w:pPr>
        <w:pStyle w:val="28"/>
        <w:ind w:left="0" w:firstLine="360" w:firstLineChars="200"/>
        <w:rPr>
          <w:rFonts w:eastAsiaTheme="minorEastAsia"/>
          <w:sz w:val="18"/>
          <w:szCs w:val="18"/>
        </w:rPr>
      </w:pPr>
      <w:r>
        <w:rPr>
          <w:rFonts w:eastAsiaTheme="minorEastAsia"/>
          <w:sz w:val="18"/>
          <w:szCs w:val="18"/>
        </w:rPr>
        <w:t>5</w:t>
      </w:r>
      <w:r>
        <w:rPr>
          <w:rFonts w:hint="eastAsia" w:eastAsiaTheme="minorEastAsia"/>
          <w:sz w:val="18"/>
          <w:szCs w:val="18"/>
        </w:rPr>
        <w:t>、根据财税[2016]36号《关于全面推开营业税改征增值税试点的通知》，子公司盛德医检所、永城医检所、南昌医检所、郑州医检所、杭州医检所、抚州医检所、康健医检所、衡阳医检所、新余医检所、深圳医检所、湖州医检所、聊城医检所、诸暨医检所、民权医检所、金华医检所、上饶医检所、赣州医检所提供医疗卫生服务产生的收入免征增值税、城建税及教育费附加。</w:t>
      </w:r>
    </w:p>
    <w:p>
      <w:pPr>
        <w:pStyle w:val="28"/>
        <w:ind w:left="0" w:firstLine="360" w:firstLineChars="200"/>
        <w:rPr>
          <w:rFonts w:eastAsiaTheme="minorEastAsia"/>
          <w:sz w:val="18"/>
          <w:szCs w:val="18"/>
        </w:rPr>
      </w:pPr>
      <w:r>
        <w:rPr>
          <w:rFonts w:eastAsiaTheme="minorEastAsia"/>
          <w:sz w:val="18"/>
          <w:szCs w:val="18"/>
        </w:rPr>
        <w:t>6</w:t>
      </w:r>
      <w:r>
        <w:rPr>
          <w:rFonts w:hint="eastAsia" w:eastAsiaTheme="minorEastAsia"/>
          <w:sz w:val="18"/>
          <w:szCs w:val="18"/>
        </w:rPr>
        <w:t>、根据财税〔2019〕13号《关于实施小微企业普惠性税收减免政策的通知》，子公司苏州京都属于小型微利企业，年应纳税所得额不超过100万元的部分，减按25%计入应纳税所得额，按</w:t>
      </w:r>
      <w:r>
        <w:rPr>
          <w:rFonts w:eastAsiaTheme="minorEastAsia"/>
          <w:sz w:val="18"/>
          <w:szCs w:val="18"/>
        </w:rPr>
        <w:t>5</w:t>
      </w:r>
      <w:r>
        <w:rPr>
          <w:rFonts w:hint="eastAsia" w:eastAsiaTheme="minorEastAsia"/>
          <w:sz w:val="18"/>
          <w:szCs w:val="18"/>
        </w:rPr>
        <w:t>%的税率缴纳企业所得税。</w:t>
      </w:r>
    </w:p>
    <w:p>
      <w:pPr>
        <w:pStyle w:val="28"/>
        <w:ind w:left="0" w:firstLine="360" w:firstLineChars="200"/>
        <w:rPr>
          <w:rFonts w:eastAsiaTheme="minorEastAsia"/>
          <w:sz w:val="18"/>
          <w:szCs w:val="18"/>
        </w:rPr>
      </w:pPr>
      <w:r>
        <w:rPr>
          <w:rFonts w:hint="eastAsia" w:eastAsiaTheme="minorEastAsia"/>
          <w:sz w:val="18"/>
          <w:szCs w:val="18"/>
        </w:rPr>
        <w:t>7、根据财税〔2019〕13号《关于实施小微企业普惠性税收减免政策的通知》，子公司内蒙古美康属于小型微利企业，年应纳税所得额不超过100万元的部分，减按25%计入应纳税所得额，按20%的税率缴纳企业所得税。另根据（内党发〔201</w:t>
      </w:r>
      <w:r>
        <w:rPr>
          <w:rFonts w:eastAsiaTheme="minorEastAsia"/>
          <w:sz w:val="18"/>
          <w:szCs w:val="18"/>
        </w:rPr>
        <w:t>8</w:t>
      </w:r>
      <w:r>
        <w:rPr>
          <w:rFonts w:hint="eastAsia" w:eastAsiaTheme="minorEastAsia"/>
          <w:sz w:val="18"/>
          <w:szCs w:val="18"/>
        </w:rPr>
        <w:t>〕2</w:t>
      </w:r>
      <w:r>
        <w:rPr>
          <w:rFonts w:eastAsiaTheme="minorEastAsia"/>
          <w:sz w:val="18"/>
          <w:szCs w:val="18"/>
        </w:rPr>
        <w:t>3号</w:t>
      </w:r>
      <w:r>
        <w:rPr>
          <w:rFonts w:hint="eastAsia" w:eastAsiaTheme="minorEastAsia"/>
          <w:sz w:val="18"/>
          <w:szCs w:val="18"/>
        </w:rPr>
        <w:t>）《内蒙古自治区党委 自治区人民政府印发的通知》，对于年应纳税所得额不超过100万元的小型微利企业，年应纳税所得额减按25%计入应纳税所得额，按</w:t>
      </w:r>
      <w:r>
        <w:rPr>
          <w:rFonts w:eastAsiaTheme="minorEastAsia"/>
          <w:sz w:val="18"/>
          <w:szCs w:val="18"/>
        </w:rPr>
        <w:t>5</w:t>
      </w:r>
      <w:r>
        <w:rPr>
          <w:rFonts w:hint="eastAsia" w:eastAsiaTheme="minorEastAsia"/>
          <w:sz w:val="18"/>
          <w:szCs w:val="18"/>
        </w:rPr>
        <w:t>%的税率缴纳企业所得税后，免征企业所得税地方分享部分（即4</w:t>
      </w:r>
      <w:r>
        <w:rPr>
          <w:rFonts w:eastAsiaTheme="minorEastAsia"/>
          <w:sz w:val="18"/>
          <w:szCs w:val="18"/>
        </w:rPr>
        <w:t>0</w:t>
      </w:r>
      <w:r>
        <w:rPr>
          <w:rFonts w:hint="eastAsia" w:eastAsiaTheme="minorEastAsia"/>
          <w:sz w:val="18"/>
          <w:szCs w:val="18"/>
        </w:rPr>
        <w:t>%</w:t>
      </w:r>
      <w:r>
        <w:rPr>
          <w:rFonts w:eastAsiaTheme="minorEastAsia"/>
          <w:sz w:val="18"/>
          <w:szCs w:val="18"/>
        </w:rPr>
        <w:t>部分</w:t>
      </w:r>
      <w:r>
        <w:rPr>
          <w:rFonts w:hint="eastAsia" w:eastAsiaTheme="minorEastAsia"/>
          <w:sz w:val="18"/>
          <w:szCs w:val="18"/>
        </w:rPr>
        <w:t xml:space="preserve">）。2019 年享受所得税税率为 </w:t>
      </w:r>
      <w:r>
        <w:rPr>
          <w:rFonts w:eastAsiaTheme="minorEastAsia"/>
          <w:sz w:val="18"/>
          <w:szCs w:val="18"/>
        </w:rPr>
        <w:t>3</w:t>
      </w:r>
      <w:r>
        <w:rPr>
          <w:rFonts w:hint="eastAsia" w:eastAsiaTheme="minorEastAsia"/>
          <w:sz w:val="18"/>
          <w:szCs w:val="18"/>
        </w:rPr>
        <w:t>%的税收优惠政策。</w:t>
      </w:r>
    </w:p>
    <w:p>
      <w:pPr>
        <w:pStyle w:val="28"/>
        <w:ind w:left="0" w:firstLine="360" w:firstLineChars="200"/>
        <w:rPr>
          <w:rFonts w:eastAsiaTheme="minorEastAsia"/>
          <w:sz w:val="18"/>
          <w:szCs w:val="18"/>
        </w:rPr>
      </w:pPr>
      <w:r>
        <w:rPr>
          <w:rFonts w:eastAsiaTheme="minorEastAsia"/>
          <w:sz w:val="18"/>
          <w:szCs w:val="18"/>
        </w:rPr>
        <w:t>8</w:t>
      </w:r>
      <w:r>
        <w:rPr>
          <w:rFonts w:hint="eastAsia" w:eastAsiaTheme="minorEastAsia"/>
          <w:sz w:val="18"/>
          <w:szCs w:val="18"/>
        </w:rPr>
        <w:t>、</w:t>
      </w:r>
      <w:r>
        <w:rPr>
          <w:rFonts w:eastAsiaTheme="minorEastAsia"/>
          <w:sz w:val="18"/>
          <w:szCs w:val="18"/>
        </w:rPr>
        <w:t>根据财政部、国家税务总局财税[2011]100号文《关于软件产品增值税政策的通知》和宁波市鄞州区国家税务局鄞国税函[2014]53号文《宁波市鄞州区国家税务局关于同意宁波盛德生物科技有限公司等3家单位具有享受软件产品增值税优惠政策资格的通知》的相关规定，子公司盛德科技销售自行开发生产的软件产品时对增值税实际税负超过3%的部分即征即退。</w:t>
      </w:r>
    </w:p>
    <w:p>
      <w:pPr>
        <w:autoSpaceDE w:val="0"/>
        <w:autoSpaceDN w:val="0"/>
        <w:adjustRightInd w:val="0"/>
        <w:spacing w:before="0" w:after="0"/>
        <w:ind w:firstLine="360" w:firstLineChars="200"/>
        <w:jc w:val="left"/>
        <w:rPr>
          <w:rFonts w:eastAsia="Times New Roman"/>
          <w:kern w:val="0"/>
          <w:lang w:val="zh-CN"/>
        </w:rPr>
      </w:pPr>
    </w:p>
    <w:p>
      <w:pPr>
        <w:pStyle w:val="14"/>
        <w:ind w:firstLine="361" w:firstLineChars="200"/>
        <w:outlineLvl w:val="2"/>
        <w:rPr>
          <w:bCs w:val="0"/>
          <w:sz w:val="18"/>
          <w:szCs w:val="18"/>
        </w:rPr>
      </w:pPr>
      <w:r>
        <w:rPr>
          <w:bCs w:val="0"/>
          <w:sz w:val="18"/>
          <w:szCs w:val="18"/>
        </w:rPr>
        <w:t>3</w:t>
      </w:r>
      <w:r>
        <w:rPr>
          <w:rFonts w:hint="eastAsia"/>
          <w:bCs w:val="0"/>
          <w:sz w:val="18"/>
          <w:szCs w:val="18"/>
        </w:rPr>
        <w:t>、其他</w:t>
      </w:r>
    </w:p>
    <w:p>
      <w:pPr>
        <w:autoSpaceDE w:val="0"/>
        <w:autoSpaceDN w:val="0"/>
        <w:adjustRightInd w:val="0"/>
        <w:spacing w:before="0" w:after="0"/>
        <w:ind w:firstLine="360" w:firstLineChars="200"/>
        <w:rPr>
          <w:rFonts w:ascii="宋体" w:hAnsi="宋体" w:cs="宋体"/>
          <w:kern w:val="0"/>
          <w:lang w:val="zh-CN"/>
        </w:rPr>
      </w:pPr>
      <w:r>
        <w:rPr>
          <w:rFonts w:hint="eastAsia" w:ascii="宋体" w:hAnsi="宋体" w:cs="宋体"/>
          <w:kern w:val="0"/>
          <w:lang w:val="zh-CN"/>
        </w:rPr>
        <w:t>公司及其他子公司企业所得税法定税率为25%。其中，母公司、子公司盛德医检所、子公司盛德科技为高新技术企业，2019年度实际执行的企业所得税税率为15%；子公司重庆和盛医疗器械有限公司符合西部地区鼓励类产业政策的规定，2019年度实际执行的企业所得税税率为15%；子公司苏州京都符合小微企业的规定，2019年度实际执行的企业所得税税率为5%；子公司内蒙古美康符合小微企业及内蒙古自治区税收优惠，2019年度实际执行的企业所得税税率为3%。</w:t>
      </w:r>
    </w:p>
    <w:p>
      <w:pPr>
        <w:autoSpaceDE w:val="0"/>
        <w:autoSpaceDN w:val="0"/>
        <w:adjustRightInd w:val="0"/>
        <w:spacing w:before="0" w:after="0"/>
        <w:ind w:firstLine="360" w:firstLineChars="200"/>
        <w:rPr>
          <w:rFonts w:ascii="宋体" w:hAnsi="宋体" w:cs="宋体"/>
          <w:kern w:val="0"/>
          <w:lang w:val="zh-CN"/>
        </w:rPr>
      </w:pPr>
      <w:r>
        <w:rPr>
          <w:rFonts w:hint="eastAsia" w:ascii="宋体" w:hAnsi="宋体" w:cs="宋体"/>
          <w:kern w:val="0"/>
          <w:lang w:val="zh-CN"/>
        </w:rPr>
        <w:t>子公司圣地亚哥美康和伯明翰美康本期经营地为美国加利福尼亚州，其企业所得税由美国联邦所得税和州所得税构成，其中，联邦企业所得税法定税率为15-3921%的超额累进税率，加利福尼亚州企业所得税法定税率为8.84%。</w:t>
      </w:r>
    </w:p>
    <w:p>
      <w:pPr>
        <w:autoSpaceDE w:val="0"/>
        <w:autoSpaceDN w:val="0"/>
        <w:adjustRightInd w:val="0"/>
        <w:spacing w:before="0" w:after="0"/>
        <w:ind w:firstLine="360" w:firstLineChars="200"/>
        <w:rPr>
          <w:rFonts w:eastAsiaTheme="minorEastAsia"/>
          <w:kern w:val="0"/>
        </w:rPr>
      </w:pPr>
      <w:r>
        <w:rPr>
          <w:rFonts w:hint="eastAsia" w:ascii="宋体" w:hAnsi="宋体" w:cs="宋体"/>
          <w:kern w:val="0"/>
          <w:lang w:val="zh-CN"/>
        </w:rPr>
        <w:t>子公司香港美康设立地为中国香港，中国香港企业所得税法定税率为16.50%。</w:t>
      </w:r>
    </w:p>
    <w:p>
      <w:pPr>
        <w:pStyle w:val="13"/>
        <w:outlineLvl w:val="1"/>
        <w:rPr>
          <w:bCs w:val="0"/>
        </w:rPr>
      </w:pPr>
      <w:r>
        <w:rPr>
          <w:rFonts w:hint="eastAsia"/>
          <w:bCs w:val="0"/>
        </w:rPr>
        <w:t>七、合并财务报表项目注释</w:t>
      </w:r>
    </w:p>
    <w:p>
      <w:pPr>
        <w:pStyle w:val="14"/>
        <w:outlineLvl w:val="2"/>
        <w:rPr>
          <w:bCs w:val="0"/>
          <w:szCs w:val="24"/>
        </w:rPr>
      </w:pPr>
      <w:r>
        <w:rPr>
          <w:bCs w:val="0"/>
          <w:szCs w:val="24"/>
        </w:rPr>
        <w:t>1</w:t>
      </w:r>
      <w:r>
        <w:rPr>
          <w:rFonts w:hint="eastAsia"/>
          <w:bCs w:val="0"/>
          <w:szCs w:val="24"/>
        </w:rPr>
        <w:t>、货币资金</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库存现金</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17,953.30</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57,959.70</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银行存款</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436,567,485.89</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417,230,681.03</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436,585,439.19</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417,288,640.73</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其中：存放在境外的款项总额</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3,702,717.59</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9,512,953.27</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因抵押、质押或冻结等对使用有限制的款项总额</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1,769,227.80</w:t>
            </w:r>
          </w:p>
        </w:tc>
      </w:tr>
    </w:tbl>
    <w:p>
      <w:pPr>
        <w:jc w:val="left"/>
        <w:rPr>
          <w:szCs w:val="24"/>
        </w:rPr>
      </w:pPr>
      <w:r>
        <w:rPr>
          <w:rFonts w:hint="eastAsia"/>
          <w:szCs w:val="24"/>
        </w:rPr>
        <w:t>其他说明</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其中因抵押、质押或冻结等对使用有限制，以及放在境外且资金汇回受到限制的货币资金明细如下：</w:t>
      </w:r>
    </w:p>
    <w:p>
      <w:pPr>
        <w:autoSpaceDE w:val="0"/>
        <w:autoSpaceDN w:val="0"/>
        <w:adjustRightInd w:val="0"/>
        <w:spacing w:before="0" w:after="0"/>
        <w:ind w:left="714"/>
        <w:rPr>
          <w:rFonts w:eastAsia="Times New Roman"/>
          <w:kern w:val="0"/>
          <w:sz w:val="21"/>
          <w:szCs w:val="24"/>
          <w:lang w:val="zh-CN"/>
        </w:rPr>
      </w:pPr>
    </w:p>
    <w:tbl>
      <w:tblPr>
        <w:tblStyle w:val="9"/>
        <w:tblW w:w="0" w:type="auto"/>
        <w:tblInd w:w="6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 w:type="dxa"/>
          <w:left w:w="10" w:type="dxa"/>
          <w:bottom w:w="10" w:type="dxa"/>
          <w:right w:w="10" w:type="dxa"/>
        </w:tblCellMar>
      </w:tblPr>
      <w:tblGrid>
        <w:gridCol w:w="3337"/>
        <w:gridCol w:w="2238"/>
        <w:gridCol w:w="2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37" w:type="dxa"/>
          </w:tcPr>
          <w:p>
            <w:pPr>
              <w:autoSpaceDE w:val="0"/>
              <w:autoSpaceDN w:val="0"/>
              <w:adjustRightInd w:val="0"/>
              <w:spacing w:before="0" w:after="0"/>
              <w:jc w:val="center"/>
              <w:rPr>
                <w:rFonts w:eastAsia="Times New Roman"/>
                <w:kern w:val="0"/>
                <w:lang w:val="zh-CN"/>
              </w:rPr>
            </w:pPr>
            <w:r>
              <w:rPr>
                <w:rFonts w:hint="eastAsia" w:ascii="宋体" w:hAnsi="宋体" w:cs="宋体"/>
                <w:kern w:val="0"/>
                <w:lang w:val="zh-CN"/>
              </w:rPr>
              <w:t>项目</w:t>
            </w:r>
          </w:p>
        </w:tc>
        <w:tc>
          <w:tcPr>
            <w:tcW w:w="2238" w:type="dxa"/>
          </w:tcPr>
          <w:p>
            <w:pPr>
              <w:autoSpaceDE w:val="0"/>
              <w:autoSpaceDN w:val="0"/>
              <w:adjustRightInd w:val="0"/>
              <w:spacing w:before="0" w:after="0"/>
              <w:jc w:val="center"/>
              <w:rPr>
                <w:rFonts w:eastAsia="Times New Roman"/>
                <w:kern w:val="0"/>
                <w:lang w:val="zh-CN"/>
              </w:rPr>
            </w:pPr>
            <w:r>
              <w:rPr>
                <w:rFonts w:hint="eastAsia" w:ascii="宋体" w:hAnsi="宋体" w:cs="宋体"/>
                <w:kern w:val="0"/>
                <w:lang w:val="zh-CN"/>
              </w:rPr>
              <w:t>期末余额</w:t>
            </w:r>
          </w:p>
        </w:tc>
        <w:tc>
          <w:tcPr>
            <w:tcW w:w="2238" w:type="dxa"/>
          </w:tcPr>
          <w:p>
            <w:pPr>
              <w:autoSpaceDE w:val="0"/>
              <w:autoSpaceDN w:val="0"/>
              <w:adjustRightInd w:val="0"/>
              <w:spacing w:before="0" w:after="0"/>
              <w:jc w:val="center"/>
              <w:rPr>
                <w:rFonts w:eastAsia="Times New Roman"/>
                <w:kern w:val="0"/>
                <w:lang w:val="zh-CN"/>
              </w:rPr>
            </w:pPr>
            <w:r>
              <w:rPr>
                <w:rFonts w:hint="eastAsia" w:ascii="宋体" w:hAnsi="宋体" w:cs="宋体"/>
                <w:kern w:val="0"/>
                <w:lang w:val="zh-CN"/>
              </w:rPr>
              <w:t>上年年末余额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3337" w:type="dxa"/>
          </w:tcPr>
          <w:p>
            <w:pPr>
              <w:autoSpaceDE w:val="0"/>
              <w:autoSpaceDN w:val="0"/>
              <w:adjustRightInd w:val="0"/>
              <w:spacing w:before="0" w:after="0"/>
              <w:jc w:val="left"/>
              <w:rPr>
                <w:rFonts w:eastAsia="Times New Roman"/>
                <w:kern w:val="0"/>
                <w:lang w:val="zh-CN"/>
              </w:rPr>
            </w:pPr>
            <w:r>
              <w:rPr>
                <w:rFonts w:hint="eastAsia" w:ascii="宋体" w:hAnsi="宋体" w:cs="宋体"/>
                <w:kern w:val="0"/>
                <w:lang w:val="zh-CN"/>
              </w:rPr>
              <w:t>法院冻结资金</w:t>
            </w:r>
          </w:p>
        </w:tc>
        <w:tc>
          <w:tcPr>
            <w:tcW w:w="2238" w:type="dxa"/>
          </w:tcPr>
          <w:p>
            <w:pPr>
              <w:autoSpaceDE w:val="0"/>
              <w:autoSpaceDN w:val="0"/>
              <w:adjustRightInd w:val="0"/>
              <w:spacing w:before="0" w:after="0"/>
              <w:jc w:val="right"/>
              <w:rPr>
                <w:rFonts w:eastAsia="Times New Roman"/>
                <w:kern w:val="0"/>
                <w:lang w:val="zh-CN"/>
              </w:rPr>
            </w:pPr>
          </w:p>
        </w:tc>
        <w:tc>
          <w:tcPr>
            <w:tcW w:w="2238" w:type="dxa"/>
          </w:tcPr>
          <w:p>
            <w:pPr>
              <w:autoSpaceDE w:val="0"/>
              <w:autoSpaceDN w:val="0"/>
              <w:adjustRightInd w:val="0"/>
              <w:spacing w:before="0" w:after="0"/>
              <w:jc w:val="right"/>
              <w:rPr>
                <w:rFonts w:eastAsia="Times New Roman"/>
                <w:kern w:val="0"/>
                <w:lang w:val="zh-CN"/>
              </w:rPr>
            </w:pPr>
            <w:r>
              <w:rPr>
                <w:rFonts w:eastAsia="Times New Roman"/>
                <w:kern w:val="0"/>
                <w:lang w:val="zh-CN"/>
              </w:rPr>
              <w:t>1,769,227.80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3337" w:type="dxa"/>
          </w:tcPr>
          <w:p>
            <w:pPr>
              <w:autoSpaceDE w:val="0"/>
              <w:autoSpaceDN w:val="0"/>
              <w:adjustRightInd w:val="0"/>
              <w:spacing w:before="0" w:after="0"/>
              <w:jc w:val="center"/>
              <w:rPr>
                <w:rFonts w:eastAsia="Times New Roman"/>
                <w:kern w:val="0"/>
                <w:lang w:val="zh-CN"/>
              </w:rPr>
            </w:pPr>
            <w:r>
              <w:rPr>
                <w:rFonts w:hint="eastAsia" w:ascii="宋体" w:hAnsi="宋体" w:cs="宋体"/>
                <w:kern w:val="0"/>
                <w:lang w:val="zh-CN"/>
              </w:rPr>
              <w:t>合计</w:t>
            </w:r>
          </w:p>
        </w:tc>
        <w:tc>
          <w:tcPr>
            <w:tcW w:w="2238" w:type="dxa"/>
          </w:tcPr>
          <w:p>
            <w:pPr>
              <w:autoSpaceDE w:val="0"/>
              <w:autoSpaceDN w:val="0"/>
              <w:adjustRightInd w:val="0"/>
              <w:spacing w:before="0" w:after="0"/>
              <w:jc w:val="right"/>
              <w:rPr>
                <w:rFonts w:eastAsia="Times New Roman"/>
                <w:kern w:val="0"/>
                <w:lang w:val="zh-CN"/>
              </w:rPr>
            </w:pPr>
          </w:p>
        </w:tc>
        <w:tc>
          <w:tcPr>
            <w:tcW w:w="2238" w:type="dxa"/>
          </w:tcPr>
          <w:p>
            <w:pPr>
              <w:autoSpaceDE w:val="0"/>
              <w:autoSpaceDN w:val="0"/>
              <w:adjustRightInd w:val="0"/>
              <w:spacing w:before="0" w:after="0"/>
              <w:jc w:val="right"/>
              <w:rPr>
                <w:rFonts w:eastAsia="Times New Roman"/>
                <w:kern w:val="0"/>
                <w:lang w:val="zh-CN"/>
              </w:rPr>
            </w:pPr>
            <w:r>
              <w:rPr>
                <w:rFonts w:eastAsia="Times New Roman"/>
                <w:kern w:val="0"/>
                <w:lang w:val="zh-CN"/>
              </w:rPr>
              <w:t>1,769,227.80</w:t>
            </w:r>
          </w:p>
        </w:tc>
      </w:tr>
    </w:tbl>
    <w:p>
      <w:pPr>
        <w:autoSpaceDE w:val="0"/>
        <w:autoSpaceDN w:val="0"/>
        <w:adjustRightInd w:val="0"/>
        <w:spacing w:before="0" w:after="0"/>
        <w:jc w:val="left"/>
        <w:rPr>
          <w:rFonts w:eastAsia="Times New Roman"/>
          <w:kern w:val="0"/>
          <w:sz w:val="21"/>
          <w:szCs w:val="24"/>
          <w:lang w:val="zh-CN"/>
        </w:rPr>
      </w:pPr>
    </w:p>
    <w:p>
      <w:pPr>
        <w:pStyle w:val="14"/>
        <w:outlineLvl w:val="2"/>
        <w:rPr>
          <w:bCs w:val="0"/>
          <w:szCs w:val="24"/>
        </w:rPr>
      </w:pPr>
      <w:r>
        <w:rPr>
          <w:bCs w:val="0"/>
          <w:szCs w:val="24"/>
        </w:rPr>
        <w:t>2</w:t>
      </w:r>
      <w:r>
        <w:rPr>
          <w:rFonts w:hint="eastAsia"/>
          <w:bCs w:val="0"/>
          <w:szCs w:val="24"/>
        </w:rPr>
        <w:t>、交易性金融资产</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bl>
    <w:p>
      <w:pPr>
        <w:pStyle w:val="14"/>
        <w:outlineLvl w:val="2"/>
        <w:rPr>
          <w:bCs w:val="0"/>
          <w:szCs w:val="24"/>
        </w:rPr>
      </w:pPr>
      <w:r>
        <w:rPr>
          <w:bCs w:val="0"/>
          <w:szCs w:val="24"/>
        </w:rPr>
        <w:t>3</w:t>
      </w:r>
      <w:r>
        <w:rPr>
          <w:rFonts w:hint="eastAsia"/>
          <w:bCs w:val="0"/>
          <w:szCs w:val="24"/>
        </w:rPr>
        <w:t>、衍生金融资产</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pStyle w:val="14"/>
        <w:outlineLvl w:val="2"/>
        <w:rPr>
          <w:bCs w:val="0"/>
          <w:szCs w:val="24"/>
        </w:rPr>
      </w:pPr>
      <w:r>
        <w:rPr>
          <w:bCs w:val="0"/>
          <w:szCs w:val="24"/>
        </w:rPr>
        <w:t>4</w:t>
      </w:r>
      <w:r>
        <w:rPr>
          <w:rFonts w:hint="eastAsia"/>
          <w:bCs w:val="0"/>
          <w:szCs w:val="24"/>
        </w:rPr>
        <w:t>、应收票据</w:t>
      </w:r>
    </w:p>
    <w:p>
      <w:pPr>
        <w:pStyle w:val="14"/>
        <w:outlineLvl w:val="3"/>
        <w:rPr>
          <w:bCs w:val="0"/>
          <w:szCs w:val="24"/>
        </w:rPr>
      </w:pPr>
      <w:r>
        <w:rPr>
          <w:rFonts w:hint="eastAsia"/>
          <w:bCs w:val="0"/>
          <w:szCs w:val="24"/>
        </w:rPr>
        <w:t>（</w:t>
      </w:r>
      <w:r>
        <w:rPr>
          <w:bCs w:val="0"/>
          <w:szCs w:val="24"/>
        </w:rPr>
        <w:t>1</w:t>
      </w:r>
      <w:r>
        <w:rPr>
          <w:rFonts w:hint="eastAsia"/>
          <w:bCs w:val="0"/>
          <w:szCs w:val="24"/>
        </w:rPr>
        <w:t>）应收票据分类列示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银行承兑票据</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1,932,764.60</w:t>
            </w:r>
          </w:p>
        </w:tc>
      </w:tr>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商业承兑票据</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475,000.00</w:t>
            </w:r>
          </w:p>
        </w:tc>
      </w:tr>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2,407,764.60</w:t>
            </w:r>
          </w:p>
        </w:tc>
      </w:tr>
    </w:tbl>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635"/>
        <w:gridCol w:w="763"/>
        <w:gridCol w:w="762"/>
        <w:gridCol w:w="762"/>
        <w:gridCol w:w="763"/>
        <w:gridCol w:w="789"/>
        <w:gridCol w:w="776"/>
        <w:gridCol w:w="797"/>
        <w:gridCol w:w="930"/>
        <w:gridCol w:w="798"/>
        <w:gridCol w:w="792"/>
      </w:tblGrid>
      <w:tr>
        <w:tc>
          <w:tcPr>
            <w:tcW w:w="1635"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类别</w:t>
            </w:r>
          </w:p>
        </w:tc>
        <w:tc>
          <w:tcPr>
            <w:tcW w:w="3839" w:type="dxa"/>
            <w:gridSpan w:val="5"/>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4093" w:type="dxa"/>
            <w:gridSpan w:val="5"/>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163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525"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525"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789"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573"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72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79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r>
      <w:tr>
        <w:tc>
          <w:tcPr>
            <w:tcW w:w="163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比例</w:t>
            </w: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计提比例</w:t>
            </w:r>
          </w:p>
        </w:tc>
        <w:tc>
          <w:tcPr>
            <w:tcW w:w="789"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7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比例</w:t>
            </w:r>
          </w:p>
        </w:tc>
        <w:tc>
          <w:tcPr>
            <w:tcW w:w="93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计提比例</w:t>
            </w:r>
          </w:p>
        </w:tc>
        <w:tc>
          <w:tcPr>
            <w:tcW w:w="79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c>
          <w:tcPr>
            <w:tcW w:w="16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w:t>
            </w: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7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c>
          <w:tcPr>
            <w:tcW w:w="16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w:t>
            </w: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7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93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bl>
    <w:p>
      <w:pPr>
        <w:jc w:val="left"/>
        <w:rPr>
          <w:szCs w:val="24"/>
        </w:rPr>
      </w:pPr>
      <w:r>
        <w:rPr>
          <w:rFonts w:hint="eastAsia"/>
          <w:szCs w:val="24"/>
        </w:rPr>
        <w:t>按单项计提坏账准备：</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3"/>
        <w:gridCol w:w="1915"/>
        <w:gridCol w:w="1914"/>
        <w:gridCol w:w="1914"/>
        <w:gridCol w:w="1914"/>
      </w:tblGrid>
      <w:tr>
        <w:tblPrEx>
          <w:tblCellMar>
            <w:top w:w="0" w:type="dxa"/>
            <w:left w:w="28" w:type="dxa"/>
            <w:bottom w:w="0" w:type="dxa"/>
            <w:right w:w="28" w:type="dxa"/>
          </w:tblCellMar>
        </w:tblPrEx>
        <w:tc>
          <w:tcPr>
            <w:tcW w:w="191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名称</w:t>
            </w:r>
          </w:p>
        </w:tc>
        <w:tc>
          <w:tcPr>
            <w:tcW w:w="7657"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191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计提比例</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计提理由</w:t>
            </w:r>
          </w:p>
        </w:tc>
      </w:tr>
    </w:tbl>
    <w:p>
      <w:pPr>
        <w:jc w:val="left"/>
        <w:rPr>
          <w:szCs w:val="24"/>
        </w:rPr>
      </w:pPr>
      <w:r>
        <w:rPr>
          <w:rFonts w:hint="eastAsia"/>
          <w:szCs w:val="24"/>
        </w:rPr>
        <w:t>按组合计提坏账准备：</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92"/>
        <w:gridCol w:w="2392"/>
        <w:gridCol w:w="2392"/>
        <w:gridCol w:w="2392"/>
      </w:tblGrid>
      <w:tr>
        <w:tblPrEx>
          <w:tblCellMar>
            <w:top w:w="0" w:type="dxa"/>
            <w:left w:w="28" w:type="dxa"/>
            <w:bottom w:w="0" w:type="dxa"/>
            <w:right w:w="28" w:type="dxa"/>
          </w:tblCellMar>
        </w:tblPrEx>
        <w:tc>
          <w:tcPr>
            <w:tcW w:w="239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名称</w:t>
            </w:r>
          </w:p>
        </w:tc>
        <w:tc>
          <w:tcPr>
            <w:tcW w:w="7176"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239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计提比例</w:t>
            </w:r>
          </w:p>
        </w:tc>
      </w:tr>
    </w:tbl>
    <w:p>
      <w:pPr>
        <w:jc w:val="left"/>
        <w:rPr>
          <w:szCs w:val="24"/>
        </w:rPr>
      </w:pPr>
      <w:r>
        <w:rPr>
          <w:rFonts w:hint="eastAsia"/>
          <w:szCs w:val="24"/>
        </w:rPr>
        <w:t>确定该组合依据的说明：</w:t>
      </w:r>
    </w:p>
    <w:p>
      <w:pPr>
        <w:jc w:val="left"/>
        <w:rPr>
          <w:szCs w:val="24"/>
        </w:rPr>
      </w:pPr>
      <w:r>
        <w:rPr>
          <w:rFonts w:hint="eastAsia"/>
          <w:szCs w:val="24"/>
        </w:rPr>
        <w:t>如是按照预期信用损失一般模型计提应收票据坏账准备，请参照其他应收款的披露方式披露坏账准备的相关信息：</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3"/>
        <w:rPr>
          <w:bCs w:val="0"/>
          <w:szCs w:val="24"/>
        </w:rPr>
      </w:pPr>
      <w:r>
        <w:rPr>
          <w:rFonts w:hint="eastAsia"/>
          <w:bCs w:val="0"/>
          <w:szCs w:val="24"/>
        </w:rPr>
        <w:t>（</w:t>
      </w:r>
      <w:r>
        <w:rPr>
          <w:bCs w:val="0"/>
          <w:szCs w:val="24"/>
        </w:rPr>
        <w:t>2</w:t>
      </w:r>
      <w:r>
        <w:rPr>
          <w:rFonts w:hint="eastAsia"/>
          <w:bCs w:val="0"/>
          <w:szCs w:val="24"/>
        </w:rPr>
        <w:t>）本期计提、收回或转回的坏账准备情况</w:t>
      </w:r>
    </w:p>
    <w:p>
      <w:pPr>
        <w:jc w:val="left"/>
        <w:rPr>
          <w:szCs w:val="24"/>
        </w:rPr>
      </w:pPr>
      <w:r>
        <w:rPr>
          <w:rFonts w:hint="eastAsia"/>
          <w:szCs w:val="24"/>
        </w:rPr>
        <w:t>本期计提坏账准备情况：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369"/>
        <w:gridCol w:w="1367"/>
        <w:gridCol w:w="1367"/>
        <w:gridCol w:w="1367"/>
        <w:gridCol w:w="1367"/>
        <w:gridCol w:w="1367"/>
        <w:gridCol w:w="1367"/>
      </w:tblGrid>
      <w:tr>
        <w:tblPrEx>
          <w:tblCellMar>
            <w:top w:w="0" w:type="dxa"/>
            <w:left w:w="28" w:type="dxa"/>
            <w:bottom w:w="0" w:type="dxa"/>
            <w:right w:w="28" w:type="dxa"/>
          </w:tblCellMar>
        </w:tblPrEx>
        <w:tc>
          <w:tcPr>
            <w:tcW w:w="1369"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类别</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5468"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本期变动金额</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1369"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收回或转回</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bl>
    <w:p>
      <w:pPr>
        <w:jc w:val="left"/>
        <w:rPr>
          <w:szCs w:val="24"/>
        </w:rPr>
      </w:pPr>
      <w:r>
        <w:rPr>
          <w:rFonts w:hint="eastAsia"/>
          <w:szCs w:val="24"/>
        </w:rPr>
        <w:t>其中本期坏账准备收回或转回金额重要的：</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3"/>
        <w:rPr>
          <w:bCs w:val="0"/>
          <w:szCs w:val="24"/>
        </w:rPr>
      </w:pPr>
      <w:r>
        <w:rPr>
          <w:rFonts w:hint="eastAsia"/>
          <w:bCs w:val="0"/>
          <w:szCs w:val="24"/>
        </w:rPr>
        <w:t>（</w:t>
      </w:r>
      <w:r>
        <w:rPr>
          <w:bCs w:val="0"/>
          <w:szCs w:val="24"/>
        </w:rPr>
        <w:t>3</w:t>
      </w:r>
      <w:r>
        <w:rPr>
          <w:rFonts w:hint="eastAsia"/>
          <w:bCs w:val="0"/>
          <w:szCs w:val="24"/>
        </w:rPr>
        <w:t>）期末公司已质押的应收票据</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84"/>
        <w:gridCol w:w="4784"/>
      </w:tblGrid>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期末已质押金额</w:t>
            </w:r>
          </w:p>
        </w:tc>
      </w:tr>
    </w:tbl>
    <w:p>
      <w:pPr>
        <w:pStyle w:val="14"/>
        <w:outlineLvl w:val="3"/>
        <w:rPr>
          <w:bCs w:val="0"/>
          <w:szCs w:val="24"/>
        </w:rPr>
      </w:pPr>
      <w:r>
        <w:rPr>
          <w:rFonts w:hint="eastAsia"/>
          <w:bCs w:val="0"/>
          <w:szCs w:val="24"/>
        </w:rPr>
        <w:t>（</w:t>
      </w:r>
      <w:r>
        <w:rPr>
          <w:bCs w:val="0"/>
          <w:szCs w:val="24"/>
        </w:rPr>
        <w:t>4</w:t>
      </w:r>
      <w:r>
        <w:rPr>
          <w:rFonts w:hint="eastAsia"/>
          <w:bCs w:val="0"/>
          <w:szCs w:val="24"/>
        </w:rPr>
        <w:t>）期末公司已背书或贴现且在资产负债表日尚未到期的应收票据</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期末终止确认金额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期末未终止确认金额</w:t>
            </w:r>
          </w:p>
        </w:tc>
      </w:tr>
    </w:tbl>
    <w:p>
      <w:pPr>
        <w:pStyle w:val="14"/>
        <w:outlineLvl w:val="3"/>
        <w:rPr>
          <w:bCs w:val="0"/>
          <w:szCs w:val="24"/>
        </w:rPr>
      </w:pPr>
      <w:r>
        <w:rPr>
          <w:rFonts w:hint="eastAsia"/>
          <w:bCs w:val="0"/>
          <w:szCs w:val="24"/>
        </w:rPr>
        <w:t>（</w:t>
      </w:r>
      <w:r>
        <w:rPr>
          <w:bCs w:val="0"/>
          <w:szCs w:val="24"/>
        </w:rPr>
        <w:t>5</w:t>
      </w:r>
      <w:r>
        <w:rPr>
          <w:rFonts w:hint="eastAsia"/>
          <w:bCs w:val="0"/>
          <w:szCs w:val="24"/>
        </w:rPr>
        <w:t>）期末公司因出票人未履约而将其转应收账款的票据</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84"/>
        <w:gridCol w:w="4784"/>
      </w:tblGrid>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期末转应收账款金额</w:t>
            </w:r>
          </w:p>
        </w:tc>
      </w:tr>
    </w:tbl>
    <w:p>
      <w:pPr>
        <w:jc w:val="left"/>
        <w:rPr>
          <w:szCs w:val="24"/>
        </w:rPr>
      </w:pPr>
      <w:r>
        <w:rPr>
          <w:rFonts w:hint="eastAsia"/>
          <w:szCs w:val="24"/>
        </w:rPr>
        <w:t>其他说明</w:t>
      </w:r>
    </w:p>
    <w:p>
      <w:pPr>
        <w:pStyle w:val="14"/>
        <w:outlineLvl w:val="3"/>
        <w:rPr>
          <w:bCs w:val="0"/>
          <w:szCs w:val="24"/>
        </w:rPr>
      </w:pPr>
      <w:r>
        <w:rPr>
          <w:rFonts w:hint="eastAsia"/>
          <w:bCs w:val="0"/>
          <w:szCs w:val="24"/>
        </w:rPr>
        <w:t>（</w:t>
      </w:r>
      <w:r>
        <w:rPr>
          <w:bCs w:val="0"/>
          <w:szCs w:val="24"/>
        </w:rPr>
        <w:t>6</w:t>
      </w:r>
      <w:r>
        <w:rPr>
          <w:rFonts w:hint="eastAsia"/>
          <w:bCs w:val="0"/>
          <w:szCs w:val="24"/>
        </w:rPr>
        <w:t>）本期实际核销的应收票据情况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84"/>
        <w:gridCol w:w="4784"/>
      </w:tblGrid>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核销金额</w:t>
            </w:r>
          </w:p>
        </w:tc>
      </w:tr>
    </w:tbl>
    <w:p>
      <w:pPr>
        <w:jc w:val="left"/>
        <w:rPr>
          <w:szCs w:val="24"/>
        </w:rPr>
      </w:pPr>
      <w:r>
        <w:rPr>
          <w:rFonts w:hint="eastAsia"/>
          <w:szCs w:val="24"/>
        </w:rPr>
        <w:t>其中重要的应收票据核销情况：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596"/>
        <w:gridCol w:w="1594"/>
        <w:gridCol w:w="1594"/>
        <w:gridCol w:w="1594"/>
        <w:gridCol w:w="1594"/>
        <w:gridCol w:w="1594"/>
      </w:tblGrid>
      <w:tr>
        <w:tblPrEx>
          <w:tblCellMar>
            <w:top w:w="0" w:type="dxa"/>
            <w:left w:w="28" w:type="dxa"/>
            <w:bottom w:w="0" w:type="dxa"/>
            <w:right w:w="28" w:type="dxa"/>
          </w:tblCellMar>
        </w:tblPrEx>
        <w:tc>
          <w:tcPr>
            <w:tcW w:w="15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单位名称</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应收票据性质</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核销金额</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核销原因</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履行的核销程序</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款项是否由关联交易产生</w:t>
            </w:r>
          </w:p>
        </w:tc>
      </w:tr>
    </w:tbl>
    <w:p>
      <w:pPr>
        <w:jc w:val="left"/>
        <w:rPr>
          <w:szCs w:val="24"/>
        </w:rPr>
      </w:pPr>
      <w:r>
        <w:rPr>
          <w:rFonts w:hint="eastAsia"/>
          <w:szCs w:val="24"/>
        </w:rPr>
        <w:t>应收票据核销说明：</w:t>
      </w:r>
    </w:p>
    <w:p>
      <w:pPr>
        <w:pStyle w:val="14"/>
        <w:outlineLvl w:val="2"/>
        <w:rPr>
          <w:bCs w:val="0"/>
          <w:szCs w:val="24"/>
        </w:rPr>
      </w:pPr>
      <w:r>
        <w:rPr>
          <w:bCs w:val="0"/>
          <w:szCs w:val="24"/>
        </w:rPr>
        <w:t>5</w:t>
      </w:r>
      <w:r>
        <w:rPr>
          <w:rFonts w:hint="eastAsia"/>
          <w:bCs w:val="0"/>
          <w:szCs w:val="24"/>
        </w:rPr>
        <w:t>、应收账款</w:t>
      </w:r>
    </w:p>
    <w:p>
      <w:pPr>
        <w:pStyle w:val="14"/>
        <w:outlineLvl w:val="3"/>
        <w:rPr>
          <w:bCs w:val="0"/>
          <w:szCs w:val="24"/>
        </w:rPr>
      </w:pPr>
      <w:r>
        <w:rPr>
          <w:rFonts w:hint="eastAsia"/>
          <w:bCs w:val="0"/>
          <w:szCs w:val="24"/>
        </w:rPr>
        <w:t>（</w:t>
      </w:r>
      <w:r>
        <w:rPr>
          <w:bCs w:val="0"/>
          <w:szCs w:val="24"/>
        </w:rPr>
        <w:t>1</w:t>
      </w:r>
      <w:r>
        <w:rPr>
          <w:rFonts w:hint="eastAsia"/>
          <w:bCs w:val="0"/>
          <w:szCs w:val="24"/>
        </w:rPr>
        <w:t>）应收账款分类披露</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635"/>
        <w:gridCol w:w="763"/>
        <w:gridCol w:w="762"/>
        <w:gridCol w:w="762"/>
        <w:gridCol w:w="763"/>
        <w:gridCol w:w="789"/>
        <w:gridCol w:w="776"/>
        <w:gridCol w:w="797"/>
        <w:gridCol w:w="798"/>
        <w:gridCol w:w="790"/>
        <w:gridCol w:w="932"/>
      </w:tblGrid>
      <w:tr>
        <w:tblPrEx>
          <w:tblCellMar>
            <w:top w:w="0" w:type="dxa"/>
            <w:left w:w="28" w:type="dxa"/>
            <w:bottom w:w="0" w:type="dxa"/>
            <w:right w:w="28" w:type="dxa"/>
          </w:tblCellMar>
        </w:tblPrEx>
        <w:tc>
          <w:tcPr>
            <w:tcW w:w="1635"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类别</w:t>
            </w:r>
          </w:p>
        </w:tc>
        <w:tc>
          <w:tcPr>
            <w:tcW w:w="3839" w:type="dxa"/>
            <w:gridSpan w:val="5"/>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4093" w:type="dxa"/>
            <w:gridSpan w:val="5"/>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163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525"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525"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789"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573"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58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r>
      <w:tr>
        <w:tblPrEx>
          <w:tblCellMar>
            <w:top w:w="0" w:type="dxa"/>
            <w:left w:w="28" w:type="dxa"/>
            <w:bottom w:w="0" w:type="dxa"/>
            <w:right w:w="28" w:type="dxa"/>
          </w:tblCellMar>
        </w:tblPrEx>
        <w:tc>
          <w:tcPr>
            <w:tcW w:w="163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比例</w:t>
            </w: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计提比例</w:t>
            </w:r>
          </w:p>
        </w:tc>
        <w:tc>
          <w:tcPr>
            <w:tcW w:w="789"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7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比例</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7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计提比例</w:t>
            </w: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6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按单项计提坏账准备的应收账款</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53,787,853.00</w:t>
            </w: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4.61%</w:t>
            </w: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29,113,970.18</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54.13%</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24,673,882.82</w:t>
            </w:r>
          </w:p>
        </w:tc>
        <w:tc>
          <w:tcPr>
            <w:tcW w:w="7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6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其中：</w:t>
            </w: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7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93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16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按组合计提坏账准备的应收账款</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1,112,447,565.08</w:t>
            </w: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95.39%</w:t>
            </w: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60,448,667.77</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5.43%</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1,051,998,897.31</w:t>
            </w:r>
          </w:p>
        </w:tc>
        <w:tc>
          <w:tcPr>
            <w:tcW w:w="7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1,380,496,891.05</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75,027,616.10</w:t>
            </w: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5.43%</w:t>
            </w:r>
          </w:p>
        </w:tc>
        <w:tc>
          <w:tcPr>
            <w:tcW w:w="9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1,305,469,274.95</w:t>
            </w:r>
          </w:p>
        </w:tc>
      </w:tr>
      <w:tr>
        <w:tblPrEx>
          <w:tblCellMar>
            <w:top w:w="0" w:type="dxa"/>
            <w:left w:w="28" w:type="dxa"/>
            <w:bottom w:w="0" w:type="dxa"/>
            <w:right w:w="28" w:type="dxa"/>
          </w:tblCellMar>
        </w:tblPrEx>
        <w:tc>
          <w:tcPr>
            <w:tcW w:w="16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其中：</w:t>
            </w: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7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93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16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账龄组合</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1,112,447,565.08</w:t>
            </w: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95.39%</w:t>
            </w: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60,448,667.77</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5.43%</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1,051,998,897.31</w:t>
            </w:r>
          </w:p>
        </w:tc>
        <w:tc>
          <w:tcPr>
            <w:tcW w:w="7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6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按信用风险特征组合计提坏账准备的应收账款</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1,380,496,891.05</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75,027,616.10</w:t>
            </w: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5.43%</w:t>
            </w:r>
          </w:p>
        </w:tc>
        <w:tc>
          <w:tcPr>
            <w:tcW w:w="9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1,305,469,274.95</w:t>
            </w:r>
          </w:p>
        </w:tc>
      </w:tr>
      <w:tr>
        <w:tblPrEx>
          <w:tblCellMar>
            <w:top w:w="0" w:type="dxa"/>
            <w:left w:w="28" w:type="dxa"/>
            <w:bottom w:w="0" w:type="dxa"/>
            <w:right w:w="28" w:type="dxa"/>
          </w:tblCellMar>
        </w:tblPrEx>
        <w:tc>
          <w:tcPr>
            <w:tcW w:w="16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1,166,235,418.08</w:t>
            </w: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89,562,637.95</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7.68%</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1,076,672,780.13</w:t>
            </w:r>
          </w:p>
        </w:tc>
        <w:tc>
          <w:tcPr>
            <w:tcW w:w="7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1,380,496,891.05</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75,027,616.10</w:t>
            </w: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5.43%</w:t>
            </w:r>
          </w:p>
        </w:tc>
        <w:tc>
          <w:tcPr>
            <w:tcW w:w="9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1,305,469,274.95</w:t>
            </w:r>
          </w:p>
        </w:tc>
      </w:tr>
    </w:tbl>
    <w:p>
      <w:pPr>
        <w:jc w:val="left"/>
        <w:rPr>
          <w:szCs w:val="24"/>
        </w:rPr>
      </w:pPr>
      <w:r>
        <w:rPr>
          <w:rFonts w:hint="eastAsia"/>
          <w:szCs w:val="24"/>
        </w:rPr>
        <w:t>按单项计提坏账准备：</w:t>
      </w:r>
      <w:r>
        <w:rPr>
          <w:szCs w:val="24"/>
        </w:rPr>
        <w:t>29,113,970.18</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3"/>
        <w:gridCol w:w="1915"/>
        <w:gridCol w:w="1914"/>
        <w:gridCol w:w="1914"/>
        <w:gridCol w:w="1914"/>
      </w:tblGrid>
      <w:tr>
        <w:tblPrEx>
          <w:tblCellMar>
            <w:top w:w="0" w:type="dxa"/>
            <w:left w:w="28" w:type="dxa"/>
            <w:bottom w:w="0" w:type="dxa"/>
            <w:right w:w="28" w:type="dxa"/>
          </w:tblCellMar>
        </w:tblPrEx>
        <w:tc>
          <w:tcPr>
            <w:tcW w:w="191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名称</w:t>
            </w:r>
          </w:p>
        </w:tc>
        <w:tc>
          <w:tcPr>
            <w:tcW w:w="7657"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191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计提比例</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计提理由</w:t>
            </w:r>
          </w:p>
        </w:tc>
      </w:tr>
      <w:tr>
        <w:tblPrEx>
          <w:tblCellMar>
            <w:top w:w="0" w:type="dxa"/>
            <w:left w:w="28" w:type="dxa"/>
            <w:bottom w:w="0" w:type="dxa"/>
            <w:right w:w="28" w:type="dxa"/>
          </w:tblCellMar>
        </w:tblPrEx>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武汉安合瑞科技有限公司</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23,869,813.51</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11,934,906.76</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对方已违约</w:t>
            </w:r>
          </w:p>
        </w:tc>
      </w:tr>
      <w:tr>
        <w:tblPrEx>
          <w:tblCellMar>
            <w:top w:w="0" w:type="dxa"/>
            <w:left w:w="28" w:type="dxa"/>
            <w:bottom w:w="0" w:type="dxa"/>
            <w:right w:w="28" w:type="dxa"/>
          </w:tblCellMar>
        </w:tblPrEx>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武汉市和美科技发展有限公司</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15,144,513.74</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7,572,256.87</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对方已违约</w:t>
            </w:r>
          </w:p>
        </w:tc>
      </w:tr>
      <w:tr>
        <w:tblPrEx>
          <w:tblCellMar>
            <w:top w:w="0" w:type="dxa"/>
            <w:left w:w="28" w:type="dxa"/>
            <w:bottom w:w="0" w:type="dxa"/>
            <w:right w:w="28" w:type="dxa"/>
          </w:tblCellMar>
        </w:tblPrEx>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天水市秦州区人民医院</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10,333,438.40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5,166,719.20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已逾期</w:t>
            </w:r>
          </w:p>
        </w:tc>
      </w:tr>
      <w:tr>
        <w:tblPrEx>
          <w:tblCellMar>
            <w:top w:w="0" w:type="dxa"/>
            <w:left w:w="28" w:type="dxa"/>
            <w:bottom w:w="0" w:type="dxa"/>
            <w:right w:w="28" w:type="dxa"/>
          </w:tblCellMar>
        </w:tblPrEx>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江西中寰医院</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4,440,087.35</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4,440,087.35</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预计无法收回</w:t>
            </w:r>
          </w:p>
        </w:tc>
      </w:tr>
      <w:tr>
        <w:tblPrEx>
          <w:tblCellMar>
            <w:top w:w="0" w:type="dxa"/>
            <w:left w:w="28" w:type="dxa"/>
            <w:bottom w:w="0" w:type="dxa"/>
            <w:right w:w="28" w:type="dxa"/>
          </w:tblCellMar>
        </w:tblPrEx>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53,787,853.00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29,113,970.18</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jc w:val="left"/>
        <w:rPr>
          <w:szCs w:val="24"/>
        </w:rPr>
      </w:pPr>
      <w:r>
        <w:rPr>
          <w:rFonts w:hint="eastAsia"/>
          <w:szCs w:val="24"/>
        </w:rPr>
        <w:t>按单项计提坏账准备：</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3"/>
        <w:gridCol w:w="1915"/>
        <w:gridCol w:w="1914"/>
        <w:gridCol w:w="1914"/>
        <w:gridCol w:w="1914"/>
      </w:tblGrid>
      <w:tr>
        <w:tblPrEx>
          <w:tblCellMar>
            <w:top w:w="0" w:type="dxa"/>
            <w:left w:w="28" w:type="dxa"/>
            <w:bottom w:w="0" w:type="dxa"/>
            <w:right w:w="28" w:type="dxa"/>
          </w:tblCellMar>
        </w:tblPrEx>
        <w:tc>
          <w:tcPr>
            <w:tcW w:w="191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名称</w:t>
            </w:r>
          </w:p>
        </w:tc>
        <w:tc>
          <w:tcPr>
            <w:tcW w:w="7657"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191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计提比例</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计提理由</w:t>
            </w:r>
          </w:p>
        </w:tc>
      </w:tr>
    </w:tbl>
    <w:p>
      <w:pPr>
        <w:jc w:val="left"/>
        <w:rPr>
          <w:szCs w:val="24"/>
        </w:rPr>
      </w:pPr>
      <w:r>
        <w:rPr>
          <w:rFonts w:hint="eastAsia"/>
          <w:szCs w:val="24"/>
        </w:rPr>
        <w:t>按组合计提坏账准备：</w:t>
      </w:r>
      <w:r>
        <w:rPr>
          <w:szCs w:val="24"/>
        </w:rPr>
        <w:t>60,448,667.77</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92"/>
        <w:gridCol w:w="2392"/>
        <w:gridCol w:w="2392"/>
        <w:gridCol w:w="2392"/>
      </w:tblGrid>
      <w:tr>
        <w:tblPrEx>
          <w:tblCellMar>
            <w:top w:w="0" w:type="dxa"/>
            <w:left w:w="28" w:type="dxa"/>
            <w:bottom w:w="0" w:type="dxa"/>
            <w:right w:w="28" w:type="dxa"/>
          </w:tblCellMar>
        </w:tblPrEx>
        <w:tc>
          <w:tcPr>
            <w:tcW w:w="239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名称</w:t>
            </w:r>
          </w:p>
        </w:tc>
        <w:tc>
          <w:tcPr>
            <w:tcW w:w="7176"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239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计提比例</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1</w:t>
            </w:r>
            <w:r>
              <w:rPr>
                <w:rFonts w:hint="eastAsia"/>
                <w:szCs w:val="24"/>
              </w:rPr>
              <w:t>年以内</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1,044,453,397.30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52,222,669.87</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1</w:t>
            </w:r>
            <w:r>
              <w:rPr>
                <w:rFonts w:hint="eastAsia"/>
                <w:szCs w:val="24"/>
              </w:rPr>
              <w:t>－</w:t>
            </w:r>
            <w:r>
              <w:rPr>
                <w:szCs w:val="24"/>
              </w:rPr>
              <w:t>2</w:t>
            </w:r>
            <w:r>
              <w:rPr>
                <w:rFonts w:hint="eastAsia"/>
                <w:szCs w:val="24"/>
              </w:rPr>
              <w:t>年</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60,198,139.95</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6,019,813.99</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w:t>
            </w:r>
            <w:r>
              <w:rPr>
                <w:rFonts w:hint="eastAsia"/>
                <w:szCs w:val="24"/>
              </w:rPr>
              <w:t>－</w:t>
            </w:r>
            <w:r>
              <w:rPr>
                <w:szCs w:val="24"/>
              </w:rPr>
              <w:t>3</w:t>
            </w:r>
            <w:r>
              <w:rPr>
                <w:rFonts w:hint="eastAsia"/>
                <w:szCs w:val="24"/>
              </w:rPr>
              <w:t>年</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6,375,924.71</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1,275,184.93</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w:t>
            </w:r>
            <w:r>
              <w:rPr>
                <w:rFonts w:hint="eastAsia"/>
                <w:szCs w:val="24"/>
              </w:rPr>
              <w:t>－</w:t>
            </w:r>
            <w:r>
              <w:rPr>
                <w:szCs w:val="24"/>
              </w:rPr>
              <w:t>4</w:t>
            </w:r>
            <w:r>
              <w:rPr>
                <w:rFonts w:hint="eastAsia"/>
                <w:szCs w:val="24"/>
              </w:rPr>
              <w:t>年</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829,344.98</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414,672.50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4</w:t>
            </w:r>
            <w:r>
              <w:rPr>
                <w:rFonts w:hint="eastAsia"/>
                <w:szCs w:val="24"/>
              </w:rPr>
              <w:t>－</w:t>
            </w:r>
            <w:r>
              <w:rPr>
                <w:szCs w:val="24"/>
              </w:rPr>
              <w:t>5</w:t>
            </w:r>
            <w:r>
              <w:rPr>
                <w:rFonts w:hint="eastAsia"/>
                <w:szCs w:val="24"/>
              </w:rPr>
              <w:t>年</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372,158.29</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297,726.63</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5</w:t>
            </w:r>
            <w:r>
              <w:rPr>
                <w:rFonts w:hint="eastAsia"/>
                <w:szCs w:val="24"/>
              </w:rPr>
              <w:t>年以上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218,599.85</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218,599.85</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1,112,447,565.08</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60,448,667.77</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jc w:val="left"/>
        <w:rPr>
          <w:szCs w:val="24"/>
        </w:rPr>
      </w:pPr>
      <w:r>
        <w:rPr>
          <w:rFonts w:hint="eastAsia"/>
          <w:szCs w:val="24"/>
        </w:rPr>
        <w:t>确定该组合依据的说明：</w:t>
      </w:r>
    </w:p>
    <w:p>
      <w:pPr>
        <w:jc w:val="left"/>
        <w:rPr>
          <w:szCs w:val="24"/>
        </w:rPr>
      </w:pPr>
      <w:r>
        <w:rPr>
          <w:rFonts w:hint="eastAsia"/>
          <w:szCs w:val="24"/>
        </w:rPr>
        <w:t>按组合计提坏账准备：</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92"/>
        <w:gridCol w:w="2392"/>
        <w:gridCol w:w="2392"/>
        <w:gridCol w:w="2392"/>
      </w:tblGrid>
      <w:tr>
        <w:tblPrEx>
          <w:tblCellMar>
            <w:top w:w="0" w:type="dxa"/>
            <w:left w:w="28" w:type="dxa"/>
            <w:bottom w:w="0" w:type="dxa"/>
            <w:right w:w="28" w:type="dxa"/>
          </w:tblCellMar>
        </w:tblPrEx>
        <w:tc>
          <w:tcPr>
            <w:tcW w:w="239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名称</w:t>
            </w:r>
          </w:p>
        </w:tc>
        <w:tc>
          <w:tcPr>
            <w:tcW w:w="7176"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239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计提比例</w:t>
            </w:r>
          </w:p>
        </w:tc>
      </w:tr>
    </w:tbl>
    <w:p>
      <w:pPr>
        <w:jc w:val="left"/>
        <w:rPr>
          <w:szCs w:val="24"/>
        </w:rPr>
      </w:pPr>
      <w:r>
        <w:rPr>
          <w:rFonts w:hint="eastAsia"/>
          <w:szCs w:val="24"/>
        </w:rPr>
        <w:t>确定该组合依据的说明：</w:t>
      </w:r>
    </w:p>
    <w:p>
      <w:pPr>
        <w:jc w:val="left"/>
        <w:rPr>
          <w:szCs w:val="24"/>
        </w:rPr>
      </w:pPr>
      <w:r>
        <w:rPr>
          <w:rFonts w:hint="eastAsia"/>
          <w:szCs w:val="24"/>
        </w:rPr>
        <w:t>如是按照预期信用损失一般模型计提应收账款坏账准备，请参照其他应收款的披露方式披露坏账准备的相关信息：</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按账龄披露</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84"/>
        <w:gridCol w:w="4784"/>
      </w:tblGrid>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账龄</w:t>
            </w:r>
          </w:p>
        </w:tc>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年以内（含</w:t>
            </w:r>
            <w:r>
              <w:rPr>
                <w:szCs w:val="24"/>
              </w:rPr>
              <w:t>1</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1,053,397,744.55</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至</w:t>
            </w:r>
            <w:r>
              <w:rPr>
                <w:szCs w:val="24"/>
              </w:rPr>
              <w:t>2</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69,500,723.32</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至</w:t>
            </w:r>
            <w:r>
              <w:rPr>
                <w:szCs w:val="24"/>
              </w:rPr>
              <w:t>3</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35,247,112.87</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r>
              <w:rPr>
                <w:rFonts w:hint="eastAsia"/>
                <w:szCs w:val="24"/>
              </w:rPr>
              <w:t>年以上</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8,089,837.34</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3</w:t>
            </w:r>
            <w:r>
              <w:rPr>
                <w:rFonts w:hint="eastAsia"/>
                <w:szCs w:val="24"/>
              </w:rPr>
              <w:t>至</w:t>
            </w:r>
            <w:r>
              <w:rPr>
                <w:szCs w:val="24"/>
              </w:rPr>
              <w:t>4</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7,499,079.20</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4</w:t>
            </w:r>
            <w:r>
              <w:rPr>
                <w:rFonts w:hint="eastAsia"/>
                <w:szCs w:val="24"/>
              </w:rPr>
              <w:t>至</w:t>
            </w:r>
            <w:r>
              <w:rPr>
                <w:szCs w:val="24"/>
              </w:rPr>
              <w:t>5</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372,158.29</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5</w:t>
            </w:r>
            <w:r>
              <w:rPr>
                <w:rFonts w:hint="eastAsia"/>
                <w:szCs w:val="24"/>
              </w:rPr>
              <w:t>年以上</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218,599.85</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478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1,166,235,418.08</w:t>
            </w:r>
          </w:p>
        </w:tc>
      </w:tr>
    </w:tbl>
    <w:p>
      <w:pPr>
        <w:pStyle w:val="14"/>
        <w:outlineLvl w:val="3"/>
        <w:rPr>
          <w:bCs w:val="0"/>
          <w:szCs w:val="24"/>
        </w:rPr>
      </w:pPr>
      <w:r>
        <w:rPr>
          <w:rFonts w:hint="eastAsia"/>
          <w:bCs w:val="0"/>
          <w:szCs w:val="24"/>
        </w:rPr>
        <w:t>（</w:t>
      </w:r>
      <w:r>
        <w:rPr>
          <w:bCs w:val="0"/>
          <w:szCs w:val="24"/>
        </w:rPr>
        <w:t>2</w:t>
      </w:r>
      <w:r>
        <w:rPr>
          <w:rFonts w:hint="eastAsia"/>
          <w:bCs w:val="0"/>
          <w:szCs w:val="24"/>
        </w:rPr>
        <w:t>）本期计提、收回或转回的坏账准备情况</w:t>
      </w:r>
    </w:p>
    <w:p>
      <w:pPr>
        <w:jc w:val="left"/>
        <w:rPr>
          <w:szCs w:val="24"/>
        </w:rPr>
      </w:pPr>
      <w:r>
        <w:rPr>
          <w:rFonts w:hint="eastAsia"/>
          <w:szCs w:val="24"/>
        </w:rPr>
        <w:t>本期计提坏账准备情况：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369"/>
        <w:gridCol w:w="1367"/>
        <w:gridCol w:w="1367"/>
        <w:gridCol w:w="1367"/>
        <w:gridCol w:w="1367"/>
        <w:gridCol w:w="1367"/>
        <w:gridCol w:w="1367"/>
      </w:tblGrid>
      <w:tr>
        <w:tc>
          <w:tcPr>
            <w:tcW w:w="1369"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类别</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5468"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本期变动金额</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c>
          <w:tcPr>
            <w:tcW w:w="1369"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收回或转回</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单项计提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29,113,970.18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29,113,970.18</w:t>
            </w:r>
          </w:p>
        </w:tc>
      </w:tr>
      <w:tr>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账龄组合</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75,027,616.10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7,914,397.74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6,664,550.59</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60,448,667.77</w:t>
            </w:r>
          </w:p>
        </w:tc>
      </w:tr>
      <w:tr>
        <w:tc>
          <w:tcPr>
            <w:tcW w:w="136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75,027,616.10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29,113,970.18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7,914,397.74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6,664,550.59</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89,562,637.95</w:t>
            </w:r>
          </w:p>
        </w:tc>
      </w:tr>
    </w:tbl>
    <w:p>
      <w:pPr>
        <w:jc w:val="left"/>
        <w:rPr>
          <w:szCs w:val="24"/>
        </w:rPr>
      </w:pPr>
      <w:r>
        <w:rPr>
          <w:rFonts w:hint="eastAsia"/>
          <w:szCs w:val="24"/>
        </w:rPr>
        <w:t>其中本期坏账准备收回或转回金额重要的：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单位名称</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收回或转回金额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收回方式</w:t>
            </w:r>
          </w:p>
        </w:tc>
      </w:tr>
    </w:tbl>
    <w:p>
      <w:pPr>
        <w:pStyle w:val="14"/>
        <w:outlineLvl w:val="3"/>
        <w:rPr>
          <w:bCs w:val="0"/>
          <w:szCs w:val="24"/>
        </w:rPr>
      </w:pPr>
      <w:r>
        <w:rPr>
          <w:rFonts w:hint="eastAsia"/>
          <w:bCs w:val="0"/>
          <w:szCs w:val="24"/>
        </w:rPr>
        <w:t>（</w:t>
      </w:r>
      <w:r>
        <w:rPr>
          <w:bCs w:val="0"/>
          <w:szCs w:val="24"/>
        </w:rPr>
        <w:t>3</w:t>
      </w:r>
      <w:r>
        <w:rPr>
          <w:rFonts w:hint="eastAsia"/>
          <w:bCs w:val="0"/>
          <w:szCs w:val="24"/>
        </w:rPr>
        <w:t>）本期实际核销的应收账款情况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84"/>
        <w:gridCol w:w="4784"/>
      </w:tblGrid>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核销金额</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实际核销的应收账款</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6,664,550.59</w:t>
            </w:r>
          </w:p>
        </w:tc>
      </w:tr>
    </w:tbl>
    <w:p>
      <w:pPr>
        <w:jc w:val="left"/>
        <w:rPr>
          <w:szCs w:val="24"/>
        </w:rPr>
      </w:pPr>
      <w:r>
        <w:rPr>
          <w:rFonts w:hint="eastAsia"/>
          <w:szCs w:val="24"/>
        </w:rPr>
        <w:t>其中重要的应收账款核销情况：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596"/>
        <w:gridCol w:w="1594"/>
        <w:gridCol w:w="1594"/>
        <w:gridCol w:w="1594"/>
        <w:gridCol w:w="1594"/>
        <w:gridCol w:w="1594"/>
      </w:tblGrid>
      <w:tr>
        <w:tc>
          <w:tcPr>
            <w:tcW w:w="15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单位名称</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应收账款性质</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核销金额</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核销原因</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履行的核销程序</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款项是否由关联交易产生</w:t>
            </w:r>
          </w:p>
        </w:tc>
      </w:tr>
    </w:tbl>
    <w:p>
      <w:pPr>
        <w:jc w:val="left"/>
        <w:rPr>
          <w:szCs w:val="24"/>
        </w:rPr>
      </w:pPr>
      <w:r>
        <w:rPr>
          <w:rFonts w:hint="eastAsia"/>
          <w:szCs w:val="24"/>
        </w:rPr>
        <w:t>应收账款核销说明：</w:t>
      </w:r>
    </w:p>
    <w:p>
      <w:pPr>
        <w:pStyle w:val="14"/>
        <w:outlineLvl w:val="3"/>
        <w:rPr>
          <w:bCs w:val="0"/>
          <w:szCs w:val="24"/>
        </w:rPr>
      </w:pPr>
      <w:r>
        <w:rPr>
          <w:rFonts w:hint="eastAsia"/>
          <w:bCs w:val="0"/>
          <w:szCs w:val="24"/>
        </w:rPr>
        <w:t>（</w:t>
      </w:r>
      <w:r>
        <w:rPr>
          <w:bCs w:val="0"/>
          <w:szCs w:val="24"/>
        </w:rPr>
        <w:t>4</w:t>
      </w:r>
      <w:r>
        <w:rPr>
          <w:rFonts w:hint="eastAsia"/>
          <w:bCs w:val="0"/>
          <w:szCs w:val="24"/>
        </w:rPr>
        <w:t>）按欠款方归集的期末余额前五名的应收账款情况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81"/>
        <w:gridCol w:w="2529"/>
        <w:gridCol w:w="2529"/>
        <w:gridCol w:w="2528"/>
      </w:tblGrid>
      <w:tr>
        <w:tblPrEx>
          <w:tblCellMar>
            <w:top w:w="0" w:type="dxa"/>
            <w:left w:w="28" w:type="dxa"/>
            <w:bottom w:w="0" w:type="dxa"/>
            <w:right w:w="28" w:type="dxa"/>
          </w:tblCellMar>
        </w:tblPrEx>
        <w:tc>
          <w:tcPr>
            <w:tcW w:w="198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单位名称</w:t>
            </w:r>
          </w:p>
        </w:tc>
        <w:tc>
          <w:tcPr>
            <w:tcW w:w="252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应收账款期末余额</w:t>
            </w:r>
          </w:p>
        </w:tc>
        <w:tc>
          <w:tcPr>
            <w:tcW w:w="252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占应收账款期末余额合计数的比例</w:t>
            </w:r>
          </w:p>
        </w:tc>
        <w:tc>
          <w:tcPr>
            <w:tcW w:w="252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坏账准备期末余额</w:t>
            </w:r>
          </w:p>
        </w:tc>
      </w:tr>
      <w:tr>
        <w:tblPrEx>
          <w:tblCellMar>
            <w:top w:w="0" w:type="dxa"/>
            <w:left w:w="28" w:type="dxa"/>
            <w:bottom w:w="0" w:type="dxa"/>
            <w:right w:w="28" w:type="dxa"/>
          </w:tblCellMar>
        </w:tblPrEx>
        <w:tc>
          <w:tcPr>
            <w:tcW w:w="1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第一名</w:t>
            </w:r>
          </w:p>
        </w:tc>
        <w:tc>
          <w:tcPr>
            <w:tcW w:w="252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33,328,457.86  </w:t>
            </w:r>
          </w:p>
        </w:tc>
        <w:tc>
          <w:tcPr>
            <w:tcW w:w="252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2.86</w:t>
            </w:r>
          </w:p>
        </w:tc>
        <w:tc>
          <w:tcPr>
            <w:tcW w:w="2528"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1,666,422.89</w:t>
            </w:r>
          </w:p>
        </w:tc>
      </w:tr>
      <w:tr>
        <w:tblPrEx>
          <w:tblCellMar>
            <w:top w:w="0" w:type="dxa"/>
            <w:left w:w="28" w:type="dxa"/>
            <w:bottom w:w="0" w:type="dxa"/>
            <w:right w:w="28" w:type="dxa"/>
          </w:tblCellMar>
        </w:tblPrEx>
        <w:tc>
          <w:tcPr>
            <w:tcW w:w="1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第二名</w:t>
            </w:r>
          </w:p>
        </w:tc>
        <w:tc>
          <w:tcPr>
            <w:tcW w:w="252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 29,074,234.25 </w:t>
            </w:r>
          </w:p>
        </w:tc>
        <w:tc>
          <w:tcPr>
            <w:tcW w:w="252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2.49</w:t>
            </w:r>
          </w:p>
        </w:tc>
        <w:tc>
          <w:tcPr>
            <w:tcW w:w="2528"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 1,453,711.71 </w:t>
            </w:r>
          </w:p>
        </w:tc>
      </w:tr>
      <w:tr>
        <w:tblPrEx>
          <w:tblCellMar>
            <w:top w:w="0" w:type="dxa"/>
            <w:left w:w="28" w:type="dxa"/>
            <w:bottom w:w="0" w:type="dxa"/>
            <w:right w:w="28" w:type="dxa"/>
          </w:tblCellMar>
        </w:tblPrEx>
        <w:tc>
          <w:tcPr>
            <w:tcW w:w="1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第三名</w:t>
            </w:r>
          </w:p>
        </w:tc>
        <w:tc>
          <w:tcPr>
            <w:tcW w:w="252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 23,869,813.51 </w:t>
            </w:r>
          </w:p>
        </w:tc>
        <w:tc>
          <w:tcPr>
            <w:tcW w:w="252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2.05</w:t>
            </w:r>
          </w:p>
        </w:tc>
        <w:tc>
          <w:tcPr>
            <w:tcW w:w="2528"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 11,934,906.76 </w:t>
            </w:r>
          </w:p>
        </w:tc>
      </w:tr>
      <w:tr>
        <w:tblPrEx>
          <w:tblCellMar>
            <w:top w:w="0" w:type="dxa"/>
            <w:left w:w="28" w:type="dxa"/>
            <w:bottom w:w="0" w:type="dxa"/>
            <w:right w:w="28" w:type="dxa"/>
          </w:tblCellMar>
        </w:tblPrEx>
        <w:tc>
          <w:tcPr>
            <w:tcW w:w="1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第四名</w:t>
            </w:r>
          </w:p>
        </w:tc>
        <w:tc>
          <w:tcPr>
            <w:tcW w:w="252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 23,613,649.59 </w:t>
            </w:r>
          </w:p>
        </w:tc>
        <w:tc>
          <w:tcPr>
            <w:tcW w:w="252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2.02</w:t>
            </w:r>
          </w:p>
        </w:tc>
        <w:tc>
          <w:tcPr>
            <w:tcW w:w="2528"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 1,180,682.48 </w:t>
            </w:r>
          </w:p>
        </w:tc>
      </w:tr>
      <w:tr>
        <w:tblPrEx>
          <w:tblCellMar>
            <w:top w:w="0" w:type="dxa"/>
            <w:left w:w="28" w:type="dxa"/>
            <w:bottom w:w="0" w:type="dxa"/>
            <w:right w:w="28" w:type="dxa"/>
          </w:tblCellMar>
        </w:tblPrEx>
        <w:tc>
          <w:tcPr>
            <w:tcW w:w="198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第五名</w:t>
            </w:r>
          </w:p>
        </w:tc>
        <w:tc>
          <w:tcPr>
            <w:tcW w:w="252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18,382,384.02</w:t>
            </w:r>
          </w:p>
        </w:tc>
        <w:tc>
          <w:tcPr>
            <w:tcW w:w="252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1.58</w:t>
            </w:r>
          </w:p>
        </w:tc>
        <w:tc>
          <w:tcPr>
            <w:tcW w:w="2528"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  919,119.20  </w:t>
            </w:r>
          </w:p>
        </w:tc>
      </w:tr>
      <w:tr>
        <w:tblPrEx>
          <w:tblCellMar>
            <w:top w:w="0" w:type="dxa"/>
            <w:left w:w="28" w:type="dxa"/>
            <w:bottom w:w="0" w:type="dxa"/>
            <w:right w:w="28" w:type="dxa"/>
          </w:tblCellMar>
        </w:tblPrEx>
        <w:tc>
          <w:tcPr>
            <w:tcW w:w="1981"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252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128,268,539.23</w:t>
            </w:r>
          </w:p>
        </w:tc>
        <w:tc>
          <w:tcPr>
            <w:tcW w:w="252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11.00%</w:t>
            </w:r>
          </w:p>
        </w:tc>
        <w:tc>
          <w:tcPr>
            <w:tcW w:w="252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bl>
    <w:p>
      <w:pPr>
        <w:pStyle w:val="14"/>
        <w:outlineLvl w:val="3"/>
        <w:rPr>
          <w:bCs w:val="0"/>
          <w:szCs w:val="24"/>
        </w:rPr>
      </w:pPr>
      <w:r>
        <w:rPr>
          <w:rFonts w:hint="eastAsia"/>
          <w:bCs w:val="0"/>
          <w:szCs w:val="24"/>
        </w:rPr>
        <w:t>（</w:t>
      </w:r>
      <w:r>
        <w:rPr>
          <w:bCs w:val="0"/>
          <w:szCs w:val="24"/>
        </w:rPr>
        <w:t>5</w:t>
      </w:r>
      <w:r>
        <w:rPr>
          <w:rFonts w:hint="eastAsia"/>
          <w:bCs w:val="0"/>
          <w:szCs w:val="24"/>
        </w:rPr>
        <w:t>）因金融资产转移而终止确认的应收账款</w:t>
      </w:r>
    </w:p>
    <w:p>
      <w:pPr>
        <w:pStyle w:val="14"/>
        <w:outlineLvl w:val="3"/>
        <w:rPr>
          <w:bCs w:val="0"/>
          <w:szCs w:val="24"/>
        </w:rPr>
      </w:pPr>
      <w:r>
        <w:rPr>
          <w:rFonts w:hint="eastAsia"/>
          <w:bCs w:val="0"/>
          <w:szCs w:val="24"/>
        </w:rPr>
        <w:t>（</w:t>
      </w:r>
      <w:r>
        <w:rPr>
          <w:bCs w:val="0"/>
          <w:szCs w:val="24"/>
        </w:rPr>
        <w:t>6</w:t>
      </w:r>
      <w:r>
        <w:rPr>
          <w:rFonts w:hint="eastAsia"/>
          <w:bCs w:val="0"/>
          <w:szCs w:val="24"/>
        </w:rPr>
        <w:t>）转移应收账款且继续涉入形成的资产、负债金额</w:t>
      </w:r>
    </w:p>
    <w:p>
      <w:pPr>
        <w:jc w:val="left"/>
        <w:rPr>
          <w:szCs w:val="24"/>
        </w:rPr>
      </w:pPr>
      <w:r>
        <w:rPr>
          <w:rFonts w:hint="eastAsia"/>
          <w:szCs w:val="24"/>
        </w:rPr>
        <w:t>其他说明：</w:t>
      </w:r>
    </w:p>
    <w:p>
      <w:pPr>
        <w:pStyle w:val="14"/>
        <w:outlineLvl w:val="2"/>
        <w:rPr>
          <w:bCs w:val="0"/>
          <w:szCs w:val="24"/>
        </w:rPr>
      </w:pPr>
      <w:r>
        <w:rPr>
          <w:bCs w:val="0"/>
          <w:szCs w:val="24"/>
        </w:rPr>
        <w:t>6</w:t>
      </w:r>
      <w:r>
        <w:rPr>
          <w:rFonts w:hint="eastAsia"/>
          <w:bCs w:val="0"/>
          <w:szCs w:val="24"/>
        </w:rPr>
        <w:t>、应收款项融资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应收票据</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17,370,342.71</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17,370,342.71</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bl>
    <w:p>
      <w:pPr>
        <w:jc w:val="left"/>
        <w:rPr>
          <w:szCs w:val="24"/>
        </w:rPr>
      </w:pPr>
      <w:r>
        <w:rPr>
          <w:rFonts w:hint="eastAsia"/>
          <w:szCs w:val="24"/>
        </w:rPr>
        <w:t>应收款项融资本期增减变动及公允价值变动情况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tbl>
      <w:tblPr>
        <w:tblStyle w:val="27"/>
        <w:tblW w:w="5000"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80"/>
        <w:gridCol w:w="1738"/>
        <w:gridCol w:w="1474"/>
        <w:gridCol w:w="1801"/>
        <w:gridCol w:w="1311"/>
        <w:gridCol w:w="1474"/>
        <w:gridCol w:w="137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blHeader/>
        </w:trPr>
        <w:tc>
          <w:tcPr>
            <w:tcW w:w="345" w:type="pct"/>
            <w:shd w:val="clear" w:color="auto" w:fill="auto"/>
            <w:vAlign w:val="center"/>
          </w:tcPr>
          <w:p>
            <w:pPr>
              <w:snapToGrid w:val="0"/>
              <w:spacing w:line="400" w:lineRule="atLeast"/>
              <w:jc w:val="center"/>
              <w:rPr>
                <w:color w:val="000000"/>
              </w:rPr>
            </w:pPr>
            <w:r>
              <w:rPr>
                <w:color w:val="000000"/>
              </w:rPr>
              <w:t>项目</w:t>
            </w:r>
          </w:p>
        </w:tc>
        <w:tc>
          <w:tcPr>
            <w:tcW w:w="882" w:type="pct"/>
            <w:shd w:val="clear" w:color="auto" w:fill="auto"/>
            <w:vAlign w:val="center"/>
          </w:tcPr>
          <w:p>
            <w:pPr>
              <w:snapToGrid w:val="0"/>
              <w:spacing w:line="400" w:lineRule="atLeast"/>
              <w:jc w:val="center"/>
              <w:rPr>
                <w:color w:val="000000"/>
              </w:rPr>
            </w:pPr>
            <w:r>
              <w:rPr>
                <w:color w:val="000000"/>
              </w:rPr>
              <w:t>年初余额</w:t>
            </w:r>
          </w:p>
        </w:tc>
        <w:tc>
          <w:tcPr>
            <w:tcW w:w="748" w:type="pct"/>
            <w:shd w:val="clear" w:color="auto" w:fill="auto"/>
            <w:vAlign w:val="center"/>
          </w:tcPr>
          <w:p>
            <w:pPr>
              <w:snapToGrid w:val="0"/>
              <w:spacing w:line="400" w:lineRule="atLeast"/>
              <w:jc w:val="center"/>
              <w:rPr>
                <w:color w:val="000000"/>
              </w:rPr>
            </w:pPr>
            <w:r>
              <w:rPr>
                <w:color w:val="000000"/>
              </w:rPr>
              <w:t>本期新增</w:t>
            </w:r>
          </w:p>
        </w:tc>
        <w:tc>
          <w:tcPr>
            <w:tcW w:w="914" w:type="pct"/>
            <w:shd w:val="clear" w:color="auto" w:fill="auto"/>
            <w:vAlign w:val="center"/>
          </w:tcPr>
          <w:p>
            <w:pPr>
              <w:snapToGrid w:val="0"/>
              <w:spacing w:line="400" w:lineRule="atLeast"/>
              <w:jc w:val="center"/>
              <w:rPr>
                <w:color w:val="000000"/>
              </w:rPr>
            </w:pPr>
            <w:r>
              <w:rPr>
                <w:color w:val="000000"/>
              </w:rPr>
              <w:t>本期终止确认</w:t>
            </w:r>
          </w:p>
        </w:tc>
        <w:tc>
          <w:tcPr>
            <w:tcW w:w="665" w:type="pct"/>
            <w:shd w:val="clear" w:color="auto" w:fill="auto"/>
            <w:vAlign w:val="center"/>
          </w:tcPr>
          <w:p>
            <w:pPr>
              <w:snapToGrid w:val="0"/>
              <w:spacing w:line="400" w:lineRule="atLeast"/>
              <w:jc w:val="center"/>
              <w:rPr>
                <w:color w:val="000000"/>
              </w:rPr>
            </w:pPr>
            <w:r>
              <w:rPr>
                <w:color w:val="000000"/>
              </w:rPr>
              <w:t>其他变动</w:t>
            </w:r>
          </w:p>
        </w:tc>
        <w:tc>
          <w:tcPr>
            <w:tcW w:w="748" w:type="pct"/>
            <w:shd w:val="clear" w:color="auto" w:fill="auto"/>
            <w:vAlign w:val="center"/>
          </w:tcPr>
          <w:p>
            <w:pPr>
              <w:snapToGrid w:val="0"/>
              <w:spacing w:line="400" w:lineRule="atLeast"/>
              <w:jc w:val="center"/>
              <w:rPr>
                <w:color w:val="000000"/>
              </w:rPr>
            </w:pPr>
            <w:r>
              <w:rPr>
                <w:color w:val="000000"/>
              </w:rPr>
              <w:t>期末余额</w:t>
            </w:r>
          </w:p>
        </w:tc>
        <w:tc>
          <w:tcPr>
            <w:tcW w:w="698" w:type="pct"/>
            <w:shd w:val="clear" w:color="auto" w:fill="auto"/>
            <w:vAlign w:val="center"/>
          </w:tcPr>
          <w:p>
            <w:pPr>
              <w:snapToGrid w:val="0"/>
              <w:spacing w:line="400" w:lineRule="atLeast"/>
              <w:jc w:val="center"/>
              <w:rPr>
                <w:color w:val="000000"/>
              </w:rPr>
            </w:pPr>
            <w:r>
              <w:rPr>
                <w:color w:val="000000"/>
              </w:rPr>
              <w:t>累计在其他综合收益中确认的损失准备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45" w:type="pct"/>
            <w:shd w:val="clear" w:color="auto" w:fill="auto"/>
            <w:vAlign w:val="center"/>
          </w:tcPr>
          <w:p>
            <w:pPr>
              <w:snapToGrid w:val="0"/>
              <w:spacing w:line="400" w:lineRule="atLeast"/>
              <w:jc w:val="left"/>
              <w:rPr>
                <w:color w:val="000000"/>
              </w:rPr>
            </w:pPr>
            <w:r>
              <w:rPr>
                <w:rFonts w:hint="eastAsia"/>
                <w:color w:val="000000"/>
              </w:rPr>
              <w:t>银行承兑</w:t>
            </w:r>
            <w:r>
              <w:rPr>
                <w:color w:val="000000"/>
              </w:rPr>
              <w:t>汇票</w:t>
            </w:r>
          </w:p>
        </w:tc>
        <w:tc>
          <w:tcPr>
            <w:tcW w:w="882" w:type="pct"/>
            <w:shd w:val="clear" w:color="auto" w:fill="auto"/>
          </w:tcPr>
          <w:p>
            <w:pPr>
              <w:snapToGrid w:val="0"/>
              <w:spacing w:line="400" w:lineRule="atLeast"/>
              <w:jc w:val="right"/>
              <w:rPr>
                <w:color w:val="000000"/>
              </w:rPr>
            </w:pPr>
            <w:r>
              <w:rPr>
                <w:color w:val="000000"/>
              </w:rPr>
              <w:t>1,932,764.60</w:t>
            </w:r>
          </w:p>
        </w:tc>
        <w:tc>
          <w:tcPr>
            <w:tcW w:w="748" w:type="pct"/>
            <w:shd w:val="clear" w:color="auto" w:fill="auto"/>
          </w:tcPr>
          <w:p>
            <w:pPr>
              <w:snapToGrid w:val="0"/>
              <w:spacing w:line="400" w:lineRule="atLeast"/>
              <w:jc w:val="right"/>
              <w:rPr>
                <w:color w:val="000000"/>
              </w:rPr>
            </w:pPr>
            <w:r>
              <w:rPr>
                <w:color w:val="000000"/>
              </w:rPr>
              <w:t>53,623,973.47</w:t>
            </w:r>
          </w:p>
        </w:tc>
        <w:tc>
          <w:tcPr>
            <w:tcW w:w="914" w:type="pct"/>
            <w:shd w:val="clear" w:color="auto" w:fill="auto"/>
          </w:tcPr>
          <w:p>
            <w:pPr>
              <w:snapToGrid w:val="0"/>
              <w:spacing w:line="400" w:lineRule="atLeast"/>
              <w:jc w:val="right"/>
              <w:rPr>
                <w:color w:val="000000"/>
              </w:rPr>
            </w:pPr>
            <w:r>
              <w:rPr>
                <w:color w:val="000000"/>
              </w:rPr>
              <w:t>38,186,395.36</w:t>
            </w:r>
          </w:p>
        </w:tc>
        <w:tc>
          <w:tcPr>
            <w:tcW w:w="665" w:type="pct"/>
            <w:shd w:val="clear" w:color="auto" w:fill="auto"/>
            <w:vAlign w:val="center"/>
          </w:tcPr>
          <w:p>
            <w:pPr>
              <w:snapToGrid w:val="0"/>
              <w:spacing w:line="400" w:lineRule="atLeast"/>
              <w:jc w:val="right"/>
              <w:rPr>
                <w:color w:val="000000"/>
              </w:rPr>
            </w:pPr>
          </w:p>
        </w:tc>
        <w:tc>
          <w:tcPr>
            <w:tcW w:w="748" w:type="pct"/>
            <w:shd w:val="clear" w:color="auto" w:fill="auto"/>
            <w:vAlign w:val="center"/>
          </w:tcPr>
          <w:p>
            <w:pPr>
              <w:snapToGrid w:val="0"/>
              <w:spacing w:line="400" w:lineRule="atLeast"/>
              <w:jc w:val="right"/>
              <w:rPr>
                <w:color w:val="000000"/>
              </w:rPr>
            </w:pPr>
            <w:r>
              <w:rPr>
                <w:color w:val="000000"/>
              </w:rPr>
              <w:t>17,370,342.71</w:t>
            </w:r>
          </w:p>
        </w:tc>
        <w:tc>
          <w:tcPr>
            <w:tcW w:w="698" w:type="pct"/>
            <w:shd w:val="clear" w:color="auto" w:fill="auto"/>
            <w:vAlign w:val="center"/>
          </w:tcPr>
          <w:p>
            <w:pPr>
              <w:snapToGrid w:val="0"/>
              <w:spacing w:line="400" w:lineRule="atLeast"/>
              <w:jc w:val="right"/>
              <w:rPr>
                <w:color w:val="000000"/>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45" w:type="pct"/>
            <w:shd w:val="clear" w:color="auto" w:fill="auto"/>
            <w:vAlign w:val="center"/>
          </w:tcPr>
          <w:p>
            <w:pPr>
              <w:snapToGrid w:val="0"/>
              <w:spacing w:line="400" w:lineRule="atLeast"/>
              <w:rPr>
                <w:color w:val="000000"/>
              </w:rPr>
            </w:pPr>
            <w:r>
              <w:rPr>
                <w:rFonts w:hint="eastAsia"/>
                <w:color w:val="000000"/>
              </w:rPr>
              <w:t>商业</w:t>
            </w:r>
            <w:r>
              <w:rPr>
                <w:color w:val="000000"/>
              </w:rPr>
              <w:t>承兑汇票</w:t>
            </w:r>
          </w:p>
        </w:tc>
        <w:tc>
          <w:tcPr>
            <w:tcW w:w="882" w:type="pct"/>
            <w:shd w:val="clear" w:color="auto" w:fill="auto"/>
          </w:tcPr>
          <w:p>
            <w:pPr>
              <w:snapToGrid w:val="0"/>
              <w:spacing w:line="400" w:lineRule="atLeast"/>
              <w:jc w:val="right"/>
              <w:rPr>
                <w:color w:val="000000"/>
              </w:rPr>
            </w:pPr>
            <w:r>
              <w:rPr>
                <w:color w:val="000000"/>
              </w:rPr>
              <w:t>475,000.00</w:t>
            </w:r>
          </w:p>
        </w:tc>
        <w:tc>
          <w:tcPr>
            <w:tcW w:w="748" w:type="pct"/>
            <w:shd w:val="clear" w:color="auto" w:fill="auto"/>
          </w:tcPr>
          <w:p>
            <w:pPr>
              <w:snapToGrid w:val="0"/>
              <w:spacing w:line="400" w:lineRule="atLeast"/>
              <w:jc w:val="right"/>
              <w:rPr>
                <w:color w:val="000000"/>
              </w:rPr>
            </w:pPr>
          </w:p>
        </w:tc>
        <w:tc>
          <w:tcPr>
            <w:tcW w:w="914" w:type="pct"/>
            <w:shd w:val="clear" w:color="auto" w:fill="auto"/>
          </w:tcPr>
          <w:p>
            <w:pPr>
              <w:snapToGrid w:val="0"/>
              <w:spacing w:line="400" w:lineRule="atLeast"/>
              <w:jc w:val="right"/>
              <w:rPr>
                <w:color w:val="000000"/>
              </w:rPr>
            </w:pPr>
            <w:r>
              <w:rPr>
                <w:color w:val="000000"/>
              </w:rPr>
              <w:t>475,000.00</w:t>
            </w:r>
          </w:p>
        </w:tc>
        <w:tc>
          <w:tcPr>
            <w:tcW w:w="665" w:type="pct"/>
            <w:shd w:val="clear" w:color="auto" w:fill="auto"/>
            <w:vAlign w:val="center"/>
          </w:tcPr>
          <w:p>
            <w:pPr>
              <w:snapToGrid w:val="0"/>
              <w:spacing w:line="400" w:lineRule="atLeast"/>
              <w:jc w:val="right"/>
              <w:rPr>
                <w:color w:val="000000"/>
              </w:rPr>
            </w:pPr>
          </w:p>
        </w:tc>
        <w:tc>
          <w:tcPr>
            <w:tcW w:w="748" w:type="pct"/>
            <w:shd w:val="clear" w:color="auto" w:fill="auto"/>
            <w:vAlign w:val="center"/>
          </w:tcPr>
          <w:p>
            <w:pPr>
              <w:snapToGrid w:val="0"/>
              <w:spacing w:line="400" w:lineRule="atLeast"/>
              <w:jc w:val="right"/>
              <w:rPr>
                <w:color w:val="000000"/>
              </w:rPr>
            </w:pPr>
          </w:p>
        </w:tc>
        <w:tc>
          <w:tcPr>
            <w:tcW w:w="698" w:type="pct"/>
            <w:shd w:val="clear" w:color="auto" w:fill="auto"/>
            <w:vAlign w:val="center"/>
          </w:tcPr>
          <w:p>
            <w:pPr>
              <w:snapToGrid w:val="0"/>
              <w:spacing w:line="400" w:lineRule="atLeast"/>
              <w:jc w:val="right"/>
              <w:rPr>
                <w:color w:val="000000"/>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45" w:type="pct"/>
            <w:shd w:val="clear" w:color="auto" w:fill="auto"/>
            <w:vAlign w:val="center"/>
          </w:tcPr>
          <w:p>
            <w:pPr>
              <w:snapToGrid w:val="0"/>
              <w:spacing w:line="400" w:lineRule="atLeast"/>
              <w:jc w:val="center"/>
              <w:rPr>
                <w:color w:val="000000"/>
              </w:rPr>
            </w:pPr>
            <w:r>
              <w:rPr>
                <w:color w:val="000000"/>
              </w:rPr>
              <w:t>合计</w:t>
            </w:r>
          </w:p>
        </w:tc>
        <w:tc>
          <w:tcPr>
            <w:tcW w:w="882" w:type="pct"/>
            <w:shd w:val="clear" w:color="auto" w:fill="auto"/>
          </w:tcPr>
          <w:p>
            <w:pPr>
              <w:spacing w:line="400" w:lineRule="atLeast"/>
              <w:rPr>
                <w:color w:val="000000"/>
              </w:rPr>
            </w:pPr>
            <w:r>
              <w:rPr>
                <w:color w:val="000000"/>
              </w:rPr>
              <w:t>2,407,764.60</w:t>
            </w:r>
          </w:p>
        </w:tc>
        <w:tc>
          <w:tcPr>
            <w:tcW w:w="748" w:type="pct"/>
            <w:shd w:val="clear" w:color="auto" w:fill="auto"/>
          </w:tcPr>
          <w:p>
            <w:pPr>
              <w:spacing w:line="400" w:lineRule="atLeast"/>
              <w:rPr>
                <w:color w:val="000000"/>
              </w:rPr>
            </w:pPr>
            <w:r>
              <w:rPr>
                <w:color w:val="000000"/>
              </w:rPr>
              <w:t>53,623,973.47</w:t>
            </w:r>
          </w:p>
        </w:tc>
        <w:tc>
          <w:tcPr>
            <w:tcW w:w="914" w:type="pct"/>
            <w:shd w:val="clear" w:color="auto" w:fill="auto"/>
          </w:tcPr>
          <w:p>
            <w:pPr>
              <w:spacing w:line="400" w:lineRule="atLeast"/>
              <w:rPr>
                <w:color w:val="000000"/>
              </w:rPr>
            </w:pPr>
            <w:r>
              <w:rPr>
                <w:color w:val="000000"/>
              </w:rPr>
              <w:t>38,661,395.36</w:t>
            </w:r>
          </w:p>
        </w:tc>
        <w:tc>
          <w:tcPr>
            <w:tcW w:w="665" w:type="pct"/>
            <w:shd w:val="clear" w:color="auto" w:fill="auto"/>
          </w:tcPr>
          <w:p>
            <w:pPr>
              <w:spacing w:line="400" w:lineRule="atLeast"/>
              <w:rPr>
                <w:color w:val="000000"/>
              </w:rPr>
            </w:pPr>
          </w:p>
        </w:tc>
        <w:tc>
          <w:tcPr>
            <w:tcW w:w="748" w:type="pct"/>
            <w:shd w:val="clear" w:color="auto" w:fill="auto"/>
          </w:tcPr>
          <w:p>
            <w:pPr>
              <w:spacing w:line="400" w:lineRule="atLeast"/>
              <w:rPr>
                <w:color w:val="000000"/>
              </w:rPr>
            </w:pPr>
            <w:r>
              <w:rPr>
                <w:color w:val="000000"/>
              </w:rPr>
              <w:t>17,370,342.71</w:t>
            </w:r>
          </w:p>
        </w:tc>
        <w:tc>
          <w:tcPr>
            <w:tcW w:w="698" w:type="pct"/>
            <w:shd w:val="clear" w:color="auto" w:fill="auto"/>
            <w:vAlign w:val="center"/>
          </w:tcPr>
          <w:p>
            <w:pPr>
              <w:snapToGrid w:val="0"/>
              <w:spacing w:line="400" w:lineRule="atLeast"/>
              <w:jc w:val="right"/>
              <w:rPr>
                <w:color w:val="000000"/>
              </w:rPr>
            </w:pPr>
          </w:p>
        </w:tc>
      </w:tr>
    </w:tbl>
    <w:p>
      <w:pPr>
        <w:jc w:val="left"/>
        <w:rPr>
          <w:szCs w:val="24"/>
        </w:rPr>
      </w:pPr>
      <w:r>
        <w:rPr>
          <w:rFonts w:hint="eastAsia"/>
          <w:szCs w:val="24"/>
        </w:rPr>
        <w:t>如是按照预期信用损失一般模型计提应收款项融资减值准备，请参照其他应收款的披露方式披露减值准备的相关信息：</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其他说明：</w:t>
      </w:r>
    </w:p>
    <w:p>
      <w:pPr>
        <w:autoSpaceDE w:val="0"/>
        <w:autoSpaceDN w:val="0"/>
        <w:adjustRightInd w:val="0"/>
        <w:spacing w:before="0" w:after="0"/>
        <w:ind w:left="709"/>
        <w:rPr>
          <w:rFonts w:eastAsia="Times New Roman"/>
          <w:kern w:val="0"/>
          <w:sz w:val="21"/>
          <w:szCs w:val="24"/>
          <w:lang w:val="zh-CN"/>
        </w:rPr>
      </w:pPr>
      <w:r>
        <w:rPr>
          <w:rFonts w:eastAsia="Times New Roman"/>
          <w:b/>
          <w:kern w:val="0"/>
          <w:sz w:val="21"/>
          <w:szCs w:val="24"/>
          <w:lang w:val="zh-CN"/>
        </w:rPr>
        <w:t xml:space="preserve">  </w:t>
      </w:r>
      <w:r>
        <w:rPr>
          <w:rFonts w:hint="eastAsia" w:ascii="宋体" w:hAnsi="宋体" w:cs="宋体"/>
          <w:b/>
          <w:kern w:val="0"/>
          <w:sz w:val="21"/>
          <w:szCs w:val="24"/>
          <w:lang w:val="zh-CN"/>
        </w:rPr>
        <w:t>期末公司已背书或贴现且在资产负债表日尚未到期的应收票据</w:t>
      </w:r>
    </w:p>
    <w:p>
      <w:pPr>
        <w:autoSpaceDE w:val="0"/>
        <w:autoSpaceDN w:val="0"/>
        <w:adjustRightInd w:val="0"/>
        <w:spacing w:before="0" w:after="0"/>
        <w:ind w:left="709"/>
        <w:rPr>
          <w:rFonts w:eastAsia="Times New Roman"/>
          <w:b/>
          <w:kern w:val="0"/>
          <w:sz w:val="21"/>
          <w:szCs w:val="24"/>
          <w:lang w:val="zh-CN"/>
        </w:rPr>
      </w:pPr>
    </w:p>
    <w:tbl>
      <w:tblPr>
        <w:tblStyle w:val="9"/>
        <w:tblW w:w="0" w:type="auto"/>
        <w:tblInd w:w="6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 w:type="dxa"/>
          <w:left w:w="10" w:type="dxa"/>
          <w:bottom w:w="10" w:type="dxa"/>
          <w:right w:w="10" w:type="dxa"/>
        </w:tblCellMar>
      </w:tblPr>
      <w:tblGrid>
        <w:gridCol w:w="2993"/>
        <w:gridCol w:w="2410"/>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2993" w:type="dxa"/>
          </w:tcPr>
          <w:p>
            <w:pPr>
              <w:autoSpaceDE w:val="0"/>
              <w:autoSpaceDN w:val="0"/>
              <w:adjustRightInd w:val="0"/>
              <w:spacing w:before="0" w:after="0"/>
              <w:jc w:val="center"/>
              <w:rPr>
                <w:rFonts w:eastAsia="Times New Roman"/>
                <w:kern w:val="0"/>
                <w:lang w:val="zh-CN"/>
              </w:rPr>
            </w:pPr>
            <w:r>
              <w:rPr>
                <w:rFonts w:hint="eastAsia" w:ascii="宋体" w:hAnsi="宋体" w:cs="宋体"/>
                <w:kern w:val="0"/>
                <w:lang w:val="zh-CN"/>
              </w:rPr>
              <w:t>项目</w:t>
            </w:r>
          </w:p>
        </w:tc>
        <w:tc>
          <w:tcPr>
            <w:tcW w:w="2410" w:type="dxa"/>
          </w:tcPr>
          <w:p>
            <w:pPr>
              <w:autoSpaceDE w:val="0"/>
              <w:autoSpaceDN w:val="0"/>
              <w:adjustRightInd w:val="0"/>
              <w:spacing w:before="0" w:after="0"/>
              <w:jc w:val="center"/>
              <w:rPr>
                <w:rFonts w:eastAsia="Times New Roman"/>
                <w:kern w:val="0"/>
                <w:lang w:val="zh-CN"/>
              </w:rPr>
            </w:pPr>
            <w:r>
              <w:rPr>
                <w:rFonts w:hint="eastAsia" w:ascii="宋体" w:hAnsi="宋体" w:cs="宋体"/>
                <w:kern w:val="0"/>
                <w:lang w:val="zh-CN"/>
              </w:rPr>
              <w:t>期末终止确认金额</w:t>
            </w:r>
          </w:p>
        </w:tc>
        <w:tc>
          <w:tcPr>
            <w:tcW w:w="2410" w:type="dxa"/>
          </w:tcPr>
          <w:p>
            <w:pPr>
              <w:autoSpaceDE w:val="0"/>
              <w:autoSpaceDN w:val="0"/>
              <w:adjustRightInd w:val="0"/>
              <w:spacing w:before="0" w:after="0"/>
              <w:jc w:val="center"/>
              <w:rPr>
                <w:rFonts w:eastAsia="Times New Roman"/>
                <w:kern w:val="0"/>
                <w:lang w:val="zh-CN"/>
              </w:rPr>
            </w:pPr>
            <w:r>
              <w:rPr>
                <w:rFonts w:hint="eastAsia" w:ascii="宋体" w:hAnsi="宋体" w:cs="宋体"/>
                <w:kern w:val="0"/>
                <w:lang w:val="zh-CN"/>
              </w:rPr>
              <w:t>期末未终止确认金额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2993" w:type="dxa"/>
          </w:tcPr>
          <w:p>
            <w:pPr>
              <w:autoSpaceDE w:val="0"/>
              <w:autoSpaceDN w:val="0"/>
              <w:adjustRightInd w:val="0"/>
              <w:spacing w:before="0" w:after="0"/>
              <w:jc w:val="left"/>
              <w:rPr>
                <w:rFonts w:eastAsia="Times New Roman"/>
                <w:kern w:val="0"/>
                <w:lang w:val="zh-CN"/>
              </w:rPr>
            </w:pPr>
            <w:r>
              <w:rPr>
                <w:rFonts w:hint="eastAsia" w:ascii="宋体" w:hAnsi="宋体" w:cs="宋体"/>
                <w:kern w:val="0"/>
                <w:lang w:val="zh-CN"/>
              </w:rPr>
              <w:t>银行承兑汇票</w:t>
            </w:r>
          </w:p>
        </w:tc>
        <w:tc>
          <w:tcPr>
            <w:tcW w:w="2410" w:type="dxa"/>
          </w:tcPr>
          <w:p>
            <w:pPr>
              <w:autoSpaceDE w:val="0"/>
              <w:autoSpaceDN w:val="0"/>
              <w:adjustRightInd w:val="0"/>
              <w:spacing w:before="0" w:after="0"/>
              <w:jc w:val="right"/>
              <w:rPr>
                <w:rFonts w:eastAsia="Times New Roman"/>
                <w:kern w:val="0"/>
                <w:lang w:val="zh-CN"/>
              </w:rPr>
            </w:pPr>
            <w:r>
              <w:rPr>
                <w:rFonts w:eastAsia="Times New Roman"/>
                <w:kern w:val="0"/>
                <w:lang w:val="zh-CN"/>
              </w:rPr>
              <w:t>17,313,676.15</w:t>
            </w:r>
          </w:p>
        </w:tc>
        <w:tc>
          <w:tcPr>
            <w:tcW w:w="2410" w:type="dxa"/>
          </w:tcPr>
          <w:p>
            <w:pPr>
              <w:autoSpaceDE w:val="0"/>
              <w:autoSpaceDN w:val="0"/>
              <w:adjustRightInd w:val="0"/>
              <w:spacing w:before="0" w:after="0"/>
              <w:jc w:val="right"/>
              <w:rPr>
                <w:rFonts w:eastAsia="Times New Roman"/>
                <w:kern w:val="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2993" w:type="dxa"/>
          </w:tcPr>
          <w:p>
            <w:pPr>
              <w:autoSpaceDE w:val="0"/>
              <w:autoSpaceDN w:val="0"/>
              <w:adjustRightInd w:val="0"/>
              <w:spacing w:before="0" w:after="0"/>
              <w:jc w:val="center"/>
              <w:rPr>
                <w:rFonts w:eastAsia="Times New Roman"/>
                <w:kern w:val="0"/>
                <w:lang w:val="zh-CN"/>
              </w:rPr>
            </w:pPr>
            <w:r>
              <w:rPr>
                <w:rFonts w:hint="eastAsia" w:ascii="宋体" w:hAnsi="宋体" w:cs="宋体"/>
                <w:kern w:val="0"/>
                <w:lang w:val="zh-CN"/>
              </w:rPr>
              <w:t>合计</w:t>
            </w:r>
          </w:p>
        </w:tc>
        <w:tc>
          <w:tcPr>
            <w:tcW w:w="2410" w:type="dxa"/>
          </w:tcPr>
          <w:p>
            <w:pPr>
              <w:autoSpaceDE w:val="0"/>
              <w:autoSpaceDN w:val="0"/>
              <w:adjustRightInd w:val="0"/>
              <w:spacing w:before="0" w:after="0"/>
              <w:jc w:val="right"/>
              <w:rPr>
                <w:rFonts w:eastAsia="Times New Roman"/>
                <w:kern w:val="0"/>
                <w:lang w:val="zh-CN"/>
              </w:rPr>
            </w:pPr>
            <w:r>
              <w:rPr>
                <w:rFonts w:eastAsia="Times New Roman"/>
                <w:kern w:val="0"/>
                <w:lang w:val="zh-CN"/>
              </w:rPr>
              <w:t>17,313,676.15</w:t>
            </w:r>
          </w:p>
        </w:tc>
        <w:tc>
          <w:tcPr>
            <w:tcW w:w="2410" w:type="dxa"/>
          </w:tcPr>
          <w:p>
            <w:pPr>
              <w:autoSpaceDE w:val="0"/>
              <w:autoSpaceDN w:val="0"/>
              <w:adjustRightInd w:val="0"/>
              <w:spacing w:before="0" w:after="0"/>
              <w:jc w:val="right"/>
              <w:rPr>
                <w:rFonts w:eastAsia="Times New Roman"/>
                <w:kern w:val="0"/>
                <w:lang w:val="zh-CN"/>
              </w:rPr>
            </w:pPr>
          </w:p>
        </w:tc>
      </w:tr>
    </w:tbl>
    <w:p>
      <w:pPr>
        <w:pStyle w:val="14"/>
        <w:outlineLvl w:val="2"/>
        <w:rPr>
          <w:bCs w:val="0"/>
          <w:szCs w:val="24"/>
        </w:rPr>
      </w:pPr>
      <w:r>
        <w:rPr>
          <w:bCs w:val="0"/>
          <w:szCs w:val="24"/>
        </w:rPr>
        <w:t>7</w:t>
      </w:r>
      <w:r>
        <w:rPr>
          <w:rFonts w:hint="eastAsia"/>
          <w:bCs w:val="0"/>
          <w:szCs w:val="24"/>
        </w:rPr>
        <w:t>、预付款项</w:t>
      </w:r>
    </w:p>
    <w:p>
      <w:pPr>
        <w:pStyle w:val="14"/>
        <w:outlineLvl w:val="3"/>
        <w:rPr>
          <w:bCs w:val="0"/>
          <w:szCs w:val="24"/>
        </w:rPr>
      </w:pPr>
      <w:r>
        <w:rPr>
          <w:rFonts w:hint="eastAsia"/>
          <w:bCs w:val="0"/>
          <w:szCs w:val="24"/>
        </w:rPr>
        <w:t>（</w:t>
      </w:r>
      <w:r>
        <w:rPr>
          <w:bCs w:val="0"/>
          <w:szCs w:val="24"/>
        </w:rPr>
        <w:t>1</w:t>
      </w:r>
      <w:r>
        <w:rPr>
          <w:rFonts w:hint="eastAsia"/>
          <w:bCs w:val="0"/>
          <w:szCs w:val="24"/>
        </w:rPr>
        <w:t>）预付款项按账龄列示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2"/>
        <w:gridCol w:w="1915"/>
        <w:gridCol w:w="1914"/>
        <w:gridCol w:w="1914"/>
        <w:gridCol w:w="1915"/>
      </w:tblGrid>
      <w:tr>
        <w:tc>
          <w:tcPr>
            <w:tcW w:w="191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账龄</w:t>
            </w:r>
          </w:p>
        </w:tc>
        <w:tc>
          <w:tcPr>
            <w:tcW w:w="3829"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829"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191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比例</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比例</w:t>
            </w:r>
          </w:p>
        </w:tc>
      </w:tr>
      <w:tr>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年以内</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60,780,530.38</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90.72%</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97,807,070.41</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95.47%</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至</w:t>
            </w:r>
            <w:r>
              <w:rPr>
                <w:szCs w:val="24"/>
              </w:rPr>
              <w:t>2</w:t>
            </w:r>
            <w:r>
              <w:rPr>
                <w:rFonts w:hint="eastAsia"/>
                <w:szCs w:val="24"/>
              </w:rPr>
              <w:t>年</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5,265,334.09</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7.86%</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1,508,249.07</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1.47%</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至</w:t>
            </w:r>
            <w:r>
              <w:rPr>
                <w:szCs w:val="24"/>
              </w:rPr>
              <w:t>3</w:t>
            </w:r>
            <w:r>
              <w:rPr>
                <w:rFonts w:hint="eastAsia"/>
                <w:szCs w:val="24"/>
              </w:rPr>
              <w:t>年</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433,309.04</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0.65%</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1,877,157.37</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1.83%</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r>
              <w:rPr>
                <w:rFonts w:hint="eastAsia"/>
                <w:szCs w:val="24"/>
              </w:rPr>
              <w:t>年以上</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512,800.82</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0.77%</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1,259,402.64</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1.23%</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915"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66,991,974.33</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102,451,879.49</w:t>
            </w:r>
          </w:p>
        </w:tc>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jc w:val="left"/>
        <w:rPr>
          <w:szCs w:val="24"/>
        </w:rPr>
      </w:pPr>
      <w:r>
        <w:rPr>
          <w:rFonts w:hint="eastAsia"/>
          <w:szCs w:val="24"/>
        </w:rPr>
        <w:t>账龄超过</w:t>
      </w:r>
      <w:r>
        <w:rPr>
          <w:szCs w:val="24"/>
        </w:rPr>
        <w:t>1</w:t>
      </w:r>
      <w:r>
        <w:rPr>
          <w:rFonts w:hint="eastAsia"/>
          <w:szCs w:val="24"/>
        </w:rPr>
        <w:t>年且金额重要的预付款项未及时结算原因的说明：</w:t>
      </w:r>
    </w:p>
    <w:p>
      <w:pPr>
        <w:pStyle w:val="14"/>
        <w:outlineLvl w:val="3"/>
        <w:rPr>
          <w:bCs w:val="0"/>
          <w:szCs w:val="24"/>
        </w:rPr>
      </w:pPr>
      <w:r>
        <w:rPr>
          <w:rFonts w:hint="eastAsia"/>
          <w:bCs w:val="0"/>
          <w:szCs w:val="24"/>
        </w:rPr>
        <w:t>（</w:t>
      </w:r>
      <w:r>
        <w:rPr>
          <w:bCs w:val="0"/>
          <w:szCs w:val="24"/>
        </w:rPr>
        <w:t>2</w:t>
      </w:r>
      <w:r>
        <w:rPr>
          <w:rFonts w:hint="eastAsia"/>
          <w:bCs w:val="0"/>
          <w:szCs w:val="24"/>
        </w:rPr>
        <w:t>）按预付对象归集的期末余额前五名的预付款情况</w:t>
      </w:r>
    </w:p>
    <w:tbl>
      <w:tblPr>
        <w:tblStyle w:val="9"/>
        <w:tblW w:w="0" w:type="auto"/>
        <w:tblInd w:w="6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 w:type="dxa"/>
          <w:left w:w="10" w:type="dxa"/>
          <w:bottom w:w="10" w:type="dxa"/>
          <w:right w:w="10" w:type="dxa"/>
        </w:tblCellMar>
      </w:tblPr>
      <w:tblGrid>
        <w:gridCol w:w="3505"/>
        <w:gridCol w:w="2126"/>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05" w:type="dxa"/>
          </w:tcPr>
          <w:p>
            <w:pPr>
              <w:autoSpaceDE w:val="0"/>
              <w:autoSpaceDN w:val="0"/>
              <w:adjustRightInd w:val="0"/>
              <w:spacing w:before="0" w:after="0"/>
              <w:jc w:val="center"/>
              <w:rPr>
                <w:rFonts w:eastAsia="Times New Roman"/>
                <w:kern w:val="0"/>
                <w:lang w:val="zh-CN"/>
              </w:rPr>
            </w:pPr>
            <w:r>
              <w:rPr>
                <w:rFonts w:hint="eastAsia" w:ascii="宋体" w:hAnsi="宋体" w:cs="宋体"/>
                <w:kern w:val="0"/>
                <w:lang w:val="zh-CN"/>
              </w:rPr>
              <w:t>预付对象</w:t>
            </w:r>
          </w:p>
        </w:tc>
        <w:tc>
          <w:tcPr>
            <w:tcW w:w="2126" w:type="dxa"/>
          </w:tcPr>
          <w:p>
            <w:pPr>
              <w:autoSpaceDE w:val="0"/>
              <w:autoSpaceDN w:val="0"/>
              <w:adjustRightInd w:val="0"/>
              <w:spacing w:before="0" w:after="0"/>
              <w:jc w:val="center"/>
              <w:rPr>
                <w:rFonts w:eastAsia="Times New Roman"/>
                <w:kern w:val="0"/>
                <w:lang w:val="zh-CN"/>
              </w:rPr>
            </w:pPr>
            <w:r>
              <w:rPr>
                <w:rFonts w:hint="eastAsia" w:ascii="宋体" w:hAnsi="宋体" w:cs="宋体"/>
                <w:kern w:val="0"/>
                <w:lang w:val="zh-CN"/>
              </w:rPr>
              <w:t>期末余额</w:t>
            </w:r>
          </w:p>
        </w:tc>
        <w:tc>
          <w:tcPr>
            <w:tcW w:w="2127" w:type="dxa"/>
          </w:tcPr>
          <w:p>
            <w:pPr>
              <w:autoSpaceDE w:val="0"/>
              <w:autoSpaceDN w:val="0"/>
              <w:adjustRightInd w:val="0"/>
              <w:spacing w:before="0" w:after="0"/>
              <w:jc w:val="center"/>
              <w:rPr>
                <w:rFonts w:eastAsia="Times New Roman"/>
                <w:kern w:val="0"/>
                <w:lang w:val="zh-CN"/>
              </w:rPr>
            </w:pPr>
            <w:r>
              <w:rPr>
                <w:rFonts w:hint="eastAsia" w:ascii="宋体" w:hAnsi="宋体" w:cs="宋体"/>
                <w:kern w:val="0"/>
                <w:lang w:val="zh-CN"/>
              </w:rPr>
              <w:t>占预付款项期末余额合计数的比例</w:t>
            </w:r>
            <w:r>
              <w:rPr>
                <w:rFonts w:eastAsia="Times New Roman"/>
                <w:kern w:val="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05" w:type="dxa"/>
          </w:tcPr>
          <w:p>
            <w:pPr>
              <w:autoSpaceDE w:val="0"/>
              <w:autoSpaceDN w:val="0"/>
              <w:adjustRightInd w:val="0"/>
              <w:spacing w:before="0" w:after="0"/>
              <w:jc w:val="left"/>
              <w:rPr>
                <w:rFonts w:eastAsia="Times New Roman"/>
                <w:kern w:val="0"/>
                <w:lang w:val="zh-CN"/>
              </w:rPr>
            </w:pPr>
            <w:r>
              <w:rPr>
                <w:rFonts w:hint="eastAsia" w:ascii="宋体" w:hAnsi="宋体" w:cs="宋体"/>
                <w:kern w:val="0"/>
                <w:lang w:val="zh-CN"/>
              </w:rPr>
              <w:t>重庆和盛医疗器械有限公司</w:t>
            </w:r>
          </w:p>
        </w:tc>
        <w:tc>
          <w:tcPr>
            <w:tcW w:w="2126" w:type="dxa"/>
          </w:tcPr>
          <w:p>
            <w:pPr>
              <w:autoSpaceDE w:val="0"/>
              <w:autoSpaceDN w:val="0"/>
              <w:adjustRightInd w:val="0"/>
              <w:spacing w:before="0" w:after="0"/>
              <w:jc w:val="right"/>
              <w:rPr>
                <w:rFonts w:eastAsia="Times New Roman"/>
                <w:kern w:val="0"/>
                <w:lang w:val="zh-CN"/>
              </w:rPr>
            </w:pPr>
            <w:r>
              <w:rPr>
                <w:rFonts w:eastAsia="Times New Roman"/>
                <w:kern w:val="0"/>
                <w:lang w:val="zh-CN"/>
              </w:rPr>
              <w:t>9,823,243.21</w:t>
            </w:r>
          </w:p>
        </w:tc>
        <w:tc>
          <w:tcPr>
            <w:tcW w:w="2127" w:type="dxa"/>
          </w:tcPr>
          <w:p>
            <w:pPr>
              <w:autoSpaceDE w:val="0"/>
              <w:autoSpaceDN w:val="0"/>
              <w:adjustRightInd w:val="0"/>
              <w:spacing w:before="0" w:after="0"/>
              <w:jc w:val="right"/>
              <w:rPr>
                <w:rFonts w:eastAsia="Times New Roman"/>
                <w:kern w:val="0"/>
                <w:lang w:val="zh-CN"/>
              </w:rPr>
            </w:pPr>
            <w:r>
              <w:rPr>
                <w:rFonts w:eastAsia="Times New Roman"/>
                <w:kern w:val="0"/>
                <w:lang w:val="zh-CN"/>
              </w:rPr>
              <w:t>14.66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3505" w:type="dxa"/>
          </w:tcPr>
          <w:p>
            <w:pPr>
              <w:autoSpaceDE w:val="0"/>
              <w:autoSpaceDN w:val="0"/>
              <w:adjustRightInd w:val="0"/>
              <w:spacing w:before="0" w:after="0"/>
              <w:jc w:val="left"/>
              <w:rPr>
                <w:rFonts w:eastAsia="Times New Roman"/>
                <w:kern w:val="0"/>
                <w:lang w:val="zh-CN"/>
              </w:rPr>
            </w:pPr>
            <w:r>
              <w:rPr>
                <w:rFonts w:hint="eastAsia" w:ascii="宋体" w:hAnsi="宋体" w:cs="宋体"/>
                <w:kern w:val="0"/>
                <w:lang w:val="zh-CN"/>
              </w:rPr>
              <w:t>日立诊断产品（上海）有限公司</w:t>
            </w:r>
          </w:p>
        </w:tc>
        <w:tc>
          <w:tcPr>
            <w:tcW w:w="2126" w:type="dxa"/>
          </w:tcPr>
          <w:p>
            <w:pPr>
              <w:autoSpaceDE w:val="0"/>
              <w:autoSpaceDN w:val="0"/>
              <w:adjustRightInd w:val="0"/>
              <w:spacing w:before="0" w:after="0"/>
              <w:jc w:val="right"/>
              <w:rPr>
                <w:rFonts w:eastAsia="Times New Roman"/>
                <w:kern w:val="0"/>
                <w:lang w:val="zh-CN"/>
              </w:rPr>
            </w:pPr>
            <w:r>
              <w:rPr>
                <w:rFonts w:eastAsia="Times New Roman"/>
                <w:kern w:val="0"/>
                <w:lang w:val="zh-CN"/>
              </w:rPr>
              <w:t>4,932,840.22</w:t>
            </w:r>
          </w:p>
        </w:tc>
        <w:tc>
          <w:tcPr>
            <w:tcW w:w="2127" w:type="dxa"/>
          </w:tcPr>
          <w:p>
            <w:pPr>
              <w:autoSpaceDE w:val="0"/>
              <w:autoSpaceDN w:val="0"/>
              <w:adjustRightInd w:val="0"/>
              <w:spacing w:before="0" w:after="0"/>
              <w:jc w:val="right"/>
              <w:rPr>
                <w:rFonts w:eastAsia="Times New Roman"/>
                <w:kern w:val="0"/>
                <w:lang w:val="zh-CN"/>
              </w:rPr>
            </w:pPr>
            <w:r>
              <w:rPr>
                <w:rFonts w:eastAsia="Times New Roman"/>
                <w:kern w:val="0"/>
                <w:lang w:val="zh-CN"/>
              </w:rPr>
              <w:t>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3505" w:type="dxa"/>
          </w:tcPr>
          <w:p>
            <w:pPr>
              <w:autoSpaceDE w:val="0"/>
              <w:autoSpaceDN w:val="0"/>
              <w:adjustRightInd w:val="0"/>
              <w:spacing w:before="0" w:after="0"/>
              <w:jc w:val="left"/>
              <w:rPr>
                <w:rFonts w:eastAsia="Times New Roman"/>
                <w:kern w:val="0"/>
                <w:lang w:val="zh-CN"/>
              </w:rPr>
            </w:pPr>
            <w:r>
              <w:rPr>
                <w:rFonts w:hint="eastAsia" w:ascii="宋体" w:hAnsi="宋体" w:cs="宋体"/>
                <w:kern w:val="0"/>
                <w:lang w:val="zh-CN"/>
              </w:rPr>
              <w:t>武汉启祥生物科技有限公司</w:t>
            </w:r>
          </w:p>
        </w:tc>
        <w:tc>
          <w:tcPr>
            <w:tcW w:w="2126" w:type="dxa"/>
          </w:tcPr>
          <w:p>
            <w:pPr>
              <w:autoSpaceDE w:val="0"/>
              <w:autoSpaceDN w:val="0"/>
              <w:adjustRightInd w:val="0"/>
              <w:spacing w:before="0" w:after="0"/>
              <w:jc w:val="right"/>
              <w:rPr>
                <w:rFonts w:eastAsia="Times New Roman"/>
                <w:kern w:val="0"/>
                <w:lang w:val="zh-CN"/>
              </w:rPr>
            </w:pPr>
            <w:r>
              <w:rPr>
                <w:rFonts w:eastAsia="Times New Roman"/>
                <w:kern w:val="0"/>
                <w:lang w:val="zh-CN"/>
              </w:rPr>
              <w:t>4,018,000.00</w:t>
            </w:r>
          </w:p>
        </w:tc>
        <w:tc>
          <w:tcPr>
            <w:tcW w:w="2127" w:type="dxa"/>
          </w:tcPr>
          <w:p>
            <w:pPr>
              <w:autoSpaceDE w:val="0"/>
              <w:autoSpaceDN w:val="0"/>
              <w:adjustRightInd w:val="0"/>
              <w:spacing w:before="0" w:after="0"/>
              <w:jc w:val="right"/>
              <w:rPr>
                <w:rFonts w:eastAsia="Times New Roman"/>
                <w:kern w:val="0"/>
                <w:lang w:val="zh-CN"/>
              </w:rPr>
            </w:pPr>
            <w:r>
              <w:rPr>
                <w:rFonts w:eastAsia="Times New Roman"/>
                <w:kern w:val="0"/>
                <w:lang w:val="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3505" w:type="dxa"/>
          </w:tcPr>
          <w:p>
            <w:pPr>
              <w:autoSpaceDE w:val="0"/>
              <w:autoSpaceDN w:val="0"/>
              <w:adjustRightInd w:val="0"/>
              <w:spacing w:before="0" w:after="0"/>
              <w:jc w:val="left"/>
              <w:rPr>
                <w:rFonts w:eastAsia="Times New Roman"/>
                <w:kern w:val="0"/>
                <w:lang w:val="zh-CN"/>
              </w:rPr>
            </w:pPr>
            <w:r>
              <w:rPr>
                <w:rFonts w:hint="eastAsia" w:ascii="宋体" w:hAnsi="宋体" w:cs="宋体"/>
                <w:kern w:val="0"/>
                <w:lang w:val="zh-CN"/>
              </w:rPr>
              <w:t>赛默飞世尔科技（中国）有限公司</w:t>
            </w:r>
          </w:p>
        </w:tc>
        <w:tc>
          <w:tcPr>
            <w:tcW w:w="2126" w:type="dxa"/>
          </w:tcPr>
          <w:p>
            <w:pPr>
              <w:autoSpaceDE w:val="0"/>
              <w:autoSpaceDN w:val="0"/>
              <w:adjustRightInd w:val="0"/>
              <w:spacing w:before="0" w:after="0"/>
              <w:jc w:val="right"/>
              <w:rPr>
                <w:rFonts w:eastAsia="Times New Roman"/>
                <w:kern w:val="0"/>
                <w:lang w:val="zh-CN"/>
              </w:rPr>
            </w:pPr>
            <w:r>
              <w:rPr>
                <w:rFonts w:eastAsia="Times New Roman"/>
                <w:kern w:val="0"/>
                <w:lang w:val="zh-CN"/>
              </w:rPr>
              <w:t>3,229,779.08</w:t>
            </w:r>
          </w:p>
        </w:tc>
        <w:tc>
          <w:tcPr>
            <w:tcW w:w="2127" w:type="dxa"/>
          </w:tcPr>
          <w:p>
            <w:pPr>
              <w:autoSpaceDE w:val="0"/>
              <w:autoSpaceDN w:val="0"/>
              <w:adjustRightInd w:val="0"/>
              <w:spacing w:before="0" w:after="0"/>
              <w:jc w:val="right"/>
              <w:rPr>
                <w:rFonts w:eastAsia="Times New Roman"/>
                <w:kern w:val="0"/>
                <w:lang w:val="zh-CN"/>
              </w:rPr>
            </w:pPr>
            <w:r>
              <w:rPr>
                <w:rFonts w:eastAsia="Times New Roman"/>
                <w:kern w:val="0"/>
                <w:lang w:val="zh-CN"/>
              </w:rPr>
              <w:t>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05" w:type="dxa"/>
          </w:tcPr>
          <w:p>
            <w:pPr>
              <w:autoSpaceDE w:val="0"/>
              <w:autoSpaceDN w:val="0"/>
              <w:adjustRightInd w:val="0"/>
              <w:spacing w:before="0" w:after="0"/>
              <w:jc w:val="left"/>
              <w:rPr>
                <w:rFonts w:eastAsia="Times New Roman"/>
                <w:kern w:val="0"/>
                <w:lang w:val="zh-CN"/>
              </w:rPr>
            </w:pPr>
            <w:r>
              <w:rPr>
                <w:rFonts w:hint="eastAsia" w:ascii="宋体" w:hAnsi="宋体" w:cs="宋体"/>
                <w:kern w:val="0"/>
                <w:lang w:val="zh-CN"/>
              </w:rPr>
              <w:t>西门子医学诊断产品（上海）有限公司</w:t>
            </w:r>
          </w:p>
        </w:tc>
        <w:tc>
          <w:tcPr>
            <w:tcW w:w="2126" w:type="dxa"/>
          </w:tcPr>
          <w:p>
            <w:pPr>
              <w:autoSpaceDE w:val="0"/>
              <w:autoSpaceDN w:val="0"/>
              <w:adjustRightInd w:val="0"/>
              <w:spacing w:before="0" w:after="0"/>
              <w:jc w:val="right"/>
              <w:rPr>
                <w:rFonts w:eastAsia="Times New Roman"/>
                <w:kern w:val="0"/>
                <w:lang w:val="zh-CN"/>
              </w:rPr>
            </w:pPr>
            <w:r>
              <w:rPr>
                <w:rFonts w:eastAsia="Times New Roman"/>
                <w:kern w:val="0"/>
                <w:lang w:val="zh-CN"/>
              </w:rPr>
              <w:t>2,753,262.61</w:t>
            </w:r>
          </w:p>
        </w:tc>
        <w:tc>
          <w:tcPr>
            <w:tcW w:w="2127" w:type="dxa"/>
          </w:tcPr>
          <w:p>
            <w:pPr>
              <w:autoSpaceDE w:val="0"/>
              <w:autoSpaceDN w:val="0"/>
              <w:adjustRightInd w:val="0"/>
              <w:spacing w:before="0" w:after="0"/>
              <w:jc w:val="right"/>
              <w:rPr>
                <w:rFonts w:eastAsia="Times New Roman"/>
                <w:kern w:val="0"/>
                <w:lang w:val="zh-CN"/>
              </w:rPr>
            </w:pPr>
            <w:r>
              <w:rPr>
                <w:rFonts w:eastAsia="Times New Roman"/>
                <w:kern w:val="0"/>
                <w:lang w:val="zh-CN"/>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05" w:type="dxa"/>
          </w:tcPr>
          <w:p>
            <w:pPr>
              <w:autoSpaceDE w:val="0"/>
              <w:autoSpaceDN w:val="0"/>
              <w:adjustRightInd w:val="0"/>
              <w:spacing w:before="0" w:after="0"/>
              <w:jc w:val="center"/>
              <w:rPr>
                <w:rFonts w:eastAsia="Times New Roman"/>
                <w:kern w:val="0"/>
                <w:lang w:val="zh-CN"/>
              </w:rPr>
            </w:pPr>
            <w:r>
              <w:rPr>
                <w:rFonts w:hint="eastAsia" w:ascii="宋体" w:hAnsi="宋体" w:cs="宋体"/>
                <w:kern w:val="0"/>
                <w:lang w:val="zh-CN"/>
              </w:rPr>
              <w:t>合计</w:t>
            </w:r>
          </w:p>
        </w:tc>
        <w:tc>
          <w:tcPr>
            <w:tcW w:w="2126" w:type="dxa"/>
          </w:tcPr>
          <w:p>
            <w:pPr>
              <w:autoSpaceDE w:val="0"/>
              <w:autoSpaceDN w:val="0"/>
              <w:adjustRightInd w:val="0"/>
              <w:spacing w:before="0" w:after="0"/>
              <w:jc w:val="right"/>
              <w:rPr>
                <w:rFonts w:eastAsia="Times New Roman"/>
                <w:kern w:val="0"/>
                <w:lang w:val="zh-CN"/>
              </w:rPr>
            </w:pPr>
            <w:r>
              <w:rPr>
                <w:rFonts w:eastAsia="Times New Roman"/>
                <w:kern w:val="0"/>
                <w:lang w:val="zh-CN"/>
              </w:rPr>
              <w:t>24,757,125.12</w:t>
            </w:r>
          </w:p>
        </w:tc>
        <w:tc>
          <w:tcPr>
            <w:tcW w:w="2127" w:type="dxa"/>
          </w:tcPr>
          <w:p>
            <w:pPr>
              <w:autoSpaceDE w:val="0"/>
              <w:autoSpaceDN w:val="0"/>
              <w:adjustRightInd w:val="0"/>
              <w:spacing w:before="0" w:after="0"/>
              <w:jc w:val="right"/>
              <w:rPr>
                <w:rFonts w:eastAsia="Times New Roman"/>
                <w:kern w:val="0"/>
                <w:lang w:val="zh-CN"/>
              </w:rPr>
            </w:pPr>
            <w:r>
              <w:rPr>
                <w:rFonts w:eastAsia="Times New Roman"/>
                <w:kern w:val="0"/>
                <w:lang w:val="zh-CN"/>
              </w:rPr>
              <w:t>36.95</w:t>
            </w:r>
          </w:p>
        </w:tc>
      </w:tr>
    </w:tbl>
    <w:p>
      <w:pPr>
        <w:autoSpaceDE w:val="0"/>
        <w:autoSpaceDN w:val="0"/>
        <w:adjustRightInd w:val="0"/>
        <w:spacing w:before="0" w:after="0"/>
        <w:jc w:val="left"/>
        <w:rPr>
          <w:rFonts w:eastAsia="Times New Roman"/>
          <w:kern w:val="0"/>
          <w:szCs w:val="24"/>
          <w:lang w:val="zh-CN"/>
        </w:rPr>
      </w:pPr>
    </w:p>
    <w:p>
      <w:pPr>
        <w:pStyle w:val="14"/>
        <w:outlineLvl w:val="2"/>
        <w:rPr>
          <w:bCs w:val="0"/>
          <w:szCs w:val="24"/>
        </w:rPr>
      </w:pPr>
      <w:r>
        <w:rPr>
          <w:bCs w:val="0"/>
          <w:szCs w:val="24"/>
        </w:rPr>
        <w:t>8</w:t>
      </w:r>
      <w:r>
        <w:rPr>
          <w:rFonts w:hint="eastAsia"/>
          <w:bCs w:val="0"/>
          <w:szCs w:val="24"/>
        </w:rPr>
        <w:t>、其他应收款</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应收股利</w:t>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9,802,979.34</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其他应收款</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95,806,046.15</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150,595,595.76</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105,609,025.49</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150,595,595.76</w:t>
            </w:r>
          </w:p>
        </w:tc>
      </w:tr>
    </w:tbl>
    <w:p>
      <w:pPr>
        <w:pStyle w:val="14"/>
        <w:outlineLvl w:val="3"/>
        <w:rPr>
          <w:bCs w:val="0"/>
          <w:szCs w:val="24"/>
        </w:rPr>
      </w:pPr>
      <w:r>
        <w:rPr>
          <w:rFonts w:hint="eastAsia"/>
          <w:bCs w:val="0"/>
          <w:szCs w:val="24"/>
        </w:rPr>
        <w:t>（</w:t>
      </w:r>
      <w:r>
        <w:rPr>
          <w:bCs w:val="0"/>
          <w:szCs w:val="24"/>
        </w:rPr>
        <w:t>1</w:t>
      </w:r>
      <w:r>
        <w:rPr>
          <w:rFonts w:hint="eastAsia"/>
          <w:bCs w:val="0"/>
          <w:szCs w:val="24"/>
        </w:rPr>
        <w:t>）应收利息</w:t>
      </w:r>
    </w:p>
    <w:p>
      <w:pPr>
        <w:pStyle w:val="14"/>
        <w:outlineLvl w:val="4"/>
        <w:rPr>
          <w:bCs w:val="0"/>
          <w:szCs w:val="24"/>
        </w:rPr>
      </w:pPr>
      <w:r>
        <w:rPr>
          <w:bCs w:val="0"/>
          <w:szCs w:val="24"/>
        </w:rPr>
        <w:t>1</w:t>
      </w:r>
      <w:r>
        <w:rPr>
          <w:rFonts w:hint="eastAsia"/>
          <w:bCs w:val="0"/>
          <w:szCs w:val="24"/>
        </w:rPr>
        <w:t>）应收利息分类</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90"/>
        <w:gridCol w:w="3190"/>
        <w:gridCol w:w="3189"/>
      </w:tblGrid>
      <w:tr>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pStyle w:val="14"/>
        <w:outlineLvl w:val="4"/>
        <w:rPr>
          <w:bCs w:val="0"/>
          <w:szCs w:val="24"/>
        </w:rPr>
      </w:pPr>
      <w:r>
        <w:rPr>
          <w:bCs w:val="0"/>
          <w:szCs w:val="24"/>
        </w:rPr>
        <w:t>2</w:t>
      </w:r>
      <w:r>
        <w:rPr>
          <w:rFonts w:hint="eastAsia"/>
          <w:bCs w:val="0"/>
          <w:szCs w:val="24"/>
        </w:rPr>
        <w:t>）重要逾期利息</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4"/>
        <w:gridCol w:w="1914"/>
        <w:gridCol w:w="1914"/>
        <w:gridCol w:w="1914"/>
        <w:gridCol w:w="1914"/>
      </w:tblGrid>
      <w:tr>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借款单位</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逾期时间</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逾期原因</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是否发生减值及其判断依据</w:t>
            </w:r>
          </w:p>
        </w:tc>
      </w:tr>
    </w:tbl>
    <w:p>
      <w:pPr>
        <w:jc w:val="left"/>
        <w:rPr>
          <w:szCs w:val="24"/>
        </w:rPr>
      </w:pPr>
      <w:r>
        <w:rPr>
          <w:rFonts w:hint="eastAsia"/>
          <w:szCs w:val="24"/>
        </w:rPr>
        <w:t>其他说明：</w:t>
      </w:r>
    </w:p>
    <w:p>
      <w:pPr>
        <w:pStyle w:val="14"/>
        <w:outlineLvl w:val="4"/>
        <w:rPr>
          <w:bCs w:val="0"/>
          <w:szCs w:val="24"/>
        </w:rPr>
      </w:pPr>
      <w:r>
        <w:rPr>
          <w:bCs w:val="0"/>
          <w:szCs w:val="24"/>
        </w:rPr>
        <w:t>3</w:t>
      </w:r>
      <w:r>
        <w:rPr>
          <w:rFonts w:hint="eastAsia"/>
          <w:bCs w:val="0"/>
          <w:szCs w:val="24"/>
        </w:rPr>
        <w:t>）坏账准备计提情况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3"/>
        <w:rPr>
          <w:bCs w:val="0"/>
          <w:szCs w:val="24"/>
        </w:rPr>
      </w:pPr>
      <w:r>
        <w:rPr>
          <w:rFonts w:hint="eastAsia"/>
          <w:bCs w:val="0"/>
          <w:szCs w:val="24"/>
        </w:rPr>
        <w:t>（</w:t>
      </w:r>
      <w:r>
        <w:rPr>
          <w:bCs w:val="0"/>
          <w:szCs w:val="24"/>
        </w:rPr>
        <w:t>2</w:t>
      </w:r>
      <w:r>
        <w:rPr>
          <w:rFonts w:hint="eastAsia"/>
          <w:bCs w:val="0"/>
          <w:szCs w:val="24"/>
        </w:rPr>
        <w:t>）应收股利</w:t>
      </w:r>
    </w:p>
    <w:p>
      <w:pPr>
        <w:pStyle w:val="14"/>
        <w:outlineLvl w:val="4"/>
        <w:rPr>
          <w:bCs w:val="0"/>
          <w:szCs w:val="24"/>
        </w:rPr>
      </w:pPr>
      <w:r>
        <w:rPr>
          <w:bCs w:val="0"/>
          <w:szCs w:val="24"/>
        </w:rPr>
        <w:t>1</w:t>
      </w:r>
      <w:r>
        <w:rPr>
          <w:rFonts w:hint="eastAsia"/>
          <w:bCs w:val="0"/>
          <w:szCs w:val="24"/>
        </w:rPr>
        <w:t>）应收股利分类</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90"/>
        <w:gridCol w:w="3190"/>
        <w:gridCol w:w="3189"/>
      </w:tblGrid>
      <w:tr>
        <w:tblPrEx>
          <w:tblCellMar>
            <w:top w:w="0" w:type="dxa"/>
            <w:left w:w="28" w:type="dxa"/>
            <w:bottom w:w="0" w:type="dxa"/>
            <w:right w:w="28" w:type="dxa"/>
          </w:tblCellMar>
        </w:tblPrEx>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r>
              <w:rPr>
                <w:szCs w:val="24"/>
              </w:rPr>
              <w:t>(</w:t>
            </w:r>
            <w:r>
              <w:rPr>
                <w:rFonts w:hint="eastAsia"/>
                <w:szCs w:val="24"/>
              </w:rPr>
              <w:t>或被投资单位</w:t>
            </w:r>
            <w:r>
              <w:rPr>
                <w:szCs w:val="24"/>
              </w:rPr>
              <w:t>)</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重庆和盛医疗器械有限公司</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9,802,979.34</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9,802,979.34</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bl>
    <w:p>
      <w:pPr>
        <w:pStyle w:val="14"/>
        <w:outlineLvl w:val="4"/>
        <w:rPr>
          <w:bCs w:val="0"/>
          <w:szCs w:val="24"/>
        </w:rPr>
      </w:pPr>
      <w:r>
        <w:rPr>
          <w:bCs w:val="0"/>
          <w:szCs w:val="24"/>
        </w:rPr>
        <w:t>2</w:t>
      </w:r>
      <w:r>
        <w:rPr>
          <w:rFonts w:hint="eastAsia"/>
          <w:bCs w:val="0"/>
          <w:szCs w:val="24"/>
        </w:rPr>
        <w:t>）重要的账龄超过</w:t>
      </w:r>
      <w:r>
        <w:rPr>
          <w:bCs w:val="0"/>
          <w:szCs w:val="24"/>
        </w:rPr>
        <w:t>1</w:t>
      </w:r>
      <w:r>
        <w:rPr>
          <w:rFonts w:hint="eastAsia"/>
          <w:bCs w:val="0"/>
          <w:szCs w:val="24"/>
        </w:rPr>
        <w:t>年的应收股利</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4"/>
        <w:gridCol w:w="1914"/>
        <w:gridCol w:w="1914"/>
        <w:gridCol w:w="1914"/>
        <w:gridCol w:w="1914"/>
      </w:tblGrid>
      <w:tr>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r>
              <w:rPr>
                <w:szCs w:val="24"/>
              </w:rPr>
              <w:t>(</w:t>
            </w:r>
            <w:r>
              <w:rPr>
                <w:rFonts w:hint="eastAsia"/>
                <w:szCs w:val="24"/>
              </w:rPr>
              <w:t>或被投资单位</w:t>
            </w:r>
            <w:r>
              <w:rPr>
                <w:szCs w:val="24"/>
              </w:rPr>
              <w:t>)</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账龄</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未收回的原因</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是否发生减值及其判断依据</w:t>
            </w:r>
          </w:p>
        </w:tc>
      </w:tr>
    </w:tbl>
    <w:p>
      <w:pPr>
        <w:pStyle w:val="14"/>
        <w:outlineLvl w:val="4"/>
        <w:rPr>
          <w:bCs w:val="0"/>
          <w:szCs w:val="24"/>
        </w:rPr>
      </w:pPr>
      <w:r>
        <w:rPr>
          <w:bCs w:val="0"/>
          <w:szCs w:val="24"/>
        </w:rPr>
        <w:t>3</w:t>
      </w:r>
      <w:r>
        <w:rPr>
          <w:rFonts w:hint="eastAsia"/>
          <w:bCs w:val="0"/>
          <w:szCs w:val="24"/>
        </w:rPr>
        <w:t>）坏账准备计提情况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其他说明：</w:t>
      </w:r>
    </w:p>
    <w:p>
      <w:pPr>
        <w:pStyle w:val="14"/>
        <w:outlineLvl w:val="3"/>
        <w:rPr>
          <w:bCs w:val="0"/>
          <w:szCs w:val="24"/>
        </w:rPr>
      </w:pPr>
      <w:r>
        <w:rPr>
          <w:rFonts w:hint="eastAsia"/>
          <w:bCs w:val="0"/>
          <w:szCs w:val="24"/>
        </w:rPr>
        <w:t>（</w:t>
      </w:r>
      <w:r>
        <w:rPr>
          <w:bCs w:val="0"/>
          <w:szCs w:val="24"/>
        </w:rPr>
        <w:t>3</w:t>
      </w:r>
      <w:r>
        <w:rPr>
          <w:rFonts w:hint="eastAsia"/>
          <w:bCs w:val="0"/>
          <w:szCs w:val="24"/>
        </w:rPr>
        <w:t>）其他应收款</w:t>
      </w:r>
    </w:p>
    <w:p>
      <w:pPr>
        <w:pStyle w:val="14"/>
        <w:outlineLvl w:val="4"/>
        <w:rPr>
          <w:bCs w:val="0"/>
          <w:szCs w:val="24"/>
        </w:rPr>
      </w:pPr>
      <w:r>
        <w:rPr>
          <w:bCs w:val="0"/>
          <w:szCs w:val="24"/>
        </w:rPr>
        <w:t>1</w:t>
      </w:r>
      <w:r>
        <w:rPr>
          <w:rFonts w:hint="eastAsia"/>
          <w:bCs w:val="0"/>
          <w:szCs w:val="24"/>
        </w:rPr>
        <w:t>）其他应收款按款项性质分类情况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1"/>
        <w:gridCol w:w="3191"/>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款项性质</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期末账面余额</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期初账面余额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股权转让款</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67,880,000.00</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63,950,000.00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押金保证金</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62,295,876.85</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77,514,944.91</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暂付款</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20,582,309.70</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26,544,203.00</w:t>
            </w:r>
          </w:p>
        </w:tc>
      </w:tr>
      <w:tr>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备用金</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2,541,614.33</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3,032,152.86</w:t>
            </w:r>
          </w:p>
        </w:tc>
      </w:tr>
      <w:tr>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1,876,358.01</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5,480,069.88</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155,176,158.89</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176,521,370.65</w:t>
            </w:r>
          </w:p>
        </w:tc>
      </w:tr>
    </w:tbl>
    <w:p>
      <w:pPr>
        <w:pStyle w:val="14"/>
        <w:outlineLvl w:val="4"/>
        <w:rPr>
          <w:bCs w:val="0"/>
          <w:szCs w:val="24"/>
        </w:rPr>
      </w:pPr>
      <w:r>
        <w:rPr>
          <w:bCs w:val="0"/>
          <w:szCs w:val="24"/>
        </w:rPr>
        <w:t>2</w:t>
      </w:r>
      <w:r>
        <w:rPr>
          <w:rFonts w:hint="eastAsia"/>
          <w:bCs w:val="0"/>
          <w:szCs w:val="24"/>
        </w:rPr>
        <w:t>）坏账准备计提情况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6"/>
        <w:gridCol w:w="1650"/>
        <w:gridCol w:w="2099"/>
        <w:gridCol w:w="2099"/>
        <w:gridCol w:w="1804"/>
      </w:tblGrid>
      <w:tr>
        <w:tc>
          <w:tcPr>
            <w:tcW w:w="191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16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第一阶段</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第二阶段</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第三阶段</w:t>
            </w:r>
          </w:p>
        </w:tc>
        <w:tc>
          <w:tcPr>
            <w:tcW w:w="180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合计</w:t>
            </w:r>
          </w:p>
        </w:tc>
      </w:tr>
      <w:tr>
        <w:tc>
          <w:tcPr>
            <w:tcW w:w="191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6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未来</w:t>
            </w:r>
            <w:r>
              <w:rPr>
                <w:szCs w:val="24"/>
              </w:rPr>
              <w:t>12</w:t>
            </w:r>
            <w:r>
              <w:rPr>
                <w:rFonts w:hint="eastAsia"/>
                <w:szCs w:val="24"/>
              </w:rPr>
              <w:t>个月预期信用损失</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整个存续期预期信用损失</w:t>
            </w:r>
            <w:r>
              <w:rPr>
                <w:szCs w:val="24"/>
              </w:rPr>
              <w:t>(</w:t>
            </w:r>
            <w:r>
              <w:rPr>
                <w:rFonts w:hint="eastAsia"/>
                <w:szCs w:val="24"/>
              </w:rPr>
              <w:t>未发生信用减值</w:t>
            </w:r>
            <w:r>
              <w:rPr>
                <w:szCs w:val="24"/>
              </w:rPr>
              <w:t>)</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整个存续期预期信用损失</w:t>
            </w:r>
            <w:r>
              <w:rPr>
                <w:szCs w:val="24"/>
              </w:rPr>
              <w:t>(</w:t>
            </w:r>
            <w:r>
              <w:rPr>
                <w:rFonts w:hint="eastAsia"/>
                <w:szCs w:val="24"/>
              </w:rPr>
              <w:t>已发生信用减值</w:t>
            </w:r>
            <w:r>
              <w:rPr>
                <w:szCs w:val="24"/>
              </w:rPr>
              <w:t>)</w:t>
            </w:r>
          </w:p>
        </w:tc>
        <w:tc>
          <w:tcPr>
            <w:tcW w:w="1804"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2019</w:t>
            </w:r>
            <w:r>
              <w:rPr>
                <w:rFonts w:hint="eastAsia"/>
                <w:szCs w:val="24"/>
              </w:rPr>
              <w:t>年</w:t>
            </w:r>
            <w:r>
              <w:rPr>
                <w:szCs w:val="24"/>
              </w:rPr>
              <w:t>1</w:t>
            </w:r>
            <w:r>
              <w:rPr>
                <w:rFonts w:hint="eastAsia"/>
                <w:szCs w:val="24"/>
              </w:rPr>
              <w:t>月</w:t>
            </w:r>
            <w:r>
              <w:rPr>
                <w:szCs w:val="24"/>
              </w:rPr>
              <w:t>1</w:t>
            </w:r>
            <w:r>
              <w:rPr>
                <w:rFonts w:hint="eastAsia"/>
                <w:szCs w:val="24"/>
              </w:rPr>
              <w:t>日余额</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14,015,774.89</w:t>
            </w: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11,910,000.00</w:t>
            </w:r>
          </w:p>
        </w:tc>
        <w:tc>
          <w:tcPr>
            <w:tcW w:w="18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25,925,774.89</w:t>
            </w:r>
          </w:p>
        </w:tc>
      </w:tr>
      <w:tr>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2019</w:t>
            </w:r>
            <w:r>
              <w:rPr>
                <w:rFonts w:hint="eastAsia"/>
                <w:szCs w:val="24"/>
              </w:rPr>
              <w:t>年</w:t>
            </w:r>
            <w:r>
              <w:rPr>
                <w:szCs w:val="24"/>
              </w:rPr>
              <w:t>1</w:t>
            </w:r>
            <w:r>
              <w:rPr>
                <w:rFonts w:hint="eastAsia"/>
                <w:szCs w:val="24"/>
              </w:rPr>
              <w:t>月</w:t>
            </w:r>
            <w:r>
              <w:rPr>
                <w:szCs w:val="24"/>
              </w:rPr>
              <w:t>1</w:t>
            </w:r>
            <w:r>
              <w:rPr>
                <w:rFonts w:hint="eastAsia"/>
                <w:szCs w:val="24"/>
              </w:rPr>
              <w:t>日余额在本期</w:t>
            </w:r>
          </w:p>
        </w:tc>
        <w:tc>
          <w:tcPr>
            <w:tcW w:w="16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80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本期计提</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34,081,778.43</w:t>
            </w:r>
          </w:p>
        </w:tc>
        <w:tc>
          <w:tcPr>
            <w:tcW w:w="18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34,081,778.43</w:t>
            </w:r>
          </w:p>
        </w:tc>
      </w:tr>
      <w:tr>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本期转回</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323,443.88</w:t>
            </w: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8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323,443.88</w:t>
            </w:r>
          </w:p>
        </w:tc>
      </w:tr>
      <w:tr>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本期核销</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313,996.70</w:t>
            </w: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8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313,996.70</w:t>
            </w:r>
          </w:p>
        </w:tc>
      </w:tr>
      <w:tr>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2019</w:t>
            </w:r>
            <w:r>
              <w:rPr>
                <w:rFonts w:hint="eastAsia"/>
                <w:szCs w:val="24"/>
              </w:rPr>
              <w:t>年</w:t>
            </w:r>
            <w:r>
              <w:rPr>
                <w:szCs w:val="24"/>
              </w:rPr>
              <w:t>12</w:t>
            </w:r>
            <w:r>
              <w:rPr>
                <w:rFonts w:hint="eastAsia"/>
                <w:szCs w:val="24"/>
              </w:rPr>
              <w:t>月</w:t>
            </w:r>
            <w:r>
              <w:rPr>
                <w:szCs w:val="24"/>
              </w:rPr>
              <w:t>31</w:t>
            </w:r>
            <w:r>
              <w:rPr>
                <w:rFonts w:hint="eastAsia"/>
                <w:szCs w:val="24"/>
              </w:rPr>
              <w:t>日余额</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13,378,334.31</w:t>
            </w: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45,991,778.43</w:t>
            </w:r>
          </w:p>
        </w:tc>
        <w:tc>
          <w:tcPr>
            <w:tcW w:w="18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59,370,112.74</w:t>
            </w:r>
          </w:p>
        </w:tc>
      </w:tr>
    </w:tbl>
    <w:p>
      <w:pPr>
        <w:jc w:val="left"/>
        <w:rPr>
          <w:szCs w:val="24"/>
        </w:rPr>
      </w:pPr>
      <w:r>
        <w:rPr>
          <w:rFonts w:hint="eastAsia"/>
          <w:szCs w:val="24"/>
        </w:rPr>
        <w:t>损失准备本期变动金额重大的账面余额变动情况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按账龄披露</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84"/>
        <w:gridCol w:w="4784"/>
      </w:tblGrid>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账龄</w:t>
            </w:r>
          </w:p>
        </w:tc>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年以内（含</w:t>
            </w:r>
            <w:r>
              <w:rPr>
                <w:szCs w:val="24"/>
              </w:rPr>
              <w:t>1</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62,534,283.24</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至</w:t>
            </w:r>
            <w:r>
              <w:rPr>
                <w:szCs w:val="24"/>
              </w:rPr>
              <w:t>2</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31,838,305.15</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至</w:t>
            </w:r>
            <w:r>
              <w:rPr>
                <w:szCs w:val="24"/>
              </w:rPr>
              <w:t>3</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14,979,845.14</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r>
              <w:rPr>
                <w:rFonts w:hint="eastAsia"/>
                <w:szCs w:val="24"/>
              </w:rPr>
              <w:t>年以上</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45,823,725.36</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3</w:t>
            </w:r>
            <w:r>
              <w:rPr>
                <w:rFonts w:hint="eastAsia"/>
                <w:szCs w:val="24"/>
              </w:rPr>
              <w:t>至</w:t>
            </w:r>
            <w:r>
              <w:rPr>
                <w:szCs w:val="24"/>
              </w:rPr>
              <w:t>4</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40,843,333.04</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4</w:t>
            </w:r>
            <w:r>
              <w:rPr>
                <w:rFonts w:hint="eastAsia"/>
                <w:szCs w:val="24"/>
              </w:rPr>
              <w:t>至</w:t>
            </w:r>
            <w:r>
              <w:rPr>
                <w:szCs w:val="24"/>
              </w:rPr>
              <w:t>5</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4,752,953.87</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5</w:t>
            </w:r>
            <w:r>
              <w:rPr>
                <w:rFonts w:hint="eastAsia"/>
                <w:szCs w:val="24"/>
              </w:rPr>
              <w:t>年以上</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227,438.45</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155,176,158.89</w:t>
            </w:r>
          </w:p>
        </w:tc>
      </w:tr>
    </w:tbl>
    <w:p>
      <w:pPr>
        <w:pStyle w:val="14"/>
        <w:outlineLvl w:val="4"/>
        <w:rPr>
          <w:bCs w:val="0"/>
          <w:szCs w:val="24"/>
        </w:rPr>
      </w:pPr>
      <w:r>
        <w:rPr>
          <w:bCs w:val="0"/>
          <w:szCs w:val="24"/>
        </w:rPr>
        <w:t>3</w:t>
      </w:r>
      <w:r>
        <w:rPr>
          <w:rFonts w:hint="eastAsia"/>
          <w:bCs w:val="0"/>
          <w:szCs w:val="24"/>
        </w:rPr>
        <w:t>）本期计提、收回或转回的坏账准备情况</w:t>
      </w:r>
    </w:p>
    <w:p>
      <w:pPr>
        <w:jc w:val="left"/>
        <w:rPr>
          <w:szCs w:val="24"/>
        </w:rPr>
      </w:pPr>
      <w:r>
        <w:rPr>
          <w:rFonts w:hint="eastAsia"/>
          <w:szCs w:val="24"/>
        </w:rPr>
        <w:t>本期计提坏账准备情况：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415"/>
        <w:gridCol w:w="1098"/>
        <w:gridCol w:w="1340"/>
        <w:gridCol w:w="1332"/>
        <w:gridCol w:w="1330"/>
        <w:gridCol w:w="1326"/>
        <w:gridCol w:w="1726"/>
      </w:tblGrid>
      <w:tr>
        <w:tc>
          <w:tcPr>
            <w:tcW w:w="1415"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类别</w:t>
            </w:r>
          </w:p>
        </w:tc>
        <w:tc>
          <w:tcPr>
            <w:tcW w:w="109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5328"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本期变动金额</w:t>
            </w:r>
          </w:p>
        </w:tc>
        <w:tc>
          <w:tcPr>
            <w:tcW w:w="172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c>
          <w:tcPr>
            <w:tcW w:w="141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09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4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w:t>
            </w:r>
          </w:p>
        </w:tc>
        <w:tc>
          <w:tcPr>
            <w:tcW w:w="133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收回或转回</w:t>
            </w:r>
          </w:p>
        </w:tc>
        <w:tc>
          <w:tcPr>
            <w:tcW w:w="133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w:t>
            </w:r>
          </w:p>
        </w:tc>
        <w:tc>
          <w:tcPr>
            <w:tcW w:w="132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172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c>
          <w:tcPr>
            <w:tcW w:w="141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按单项计提坏账准备</w:t>
            </w:r>
          </w:p>
        </w:tc>
        <w:tc>
          <w:tcPr>
            <w:tcW w:w="10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11,910,000.00</w:t>
            </w:r>
          </w:p>
        </w:tc>
        <w:tc>
          <w:tcPr>
            <w:tcW w:w="134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34,081,778.43</w:t>
            </w:r>
          </w:p>
        </w:tc>
        <w:tc>
          <w:tcPr>
            <w:tcW w:w="13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45,991,778.43</w:t>
            </w:r>
          </w:p>
        </w:tc>
      </w:tr>
      <w:tr>
        <w:tc>
          <w:tcPr>
            <w:tcW w:w="141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按组合计提坏账准备</w:t>
            </w:r>
          </w:p>
        </w:tc>
        <w:tc>
          <w:tcPr>
            <w:tcW w:w="10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14,015,774.89</w:t>
            </w:r>
          </w:p>
        </w:tc>
        <w:tc>
          <w:tcPr>
            <w:tcW w:w="134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323,443.88</w:t>
            </w:r>
          </w:p>
        </w:tc>
        <w:tc>
          <w:tcPr>
            <w:tcW w:w="13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313,996.70</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13,378,334.31</w:t>
            </w:r>
          </w:p>
        </w:tc>
      </w:tr>
      <w:tr>
        <w:tc>
          <w:tcPr>
            <w:tcW w:w="141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0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25,925,774.89</w:t>
            </w:r>
          </w:p>
        </w:tc>
        <w:tc>
          <w:tcPr>
            <w:tcW w:w="134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34,081,778.43</w:t>
            </w:r>
          </w:p>
        </w:tc>
        <w:tc>
          <w:tcPr>
            <w:tcW w:w="13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323,443.88</w:t>
            </w:r>
          </w:p>
        </w:tc>
        <w:tc>
          <w:tcPr>
            <w:tcW w:w="133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313,996.70</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59,370,112.74</w:t>
            </w:r>
          </w:p>
        </w:tc>
      </w:tr>
    </w:tbl>
    <w:p>
      <w:pPr>
        <w:jc w:val="left"/>
        <w:rPr>
          <w:szCs w:val="24"/>
        </w:rPr>
      </w:pPr>
      <w:r>
        <w:rPr>
          <w:rFonts w:hint="eastAsia"/>
          <w:szCs w:val="24"/>
        </w:rPr>
        <w:t>其中本期坏账准备转回或收回金额重要的：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1"/>
        <w:gridCol w:w="3191"/>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单位名称</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转回或收回金额</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收回方式</w:t>
            </w:r>
          </w:p>
        </w:tc>
      </w:tr>
    </w:tbl>
    <w:p>
      <w:pPr>
        <w:pStyle w:val="14"/>
        <w:outlineLvl w:val="4"/>
        <w:rPr>
          <w:bCs w:val="0"/>
          <w:szCs w:val="24"/>
        </w:rPr>
      </w:pPr>
      <w:r>
        <w:rPr>
          <w:bCs w:val="0"/>
          <w:szCs w:val="24"/>
        </w:rPr>
        <w:t>4</w:t>
      </w:r>
      <w:r>
        <w:rPr>
          <w:rFonts w:hint="eastAsia"/>
          <w:bCs w:val="0"/>
          <w:szCs w:val="24"/>
        </w:rPr>
        <w:t>）本期实际核销的其他应收款情况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80"/>
        <w:gridCol w:w="4788"/>
      </w:tblGrid>
      <w:tr>
        <w:tblPrEx>
          <w:tblCellMar>
            <w:top w:w="0" w:type="dxa"/>
            <w:left w:w="28" w:type="dxa"/>
            <w:bottom w:w="0" w:type="dxa"/>
            <w:right w:w="28" w:type="dxa"/>
          </w:tblCellMar>
        </w:tblPrEx>
        <w:tc>
          <w:tcPr>
            <w:tcW w:w="47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478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核销金额</w:t>
            </w:r>
          </w:p>
        </w:tc>
      </w:tr>
      <w:tr>
        <w:tblPrEx>
          <w:tblCellMar>
            <w:top w:w="0" w:type="dxa"/>
            <w:left w:w="28" w:type="dxa"/>
            <w:bottom w:w="0" w:type="dxa"/>
            <w:right w:w="28" w:type="dxa"/>
          </w:tblCellMar>
        </w:tblPrEx>
        <w:tc>
          <w:tcPr>
            <w:tcW w:w="47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实际核销的其他应收款项</w:t>
            </w:r>
          </w:p>
        </w:tc>
        <w:tc>
          <w:tcPr>
            <w:tcW w:w="478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313,996.70</w:t>
            </w:r>
          </w:p>
        </w:tc>
      </w:tr>
    </w:tbl>
    <w:p>
      <w:pPr>
        <w:jc w:val="left"/>
        <w:rPr>
          <w:szCs w:val="24"/>
        </w:rPr>
      </w:pPr>
      <w:r>
        <w:rPr>
          <w:rFonts w:hint="eastAsia"/>
          <w:szCs w:val="24"/>
        </w:rPr>
        <w:t>其中重要的其他应收款核销情况：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594"/>
        <w:gridCol w:w="1594"/>
        <w:gridCol w:w="1594"/>
        <w:gridCol w:w="1594"/>
        <w:gridCol w:w="1595"/>
        <w:gridCol w:w="1595"/>
      </w:tblGrid>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单位名称</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其他应收款性质</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核销金额</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核销原因</w:t>
            </w:r>
          </w:p>
        </w:tc>
        <w:tc>
          <w:tcPr>
            <w:tcW w:w="159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履行的核销程序</w:t>
            </w:r>
          </w:p>
        </w:tc>
        <w:tc>
          <w:tcPr>
            <w:tcW w:w="159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款项是否由关联交易产生</w:t>
            </w:r>
          </w:p>
        </w:tc>
      </w:tr>
    </w:tbl>
    <w:p>
      <w:pPr>
        <w:jc w:val="left"/>
        <w:rPr>
          <w:szCs w:val="24"/>
        </w:rPr>
      </w:pPr>
      <w:r>
        <w:rPr>
          <w:rFonts w:hint="eastAsia"/>
          <w:szCs w:val="24"/>
        </w:rPr>
        <w:t>其他应收款核销说明：</w:t>
      </w:r>
    </w:p>
    <w:p>
      <w:pPr>
        <w:pStyle w:val="14"/>
        <w:outlineLvl w:val="4"/>
        <w:rPr>
          <w:bCs w:val="0"/>
          <w:szCs w:val="24"/>
        </w:rPr>
      </w:pPr>
      <w:r>
        <w:rPr>
          <w:bCs w:val="0"/>
          <w:szCs w:val="24"/>
        </w:rPr>
        <w:t>5</w:t>
      </w:r>
      <w:r>
        <w:rPr>
          <w:rFonts w:hint="eastAsia"/>
          <w:bCs w:val="0"/>
          <w:szCs w:val="24"/>
        </w:rPr>
        <w:t>）按欠款方归集的期末余额前五名的其他应收款情况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594"/>
        <w:gridCol w:w="1594"/>
        <w:gridCol w:w="1594"/>
        <w:gridCol w:w="1594"/>
        <w:gridCol w:w="1595"/>
        <w:gridCol w:w="1595"/>
      </w:tblGrid>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单位名称</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款项的性质</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账龄</w:t>
            </w:r>
          </w:p>
        </w:tc>
        <w:tc>
          <w:tcPr>
            <w:tcW w:w="159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占其他应收款期末余额合计数的比例</w:t>
            </w:r>
          </w:p>
        </w:tc>
        <w:tc>
          <w:tcPr>
            <w:tcW w:w="159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坏账准备期末余额</w:t>
            </w:r>
          </w:p>
        </w:tc>
      </w:tr>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嘉祥共创（厦门）生物科技有限公司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股权转让款</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38,700,000.00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3-4</w:t>
            </w:r>
            <w:r>
              <w:rPr>
                <w:rFonts w:hint="eastAsia"/>
                <w:szCs w:val="24"/>
              </w:rPr>
              <w:t>年</w:t>
            </w: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24.94%</w:t>
            </w: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35,695,303.43</w:t>
            </w:r>
          </w:p>
        </w:tc>
      </w:tr>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雅培贸易（上海）有限公司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押金保证金</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32,563,523.00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1</w:t>
            </w:r>
            <w:r>
              <w:rPr>
                <w:rFonts w:hint="eastAsia"/>
                <w:szCs w:val="24"/>
              </w:rPr>
              <w:t>年以内、</w:t>
            </w:r>
            <w:r>
              <w:rPr>
                <w:szCs w:val="24"/>
              </w:rPr>
              <w:t>1-2</w:t>
            </w:r>
            <w:r>
              <w:rPr>
                <w:rFonts w:hint="eastAsia"/>
                <w:szCs w:val="24"/>
              </w:rPr>
              <w:t>年、</w:t>
            </w:r>
            <w:r>
              <w:rPr>
                <w:szCs w:val="24"/>
              </w:rPr>
              <w:t>2-3</w:t>
            </w:r>
            <w:r>
              <w:rPr>
                <w:rFonts w:hint="eastAsia"/>
                <w:szCs w:val="24"/>
              </w:rPr>
              <w:t>年</w:t>
            </w: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20.98%</w:t>
            </w: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3,991,569.55</w:t>
            </w:r>
          </w:p>
        </w:tc>
      </w:tr>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刘培岗</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股权转让款</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26,460,000.00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1</w:t>
            </w:r>
            <w:r>
              <w:rPr>
                <w:rFonts w:hint="eastAsia"/>
                <w:szCs w:val="24"/>
              </w:rPr>
              <w:t>年以内</w:t>
            </w: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17.05%</w:t>
            </w: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1,323,000.00</w:t>
            </w:r>
          </w:p>
        </w:tc>
      </w:tr>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Creo Wellness, L.L.C.</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暂付款</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9,069,060.00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1-2</w:t>
            </w:r>
            <w:r>
              <w:rPr>
                <w:rFonts w:hint="eastAsia"/>
                <w:szCs w:val="24"/>
              </w:rPr>
              <w:t>年</w:t>
            </w: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5.84%</w:t>
            </w: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9,069,060.00</w:t>
            </w:r>
          </w:p>
        </w:tc>
      </w:tr>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虞城县人民医院</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暂付款</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5,273,698.63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1</w:t>
            </w:r>
            <w:r>
              <w:rPr>
                <w:rFonts w:hint="eastAsia"/>
                <w:szCs w:val="24"/>
              </w:rPr>
              <w:t>年以内</w:t>
            </w: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3.40%</w:t>
            </w: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263,684.93</w:t>
            </w:r>
          </w:p>
        </w:tc>
      </w:tr>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112,066,281.63</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72.21%</w:t>
            </w: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50,342,617.91</w:t>
            </w:r>
          </w:p>
        </w:tc>
      </w:tr>
    </w:tbl>
    <w:p>
      <w:pPr>
        <w:pStyle w:val="14"/>
        <w:outlineLvl w:val="4"/>
        <w:rPr>
          <w:bCs w:val="0"/>
          <w:szCs w:val="24"/>
        </w:rPr>
      </w:pPr>
      <w:r>
        <w:rPr>
          <w:bCs w:val="0"/>
          <w:szCs w:val="24"/>
        </w:rPr>
        <w:t>6</w:t>
      </w:r>
      <w:r>
        <w:rPr>
          <w:rFonts w:hint="eastAsia"/>
          <w:bCs w:val="0"/>
          <w:szCs w:val="24"/>
        </w:rPr>
        <w:t>）涉及政府补助的应收款项</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2"/>
        <w:gridCol w:w="1914"/>
        <w:gridCol w:w="1914"/>
        <w:gridCol w:w="1914"/>
        <w:gridCol w:w="1916"/>
      </w:tblGrid>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单位名称</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政府补助项目名称</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期末账龄</w:t>
            </w:r>
          </w:p>
        </w:tc>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预计收取的时间、金额及依据</w:t>
            </w:r>
          </w:p>
        </w:tc>
      </w:tr>
    </w:tbl>
    <w:p>
      <w:pPr>
        <w:pStyle w:val="14"/>
        <w:outlineLvl w:val="4"/>
        <w:rPr>
          <w:bCs w:val="0"/>
          <w:szCs w:val="24"/>
        </w:rPr>
      </w:pPr>
      <w:r>
        <w:rPr>
          <w:bCs w:val="0"/>
          <w:szCs w:val="24"/>
        </w:rPr>
        <w:t>7</w:t>
      </w:r>
      <w:r>
        <w:rPr>
          <w:rFonts w:hint="eastAsia"/>
          <w:bCs w:val="0"/>
          <w:szCs w:val="24"/>
        </w:rPr>
        <w:t>）因金融资产转移而终止确认的其他应收款</w:t>
      </w:r>
    </w:p>
    <w:p>
      <w:pPr>
        <w:pStyle w:val="14"/>
        <w:outlineLvl w:val="4"/>
        <w:rPr>
          <w:bCs w:val="0"/>
          <w:szCs w:val="24"/>
        </w:rPr>
      </w:pPr>
      <w:r>
        <w:rPr>
          <w:bCs w:val="0"/>
          <w:szCs w:val="24"/>
        </w:rPr>
        <w:t>8</w:t>
      </w:r>
      <w:r>
        <w:rPr>
          <w:rFonts w:hint="eastAsia"/>
          <w:bCs w:val="0"/>
          <w:szCs w:val="24"/>
        </w:rPr>
        <w:t>）转移其他应收款且继续涉入形成的资产、负债金额</w:t>
      </w:r>
    </w:p>
    <w:p>
      <w:pPr>
        <w:pStyle w:val="14"/>
        <w:outlineLvl w:val="2"/>
        <w:rPr>
          <w:bCs w:val="0"/>
          <w:szCs w:val="24"/>
        </w:rPr>
      </w:pPr>
      <w:r>
        <w:rPr>
          <w:bCs w:val="0"/>
          <w:szCs w:val="24"/>
        </w:rPr>
        <w:t>9</w:t>
      </w:r>
      <w:r>
        <w:rPr>
          <w:rFonts w:hint="eastAsia"/>
          <w:bCs w:val="0"/>
          <w:szCs w:val="24"/>
        </w:rPr>
        <w:t>、存货</w:t>
      </w:r>
    </w:p>
    <w:p>
      <w:pPr>
        <w:jc w:val="left"/>
        <w:rPr>
          <w:szCs w:val="24"/>
        </w:rPr>
      </w:pPr>
      <w:r>
        <w:rPr>
          <w:rFonts w:hint="eastAsia"/>
          <w:szCs w:val="24"/>
        </w:rPr>
        <w:t>是否已执行新收入准则</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pStyle w:val="14"/>
        <w:outlineLvl w:val="3"/>
        <w:rPr>
          <w:bCs w:val="0"/>
          <w:szCs w:val="24"/>
        </w:rPr>
      </w:pPr>
      <w:r>
        <w:rPr>
          <w:rFonts w:hint="eastAsia"/>
          <w:bCs w:val="0"/>
          <w:szCs w:val="24"/>
        </w:rPr>
        <w:t>（</w:t>
      </w:r>
      <w:r>
        <w:rPr>
          <w:bCs w:val="0"/>
          <w:szCs w:val="24"/>
        </w:rPr>
        <w:t>1</w:t>
      </w:r>
      <w:r>
        <w:rPr>
          <w:rFonts w:hint="eastAsia"/>
          <w:bCs w:val="0"/>
          <w:szCs w:val="24"/>
        </w:rPr>
        <w:t>）存货分类</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368"/>
        <w:gridCol w:w="1368"/>
        <w:gridCol w:w="1367"/>
        <w:gridCol w:w="1367"/>
        <w:gridCol w:w="1367"/>
        <w:gridCol w:w="1367"/>
        <w:gridCol w:w="1367"/>
      </w:tblGrid>
      <w:tr>
        <w:tblPrEx>
          <w:tblCellMar>
            <w:top w:w="0" w:type="dxa"/>
            <w:left w:w="28" w:type="dxa"/>
            <w:bottom w:w="0" w:type="dxa"/>
            <w:right w:w="28" w:type="dxa"/>
          </w:tblCellMar>
        </w:tblPrEx>
        <w:tc>
          <w:tcPr>
            <w:tcW w:w="136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4102"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4101"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136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跌价准备</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跌价准备</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原材料</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39,426,640.51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1,002,717.21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38,423,923.30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38,700,089.83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38,700,089.83</w:t>
            </w: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在产品</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24,915,533.92</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24,915,533.92</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22,551,223.75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22,551,223.75</w:t>
            </w: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库存商品</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235,955,487.95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293,637.94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235,661,850.01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239,273,309.83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344,716.90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238,928,592.93</w:t>
            </w: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周转材料</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571,877.82</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571,877.82</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410,669.22</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410,669.22</w:t>
            </w: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发出商品</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109,797,037.61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109,797,037.61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87,822,732.17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87,822,732.17</w:t>
            </w: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在途物资</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150,885.17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150,885.17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410,817,462.98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1,296,355.15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409,521,107.83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388,758,024.80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344,716.90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388,413,307.90</w:t>
            </w:r>
          </w:p>
        </w:tc>
      </w:tr>
    </w:tbl>
    <w:p>
      <w:pPr>
        <w:pStyle w:val="14"/>
        <w:outlineLvl w:val="3"/>
        <w:rPr>
          <w:bCs w:val="0"/>
          <w:szCs w:val="24"/>
        </w:rPr>
      </w:pPr>
      <w:r>
        <w:rPr>
          <w:rFonts w:hint="eastAsia"/>
          <w:bCs w:val="0"/>
          <w:szCs w:val="24"/>
        </w:rPr>
        <w:t>（</w:t>
      </w:r>
      <w:r>
        <w:rPr>
          <w:bCs w:val="0"/>
          <w:szCs w:val="24"/>
        </w:rPr>
        <w:t>2</w:t>
      </w:r>
      <w:r>
        <w:rPr>
          <w:rFonts w:hint="eastAsia"/>
          <w:bCs w:val="0"/>
          <w:szCs w:val="24"/>
        </w:rPr>
        <w:t>）存货跌价准备</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368"/>
        <w:gridCol w:w="1368"/>
        <w:gridCol w:w="1367"/>
        <w:gridCol w:w="1367"/>
        <w:gridCol w:w="1367"/>
        <w:gridCol w:w="1367"/>
        <w:gridCol w:w="1367"/>
      </w:tblGrid>
      <w:tr>
        <w:tblPrEx>
          <w:tblCellMar>
            <w:top w:w="0" w:type="dxa"/>
            <w:left w:w="28" w:type="dxa"/>
            <w:bottom w:w="0" w:type="dxa"/>
            <w:right w:w="28" w:type="dxa"/>
          </w:tblCellMar>
        </w:tblPrEx>
        <w:tc>
          <w:tcPr>
            <w:tcW w:w="136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36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2734"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本期增加金额</w:t>
            </w:r>
          </w:p>
        </w:tc>
        <w:tc>
          <w:tcPr>
            <w:tcW w:w="2734"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本期减少金额</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136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转回或转销</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原材料</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1,002,717.21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1,002,717.21</w:t>
            </w: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库存商品</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344,716.90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293,637.94</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344,716.90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293,637.94</w:t>
            </w: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344,716.90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1,296,355.15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344,716.90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1,296,355.15</w:t>
            </w:r>
          </w:p>
        </w:tc>
      </w:tr>
    </w:tbl>
    <w:p>
      <w:pPr>
        <w:pStyle w:val="14"/>
        <w:outlineLvl w:val="3"/>
        <w:rPr>
          <w:bCs w:val="0"/>
          <w:szCs w:val="24"/>
        </w:rPr>
      </w:pPr>
      <w:r>
        <w:rPr>
          <w:rFonts w:hint="eastAsia"/>
          <w:bCs w:val="0"/>
          <w:szCs w:val="24"/>
        </w:rPr>
        <w:t>（</w:t>
      </w:r>
      <w:r>
        <w:rPr>
          <w:bCs w:val="0"/>
          <w:szCs w:val="24"/>
        </w:rPr>
        <w:t>3</w:t>
      </w:r>
      <w:r>
        <w:rPr>
          <w:rFonts w:hint="eastAsia"/>
          <w:bCs w:val="0"/>
          <w:szCs w:val="24"/>
        </w:rPr>
        <w:t>）存货期末余额含有借款费用资本化金额的说明</w:t>
      </w:r>
    </w:p>
    <w:p>
      <w:pPr>
        <w:pStyle w:val="14"/>
        <w:outlineLvl w:val="3"/>
        <w:rPr>
          <w:bCs w:val="0"/>
          <w:szCs w:val="24"/>
        </w:rPr>
      </w:pPr>
      <w:r>
        <w:rPr>
          <w:rFonts w:hint="eastAsia"/>
          <w:bCs w:val="0"/>
          <w:szCs w:val="24"/>
        </w:rPr>
        <w:t>（</w:t>
      </w:r>
      <w:r>
        <w:rPr>
          <w:bCs w:val="0"/>
          <w:szCs w:val="24"/>
        </w:rPr>
        <w:t>4</w:t>
      </w:r>
      <w:r>
        <w:rPr>
          <w:rFonts w:hint="eastAsia"/>
          <w:bCs w:val="0"/>
          <w:szCs w:val="24"/>
        </w:rPr>
        <w:t>）期末建造合同形成的已完工未结算资产情况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83"/>
        <w:gridCol w:w="4785"/>
      </w:tblGrid>
      <w:tr>
        <w:tblPrEx>
          <w:tblCellMar>
            <w:top w:w="0" w:type="dxa"/>
            <w:left w:w="28" w:type="dxa"/>
            <w:bottom w:w="0" w:type="dxa"/>
            <w:right w:w="28" w:type="dxa"/>
          </w:tblCellMar>
        </w:tblPrEx>
        <w:tc>
          <w:tcPr>
            <w:tcW w:w="478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478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r>
    </w:tbl>
    <w:p>
      <w:pPr>
        <w:jc w:val="left"/>
        <w:rPr>
          <w:szCs w:val="24"/>
        </w:rPr>
      </w:pPr>
    </w:p>
    <w:p>
      <w:pPr>
        <w:pStyle w:val="14"/>
        <w:outlineLvl w:val="2"/>
        <w:rPr>
          <w:bCs w:val="0"/>
          <w:szCs w:val="24"/>
        </w:rPr>
      </w:pPr>
      <w:r>
        <w:rPr>
          <w:bCs w:val="0"/>
          <w:szCs w:val="24"/>
        </w:rPr>
        <w:t>10</w:t>
      </w:r>
      <w:r>
        <w:rPr>
          <w:rFonts w:hint="eastAsia"/>
          <w:bCs w:val="0"/>
          <w:szCs w:val="24"/>
        </w:rPr>
        <w:t>、合同资产</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132"/>
        <w:gridCol w:w="1196"/>
        <w:gridCol w:w="1329"/>
        <w:gridCol w:w="1195"/>
        <w:gridCol w:w="1196"/>
        <w:gridCol w:w="1196"/>
        <w:gridCol w:w="1324"/>
      </w:tblGrid>
      <w:tr>
        <w:tc>
          <w:tcPr>
            <w:tcW w:w="213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720"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716"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213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32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减值准备</w:t>
            </w:r>
          </w:p>
        </w:tc>
        <w:tc>
          <w:tcPr>
            <w:tcW w:w="119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减值准备</w:t>
            </w:r>
          </w:p>
        </w:tc>
        <w:tc>
          <w:tcPr>
            <w:tcW w:w="1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r>
    </w:tbl>
    <w:p>
      <w:pPr>
        <w:jc w:val="left"/>
        <w:rPr>
          <w:szCs w:val="24"/>
        </w:rPr>
      </w:pPr>
      <w:r>
        <w:rPr>
          <w:rFonts w:hint="eastAsia"/>
          <w:szCs w:val="24"/>
        </w:rPr>
        <w:t>合同资产的账面价值在本期内发生的重大变动金额和原因：</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205"/>
        <w:gridCol w:w="2419"/>
        <w:gridCol w:w="4944"/>
      </w:tblGrid>
      <w:tr>
        <w:tblPrEx>
          <w:tblCellMar>
            <w:top w:w="0" w:type="dxa"/>
            <w:left w:w="28" w:type="dxa"/>
            <w:bottom w:w="0" w:type="dxa"/>
            <w:right w:w="28" w:type="dxa"/>
          </w:tblCellMar>
        </w:tblPrEx>
        <w:tc>
          <w:tcPr>
            <w:tcW w:w="220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241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变动金额</w:t>
            </w:r>
          </w:p>
        </w:tc>
        <w:tc>
          <w:tcPr>
            <w:tcW w:w="494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变动原因</w:t>
            </w:r>
          </w:p>
        </w:tc>
      </w:tr>
    </w:tbl>
    <w:p>
      <w:pPr>
        <w:jc w:val="left"/>
        <w:rPr>
          <w:szCs w:val="24"/>
        </w:rPr>
      </w:pPr>
      <w:r>
        <w:rPr>
          <w:rFonts w:hint="eastAsia"/>
          <w:szCs w:val="24"/>
        </w:rPr>
        <w:t>如是按照预期信用损失一般模型计提合同资产坏账准备，请参照其他应收款的披露方式披露坏账准备的相关信息：</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本期合同资产计提减值准备情况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3"/>
        <w:gridCol w:w="1915"/>
        <w:gridCol w:w="1914"/>
        <w:gridCol w:w="1914"/>
        <w:gridCol w:w="1914"/>
      </w:tblGrid>
      <w:tr>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本期计提</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本期转回</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本期转销</w:t>
            </w:r>
            <w:r>
              <w:rPr>
                <w:szCs w:val="24"/>
              </w:rPr>
              <w:t>/</w:t>
            </w:r>
            <w:r>
              <w:rPr>
                <w:rFonts w:hint="eastAsia"/>
                <w:szCs w:val="24"/>
              </w:rPr>
              <w:t>核销</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原因</w:t>
            </w:r>
          </w:p>
        </w:tc>
      </w:tr>
    </w:tbl>
    <w:p>
      <w:pPr>
        <w:pStyle w:val="14"/>
        <w:outlineLvl w:val="2"/>
        <w:rPr>
          <w:bCs w:val="0"/>
          <w:szCs w:val="24"/>
        </w:rPr>
      </w:pPr>
      <w:r>
        <w:rPr>
          <w:bCs w:val="0"/>
          <w:szCs w:val="24"/>
        </w:rPr>
        <w:t>11</w:t>
      </w:r>
      <w:r>
        <w:rPr>
          <w:rFonts w:hint="eastAsia"/>
          <w:bCs w:val="0"/>
          <w:szCs w:val="24"/>
        </w:rPr>
        <w:t>、持有待售资产</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368"/>
        <w:gridCol w:w="1367"/>
        <w:gridCol w:w="1367"/>
        <w:gridCol w:w="1367"/>
        <w:gridCol w:w="1367"/>
        <w:gridCol w:w="1367"/>
        <w:gridCol w:w="1368"/>
      </w:tblGrid>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期末账面余额</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减值准备</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期末账面价值</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公允价值</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预计处置费用</w:t>
            </w:r>
          </w:p>
        </w:tc>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预计处置时间</w:t>
            </w:r>
          </w:p>
        </w:tc>
      </w:tr>
    </w:tbl>
    <w:p>
      <w:pPr>
        <w:pStyle w:val="14"/>
        <w:outlineLvl w:val="2"/>
        <w:rPr>
          <w:bCs w:val="0"/>
          <w:szCs w:val="24"/>
        </w:rPr>
      </w:pPr>
      <w:r>
        <w:rPr>
          <w:bCs w:val="0"/>
          <w:szCs w:val="24"/>
        </w:rPr>
        <w:t>12</w:t>
      </w:r>
      <w:r>
        <w:rPr>
          <w:rFonts w:hint="eastAsia"/>
          <w:bCs w:val="0"/>
          <w:szCs w:val="24"/>
        </w:rPr>
        <w:t>、一年内到期的非流动资产</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1"/>
        <w:gridCol w:w="3191"/>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jc w:val="left"/>
        <w:rPr>
          <w:szCs w:val="24"/>
        </w:rPr>
      </w:pPr>
      <w:r>
        <w:rPr>
          <w:rFonts w:hint="eastAsia"/>
          <w:szCs w:val="24"/>
        </w:rPr>
        <w:t>重要的债权投资</w:t>
      </w:r>
      <w:r>
        <w:rPr>
          <w:szCs w:val="24"/>
        </w:rPr>
        <w:t>/</w:t>
      </w:r>
      <w:r>
        <w:rPr>
          <w:rFonts w:hint="eastAsia"/>
          <w:szCs w:val="24"/>
        </w:rPr>
        <w:t>其他债权投资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6"/>
        <w:gridCol w:w="957"/>
        <w:gridCol w:w="958"/>
        <w:gridCol w:w="956"/>
        <w:gridCol w:w="957"/>
        <w:gridCol w:w="956"/>
        <w:gridCol w:w="957"/>
        <w:gridCol w:w="956"/>
        <w:gridCol w:w="957"/>
      </w:tblGrid>
      <w:tr>
        <w:tblPrEx>
          <w:tblCellMar>
            <w:top w:w="0" w:type="dxa"/>
            <w:left w:w="28" w:type="dxa"/>
            <w:bottom w:w="0" w:type="dxa"/>
            <w:right w:w="28" w:type="dxa"/>
          </w:tblCellMar>
        </w:tblPrEx>
        <w:tc>
          <w:tcPr>
            <w:tcW w:w="191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债权项目</w:t>
            </w:r>
          </w:p>
        </w:tc>
        <w:tc>
          <w:tcPr>
            <w:tcW w:w="3828"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826"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191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9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面值</w:t>
            </w:r>
          </w:p>
        </w:tc>
        <w:tc>
          <w:tcPr>
            <w:tcW w:w="95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票面利率</w:t>
            </w:r>
          </w:p>
        </w:tc>
        <w:tc>
          <w:tcPr>
            <w:tcW w:w="95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实际利率</w:t>
            </w:r>
          </w:p>
        </w:tc>
        <w:tc>
          <w:tcPr>
            <w:tcW w:w="9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到期日</w:t>
            </w:r>
          </w:p>
        </w:tc>
        <w:tc>
          <w:tcPr>
            <w:tcW w:w="95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面值</w:t>
            </w:r>
          </w:p>
        </w:tc>
        <w:tc>
          <w:tcPr>
            <w:tcW w:w="9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票面利率</w:t>
            </w:r>
          </w:p>
        </w:tc>
        <w:tc>
          <w:tcPr>
            <w:tcW w:w="95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实际利率</w:t>
            </w:r>
          </w:p>
        </w:tc>
        <w:tc>
          <w:tcPr>
            <w:tcW w:w="9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到期日</w:t>
            </w:r>
          </w:p>
        </w:tc>
      </w:tr>
    </w:tbl>
    <w:p>
      <w:pPr>
        <w:pStyle w:val="14"/>
        <w:outlineLvl w:val="2"/>
        <w:rPr>
          <w:bCs w:val="0"/>
          <w:szCs w:val="24"/>
        </w:rPr>
      </w:pPr>
      <w:r>
        <w:rPr>
          <w:bCs w:val="0"/>
          <w:szCs w:val="24"/>
        </w:rPr>
        <w:t>13</w:t>
      </w:r>
      <w:r>
        <w:rPr>
          <w:rFonts w:hint="eastAsia"/>
          <w:bCs w:val="0"/>
          <w:szCs w:val="24"/>
        </w:rPr>
        <w:t>、其他流动资产</w:t>
      </w:r>
    </w:p>
    <w:p>
      <w:pPr>
        <w:jc w:val="left"/>
        <w:rPr>
          <w:szCs w:val="24"/>
        </w:rPr>
      </w:pPr>
      <w:r>
        <w:rPr>
          <w:rFonts w:hint="eastAsia"/>
          <w:szCs w:val="24"/>
        </w:rPr>
        <w:t>是否已执行新收入准则</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1"/>
        <w:gridCol w:w="3191"/>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待抵扣增值税</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17,294,975.80</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13,524,408.76</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预缴企业所得税</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1,416,927.57</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19,209.90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18,711,903.37</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13,543,618.66</w:t>
            </w:r>
          </w:p>
        </w:tc>
      </w:tr>
    </w:tbl>
    <w:p>
      <w:pPr>
        <w:jc w:val="left"/>
        <w:rPr>
          <w:szCs w:val="24"/>
        </w:rPr>
      </w:pPr>
      <w:r>
        <w:rPr>
          <w:rFonts w:hint="eastAsia"/>
          <w:szCs w:val="24"/>
        </w:rPr>
        <w:t>其他说明：</w:t>
      </w:r>
    </w:p>
    <w:p>
      <w:pPr>
        <w:pStyle w:val="14"/>
        <w:outlineLvl w:val="2"/>
        <w:rPr>
          <w:bCs w:val="0"/>
          <w:szCs w:val="24"/>
        </w:rPr>
      </w:pPr>
      <w:r>
        <w:rPr>
          <w:bCs w:val="0"/>
          <w:szCs w:val="24"/>
        </w:rPr>
        <w:t>14</w:t>
      </w:r>
      <w:r>
        <w:rPr>
          <w:rFonts w:hint="eastAsia"/>
          <w:bCs w:val="0"/>
          <w:szCs w:val="24"/>
        </w:rPr>
        <w:t>、债权投资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368"/>
        <w:gridCol w:w="1368"/>
        <w:gridCol w:w="1367"/>
        <w:gridCol w:w="1367"/>
        <w:gridCol w:w="1367"/>
        <w:gridCol w:w="1367"/>
        <w:gridCol w:w="1367"/>
      </w:tblGrid>
      <w:tr>
        <w:tc>
          <w:tcPr>
            <w:tcW w:w="136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4102"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4101"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136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减值准备</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减值准备</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r>
    </w:tbl>
    <w:p>
      <w:pPr>
        <w:jc w:val="left"/>
        <w:rPr>
          <w:szCs w:val="24"/>
        </w:rPr>
      </w:pPr>
      <w:r>
        <w:rPr>
          <w:rFonts w:hint="eastAsia"/>
          <w:szCs w:val="24"/>
        </w:rPr>
        <w:t>重要的债权投资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6"/>
        <w:gridCol w:w="957"/>
        <w:gridCol w:w="958"/>
        <w:gridCol w:w="956"/>
        <w:gridCol w:w="957"/>
        <w:gridCol w:w="956"/>
        <w:gridCol w:w="957"/>
        <w:gridCol w:w="956"/>
        <w:gridCol w:w="957"/>
      </w:tblGrid>
      <w:tr>
        <w:tblPrEx>
          <w:tblCellMar>
            <w:top w:w="0" w:type="dxa"/>
            <w:left w:w="28" w:type="dxa"/>
            <w:bottom w:w="0" w:type="dxa"/>
            <w:right w:w="28" w:type="dxa"/>
          </w:tblCellMar>
        </w:tblPrEx>
        <w:tc>
          <w:tcPr>
            <w:tcW w:w="191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债权项目</w:t>
            </w:r>
          </w:p>
        </w:tc>
        <w:tc>
          <w:tcPr>
            <w:tcW w:w="3828"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826"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191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9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面值</w:t>
            </w:r>
          </w:p>
        </w:tc>
        <w:tc>
          <w:tcPr>
            <w:tcW w:w="95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票面利率</w:t>
            </w:r>
          </w:p>
        </w:tc>
        <w:tc>
          <w:tcPr>
            <w:tcW w:w="95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实际利率</w:t>
            </w:r>
          </w:p>
        </w:tc>
        <w:tc>
          <w:tcPr>
            <w:tcW w:w="9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到期日</w:t>
            </w:r>
          </w:p>
        </w:tc>
        <w:tc>
          <w:tcPr>
            <w:tcW w:w="95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面值</w:t>
            </w:r>
          </w:p>
        </w:tc>
        <w:tc>
          <w:tcPr>
            <w:tcW w:w="9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票面利率</w:t>
            </w:r>
          </w:p>
        </w:tc>
        <w:tc>
          <w:tcPr>
            <w:tcW w:w="95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实际利率</w:t>
            </w:r>
          </w:p>
        </w:tc>
        <w:tc>
          <w:tcPr>
            <w:tcW w:w="9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到期日</w:t>
            </w:r>
          </w:p>
        </w:tc>
      </w:tr>
    </w:tbl>
    <w:p>
      <w:pPr>
        <w:jc w:val="left"/>
        <w:rPr>
          <w:szCs w:val="24"/>
        </w:rPr>
      </w:pPr>
      <w:r>
        <w:rPr>
          <w:rFonts w:hint="eastAsia"/>
          <w:szCs w:val="24"/>
        </w:rPr>
        <w:t>减值准备计提情况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6"/>
        <w:gridCol w:w="1650"/>
        <w:gridCol w:w="2099"/>
        <w:gridCol w:w="2099"/>
        <w:gridCol w:w="1804"/>
      </w:tblGrid>
      <w:tr>
        <w:tblPrEx>
          <w:tblCellMar>
            <w:top w:w="0" w:type="dxa"/>
            <w:left w:w="28" w:type="dxa"/>
            <w:bottom w:w="0" w:type="dxa"/>
            <w:right w:w="28" w:type="dxa"/>
          </w:tblCellMar>
        </w:tblPrEx>
        <w:tc>
          <w:tcPr>
            <w:tcW w:w="191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16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第一阶段</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第二阶段</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第三阶段</w:t>
            </w:r>
          </w:p>
        </w:tc>
        <w:tc>
          <w:tcPr>
            <w:tcW w:w="180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合计</w:t>
            </w:r>
          </w:p>
        </w:tc>
      </w:tr>
      <w:tr>
        <w:tblPrEx>
          <w:tblCellMar>
            <w:top w:w="0" w:type="dxa"/>
            <w:left w:w="28" w:type="dxa"/>
            <w:bottom w:w="0" w:type="dxa"/>
            <w:right w:w="28" w:type="dxa"/>
          </w:tblCellMar>
        </w:tblPrEx>
        <w:tc>
          <w:tcPr>
            <w:tcW w:w="191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6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未来</w:t>
            </w:r>
            <w:r>
              <w:rPr>
                <w:szCs w:val="24"/>
              </w:rPr>
              <w:t>12</w:t>
            </w:r>
            <w:r>
              <w:rPr>
                <w:rFonts w:hint="eastAsia"/>
                <w:szCs w:val="24"/>
              </w:rPr>
              <w:t>个月预期信用损失</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整个存续期预期信用损失</w:t>
            </w:r>
            <w:r>
              <w:rPr>
                <w:szCs w:val="24"/>
              </w:rPr>
              <w:t>(</w:t>
            </w:r>
            <w:r>
              <w:rPr>
                <w:rFonts w:hint="eastAsia"/>
                <w:szCs w:val="24"/>
              </w:rPr>
              <w:t>未发生信用减值</w:t>
            </w:r>
            <w:r>
              <w:rPr>
                <w:szCs w:val="24"/>
              </w:rPr>
              <w:t>)</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整个存续期预期信用损失</w:t>
            </w:r>
            <w:r>
              <w:rPr>
                <w:szCs w:val="24"/>
              </w:rPr>
              <w:t>(</w:t>
            </w:r>
            <w:r>
              <w:rPr>
                <w:rFonts w:hint="eastAsia"/>
                <w:szCs w:val="24"/>
              </w:rPr>
              <w:t>已发生信用减值</w:t>
            </w:r>
            <w:r>
              <w:rPr>
                <w:szCs w:val="24"/>
              </w:rPr>
              <w:t>)</w:t>
            </w:r>
          </w:p>
        </w:tc>
        <w:tc>
          <w:tcPr>
            <w:tcW w:w="1804"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2019</w:t>
            </w:r>
            <w:r>
              <w:rPr>
                <w:rFonts w:hint="eastAsia"/>
                <w:szCs w:val="24"/>
              </w:rPr>
              <w:t>年</w:t>
            </w:r>
            <w:r>
              <w:rPr>
                <w:szCs w:val="24"/>
              </w:rPr>
              <w:t>1</w:t>
            </w:r>
            <w:r>
              <w:rPr>
                <w:rFonts w:hint="eastAsia"/>
                <w:szCs w:val="24"/>
              </w:rPr>
              <w:t>月</w:t>
            </w:r>
            <w:r>
              <w:rPr>
                <w:szCs w:val="24"/>
              </w:rPr>
              <w:t>1</w:t>
            </w:r>
            <w:r>
              <w:rPr>
                <w:rFonts w:hint="eastAsia"/>
                <w:szCs w:val="24"/>
              </w:rPr>
              <w:t>日余额在本期</w:t>
            </w:r>
          </w:p>
        </w:tc>
        <w:tc>
          <w:tcPr>
            <w:tcW w:w="16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80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jc w:val="left"/>
        <w:rPr>
          <w:szCs w:val="24"/>
        </w:rPr>
      </w:pPr>
      <w:r>
        <w:rPr>
          <w:rFonts w:hint="eastAsia"/>
          <w:szCs w:val="24"/>
        </w:rPr>
        <w:t>损失准备本期变动金额重大的账面余额变动情况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其他说明：</w:t>
      </w:r>
    </w:p>
    <w:p>
      <w:pPr>
        <w:pStyle w:val="14"/>
        <w:outlineLvl w:val="2"/>
        <w:rPr>
          <w:bCs w:val="0"/>
          <w:szCs w:val="24"/>
        </w:rPr>
      </w:pPr>
      <w:r>
        <w:rPr>
          <w:bCs w:val="0"/>
          <w:szCs w:val="24"/>
        </w:rPr>
        <w:t>15</w:t>
      </w:r>
      <w:r>
        <w:rPr>
          <w:rFonts w:hint="eastAsia"/>
          <w:bCs w:val="0"/>
          <w:szCs w:val="24"/>
        </w:rPr>
        <w:t>、其他债权投资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296"/>
        <w:gridCol w:w="1035"/>
        <w:gridCol w:w="1034"/>
        <w:gridCol w:w="1034"/>
        <w:gridCol w:w="1034"/>
        <w:gridCol w:w="1034"/>
        <w:gridCol w:w="1034"/>
        <w:gridCol w:w="1034"/>
        <w:gridCol w:w="1035"/>
      </w:tblGrid>
      <w:tr>
        <w:tc>
          <w:tcPr>
            <w:tcW w:w="12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03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103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应计利息</w:t>
            </w:r>
          </w:p>
        </w:tc>
        <w:tc>
          <w:tcPr>
            <w:tcW w:w="103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本期公允价值变动</w:t>
            </w:r>
          </w:p>
        </w:tc>
        <w:tc>
          <w:tcPr>
            <w:tcW w:w="103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103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成本</w:t>
            </w:r>
          </w:p>
        </w:tc>
        <w:tc>
          <w:tcPr>
            <w:tcW w:w="103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累计公允价值变动</w:t>
            </w:r>
          </w:p>
        </w:tc>
        <w:tc>
          <w:tcPr>
            <w:tcW w:w="103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累计在其他综合收益中确认的损失准备</w:t>
            </w:r>
          </w:p>
        </w:tc>
        <w:tc>
          <w:tcPr>
            <w:tcW w:w="103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备注</w:t>
            </w:r>
          </w:p>
        </w:tc>
      </w:tr>
    </w:tbl>
    <w:p>
      <w:pPr>
        <w:jc w:val="left"/>
        <w:rPr>
          <w:szCs w:val="24"/>
        </w:rPr>
      </w:pPr>
      <w:r>
        <w:rPr>
          <w:rFonts w:hint="eastAsia"/>
          <w:szCs w:val="24"/>
        </w:rPr>
        <w:t>重要的其他债权投资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6"/>
        <w:gridCol w:w="957"/>
        <w:gridCol w:w="958"/>
        <w:gridCol w:w="956"/>
        <w:gridCol w:w="957"/>
        <w:gridCol w:w="956"/>
        <w:gridCol w:w="957"/>
        <w:gridCol w:w="956"/>
        <w:gridCol w:w="957"/>
      </w:tblGrid>
      <w:tr>
        <w:tblPrEx>
          <w:tblCellMar>
            <w:top w:w="0" w:type="dxa"/>
            <w:left w:w="28" w:type="dxa"/>
            <w:bottom w:w="0" w:type="dxa"/>
            <w:right w:w="28" w:type="dxa"/>
          </w:tblCellMar>
        </w:tblPrEx>
        <w:tc>
          <w:tcPr>
            <w:tcW w:w="191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其他债权项目</w:t>
            </w:r>
          </w:p>
        </w:tc>
        <w:tc>
          <w:tcPr>
            <w:tcW w:w="3828"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826"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191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9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面值</w:t>
            </w:r>
          </w:p>
        </w:tc>
        <w:tc>
          <w:tcPr>
            <w:tcW w:w="95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票面利率</w:t>
            </w:r>
          </w:p>
        </w:tc>
        <w:tc>
          <w:tcPr>
            <w:tcW w:w="95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实际利率</w:t>
            </w:r>
          </w:p>
        </w:tc>
        <w:tc>
          <w:tcPr>
            <w:tcW w:w="9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到期日</w:t>
            </w:r>
          </w:p>
        </w:tc>
        <w:tc>
          <w:tcPr>
            <w:tcW w:w="95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面值</w:t>
            </w:r>
          </w:p>
        </w:tc>
        <w:tc>
          <w:tcPr>
            <w:tcW w:w="9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票面利率</w:t>
            </w:r>
          </w:p>
        </w:tc>
        <w:tc>
          <w:tcPr>
            <w:tcW w:w="95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实际利率</w:t>
            </w:r>
          </w:p>
        </w:tc>
        <w:tc>
          <w:tcPr>
            <w:tcW w:w="9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到期日</w:t>
            </w:r>
          </w:p>
        </w:tc>
      </w:tr>
    </w:tbl>
    <w:p>
      <w:pPr>
        <w:jc w:val="left"/>
        <w:rPr>
          <w:szCs w:val="24"/>
        </w:rPr>
      </w:pPr>
      <w:r>
        <w:rPr>
          <w:rFonts w:hint="eastAsia"/>
          <w:szCs w:val="24"/>
        </w:rPr>
        <w:t>减值准备计提情况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6"/>
        <w:gridCol w:w="1650"/>
        <w:gridCol w:w="2099"/>
        <w:gridCol w:w="2099"/>
        <w:gridCol w:w="1804"/>
      </w:tblGrid>
      <w:tr>
        <w:tblPrEx>
          <w:tblCellMar>
            <w:top w:w="0" w:type="dxa"/>
            <w:left w:w="28" w:type="dxa"/>
            <w:bottom w:w="0" w:type="dxa"/>
            <w:right w:w="28" w:type="dxa"/>
          </w:tblCellMar>
        </w:tblPrEx>
        <w:tc>
          <w:tcPr>
            <w:tcW w:w="191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16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第一阶段</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第二阶段</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第三阶段</w:t>
            </w:r>
          </w:p>
        </w:tc>
        <w:tc>
          <w:tcPr>
            <w:tcW w:w="180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合计</w:t>
            </w:r>
          </w:p>
        </w:tc>
      </w:tr>
      <w:tr>
        <w:tblPrEx>
          <w:tblCellMar>
            <w:top w:w="0" w:type="dxa"/>
            <w:left w:w="28" w:type="dxa"/>
            <w:bottom w:w="0" w:type="dxa"/>
            <w:right w:w="28" w:type="dxa"/>
          </w:tblCellMar>
        </w:tblPrEx>
        <w:tc>
          <w:tcPr>
            <w:tcW w:w="191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6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未来</w:t>
            </w:r>
            <w:r>
              <w:rPr>
                <w:szCs w:val="24"/>
              </w:rPr>
              <w:t>12</w:t>
            </w:r>
            <w:r>
              <w:rPr>
                <w:rFonts w:hint="eastAsia"/>
                <w:szCs w:val="24"/>
              </w:rPr>
              <w:t>个月预期信用损失</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整个存续期预期信用损失</w:t>
            </w:r>
            <w:r>
              <w:rPr>
                <w:szCs w:val="24"/>
              </w:rPr>
              <w:t>(</w:t>
            </w:r>
            <w:r>
              <w:rPr>
                <w:rFonts w:hint="eastAsia"/>
                <w:szCs w:val="24"/>
              </w:rPr>
              <w:t>未发生信用减值</w:t>
            </w:r>
            <w:r>
              <w:rPr>
                <w:szCs w:val="24"/>
              </w:rPr>
              <w:t>)</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整个存续期预期信用损失</w:t>
            </w:r>
            <w:r>
              <w:rPr>
                <w:szCs w:val="24"/>
              </w:rPr>
              <w:t>(</w:t>
            </w:r>
            <w:r>
              <w:rPr>
                <w:rFonts w:hint="eastAsia"/>
                <w:szCs w:val="24"/>
              </w:rPr>
              <w:t>已发生信用减值</w:t>
            </w:r>
            <w:r>
              <w:rPr>
                <w:szCs w:val="24"/>
              </w:rPr>
              <w:t>)</w:t>
            </w:r>
          </w:p>
        </w:tc>
        <w:tc>
          <w:tcPr>
            <w:tcW w:w="1804"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2019</w:t>
            </w:r>
            <w:r>
              <w:rPr>
                <w:rFonts w:hint="eastAsia"/>
                <w:szCs w:val="24"/>
              </w:rPr>
              <w:t>年</w:t>
            </w:r>
            <w:r>
              <w:rPr>
                <w:szCs w:val="24"/>
              </w:rPr>
              <w:t>1</w:t>
            </w:r>
            <w:r>
              <w:rPr>
                <w:rFonts w:hint="eastAsia"/>
                <w:szCs w:val="24"/>
              </w:rPr>
              <w:t>月</w:t>
            </w:r>
            <w:r>
              <w:rPr>
                <w:szCs w:val="24"/>
              </w:rPr>
              <w:t>1</w:t>
            </w:r>
            <w:r>
              <w:rPr>
                <w:rFonts w:hint="eastAsia"/>
                <w:szCs w:val="24"/>
              </w:rPr>
              <w:t>日余额在本期</w:t>
            </w:r>
          </w:p>
        </w:tc>
        <w:tc>
          <w:tcPr>
            <w:tcW w:w="16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80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jc w:val="left"/>
        <w:rPr>
          <w:szCs w:val="24"/>
        </w:rPr>
      </w:pPr>
      <w:r>
        <w:rPr>
          <w:rFonts w:hint="eastAsia"/>
          <w:szCs w:val="24"/>
        </w:rPr>
        <w:t>损失准备本期变动金额重大的账面余额变动情况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其他说明：</w:t>
      </w:r>
    </w:p>
    <w:p>
      <w:pPr>
        <w:pStyle w:val="14"/>
        <w:outlineLvl w:val="2"/>
        <w:rPr>
          <w:bCs w:val="0"/>
          <w:szCs w:val="24"/>
        </w:rPr>
      </w:pPr>
      <w:r>
        <w:rPr>
          <w:bCs w:val="0"/>
          <w:szCs w:val="24"/>
        </w:rPr>
        <w:t>16</w:t>
      </w:r>
      <w:r>
        <w:rPr>
          <w:rFonts w:hint="eastAsia"/>
          <w:bCs w:val="0"/>
          <w:szCs w:val="24"/>
        </w:rPr>
        <w:t>、长期应收款</w:t>
      </w:r>
    </w:p>
    <w:p>
      <w:pPr>
        <w:pStyle w:val="14"/>
        <w:outlineLvl w:val="3"/>
        <w:rPr>
          <w:bCs w:val="0"/>
          <w:szCs w:val="24"/>
        </w:rPr>
      </w:pPr>
      <w:r>
        <w:rPr>
          <w:rFonts w:hint="eastAsia"/>
          <w:bCs w:val="0"/>
          <w:szCs w:val="24"/>
        </w:rPr>
        <w:t>（</w:t>
      </w:r>
      <w:r>
        <w:rPr>
          <w:bCs w:val="0"/>
          <w:szCs w:val="24"/>
        </w:rPr>
        <w:t>1</w:t>
      </w:r>
      <w:r>
        <w:rPr>
          <w:rFonts w:hint="eastAsia"/>
          <w:bCs w:val="0"/>
          <w:szCs w:val="24"/>
        </w:rPr>
        <w:t>）长期应收款情况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403"/>
        <w:gridCol w:w="1167"/>
        <w:gridCol w:w="1167"/>
        <w:gridCol w:w="1167"/>
        <w:gridCol w:w="1167"/>
        <w:gridCol w:w="1168"/>
        <w:gridCol w:w="1165"/>
        <w:gridCol w:w="1165"/>
      </w:tblGrid>
      <w:tr>
        <w:tc>
          <w:tcPr>
            <w:tcW w:w="140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501"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500"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1165"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折现率区间</w:t>
            </w:r>
          </w:p>
        </w:tc>
      </w:tr>
      <w:tr>
        <w:tblPrEx>
          <w:tblCellMar>
            <w:top w:w="0" w:type="dxa"/>
            <w:left w:w="28" w:type="dxa"/>
            <w:bottom w:w="0" w:type="dxa"/>
            <w:right w:w="28" w:type="dxa"/>
          </w:tblCellMar>
        </w:tblPrEx>
        <w:tc>
          <w:tcPr>
            <w:tcW w:w="140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1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1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11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1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1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116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16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bl>
    <w:p>
      <w:pPr>
        <w:jc w:val="left"/>
        <w:rPr>
          <w:szCs w:val="24"/>
        </w:rPr>
      </w:pPr>
      <w:r>
        <w:rPr>
          <w:rFonts w:hint="eastAsia"/>
          <w:szCs w:val="24"/>
        </w:rPr>
        <w:t>坏账准备减值情况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6"/>
        <w:gridCol w:w="1650"/>
        <w:gridCol w:w="2099"/>
        <w:gridCol w:w="2099"/>
        <w:gridCol w:w="1804"/>
      </w:tblGrid>
      <w:tr>
        <w:tblPrEx>
          <w:tblCellMar>
            <w:top w:w="0" w:type="dxa"/>
            <w:left w:w="28" w:type="dxa"/>
            <w:bottom w:w="0" w:type="dxa"/>
            <w:right w:w="28" w:type="dxa"/>
          </w:tblCellMar>
        </w:tblPrEx>
        <w:tc>
          <w:tcPr>
            <w:tcW w:w="191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16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第一阶段</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第二阶段</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第三阶段</w:t>
            </w:r>
          </w:p>
        </w:tc>
        <w:tc>
          <w:tcPr>
            <w:tcW w:w="180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合计</w:t>
            </w:r>
          </w:p>
        </w:tc>
      </w:tr>
      <w:tr>
        <w:tblPrEx>
          <w:tblCellMar>
            <w:top w:w="0" w:type="dxa"/>
            <w:left w:w="28" w:type="dxa"/>
            <w:bottom w:w="0" w:type="dxa"/>
            <w:right w:w="28" w:type="dxa"/>
          </w:tblCellMar>
        </w:tblPrEx>
        <w:tc>
          <w:tcPr>
            <w:tcW w:w="191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6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未来</w:t>
            </w:r>
            <w:r>
              <w:rPr>
                <w:szCs w:val="24"/>
              </w:rPr>
              <w:t>12</w:t>
            </w:r>
            <w:r>
              <w:rPr>
                <w:rFonts w:hint="eastAsia"/>
                <w:szCs w:val="24"/>
              </w:rPr>
              <w:t>个月预期信用损失</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整个存续期预期信用损失</w:t>
            </w:r>
            <w:r>
              <w:rPr>
                <w:szCs w:val="24"/>
              </w:rPr>
              <w:t>(</w:t>
            </w:r>
            <w:r>
              <w:rPr>
                <w:rFonts w:hint="eastAsia"/>
                <w:szCs w:val="24"/>
              </w:rPr>
              <w:t>未发生信用减值</w:t>
            </w:r>
            <w:r>
              <w:rPr>
                <w:szCs w:val="24"/>
              </w:rPr>
              <w:t>)</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整个存续期预期信用损失</w:t>
            </w:r>
            <w:r>
              <w:rPr>
                <w:szCs w:val="24"/>
              </w:rPr>
              <w:t>(</w:t>
            </w:r>
            <w:r>
              <w:rPr>
                <w:rFonts w:hint="eastAsia"/>
                <w:szCs w:val="24"/>
              </w:rPr>
              <w:t>已发生信用减值</w:t>
            </w:r>
            <w:r>
              <w:rPr>
                <w:szCs w:val="24"/>
              </w:rPr>
              <w:t>)</w:t>
            </w:r>
          </w:p>
        </w:tc>
        <w:tc>
          <w:tcPr>
            <w:tcW w:w="1804"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2019</w:t>
            </w:r>
            <w:r>
              <w:rPr>
                <w:rFonts w:hint="eastAsia"/>
                <w:szCs w:val="24"/>
              </w:rPr>
              <w:t>年</w:t>
            </w:r>
            <w:r>
              <w:rPr>
                <w:szCs w:val="24"/>
              </w:rPr>
              <w:t>1</w:t>
            </w:r>
            <w:r>
              <w:rPr>
                <w:rFonts w:hint="eastAsia"/>
                <w:szCs w:val="24"/>
              </w:rPr>
              <w:t>月</w:t>
            </w:r>
            <w:r>
              <w:rPr>
                <w:szCs w:val="24"/>
              </w:rPr>
              <w:t>1</w:t>
            </w:r>
            <w:r>
              <w:rPr>
                <w:rFonts w:hint="eastAsia"/>
                <w:szCs w:val="24"/>
              </w:rPr>
              <w:t>日余额在本期</w:t>
            </w:r>
          </w:p>
        </w:tc>
        <w:tc>
          <w:tcPr>
            <w:tcW w:w="16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80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jc w:val="left"/>
        <w:rPr>
          <w:szCs w:val="24"/>
        </w:rPr>
      </w:pPr>
      <w:r>
        <w:rPr>
          <w:rFonts w:hint="eastAsia"/>
          <w:szCs w:val="24"/>
        </w:rPr>
        <w:t>损失准备本期变动金额重大的账面余额变动情况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3"/>
        <w:rPr>
          <w:bCs w:val="0"/>
          <w:szCs w:val="24"/>
        </w:rPr>
      </w:pPr>
      <w:r>
        <w:rPr>
          <w:rFonts w:hint="eastAsia"/>
          <w:bCs w:val="0"/>
          <w:szCs w:val="24"/>
        </w:rPr>
        <w:t>（</w:t>
      </w:r>
      <w:r>
        <w:rPr>
          <w:bCs w:val="0"/>
          <w:szCs w:val="24"/>
        </w:rPr>
        <w:t>2</w:t>
      </w:r>
      <w:r>
        <w:rPr>
          <w:rFonts w:hint="eastAsia"/>
          <w:bCs w:val="0"/>
          <w:szCs w:val="24"/>
        </w:rPr>
        <w:t>）因金融资产转移而终止确认的长期应收款</w:t>
      </w:r>
    </w:p>
    <w:p>
      <w:pPr>
        <w:pStyle w:val="14"/>
        <w:outlineLvl w:val="3"/>
        <w:rPr>
          <w:bCs w:val="0"/>
          <w:szCs w:val="24"/>
        </w:rPr>
      </w:pPr>
      <w:r>
        <w:rPr>
          <w:rFonts w:hint="eastAsia"/>
          <w:bCs w:val="0"/>
          <w:szCs w:val="24"/>
        </w:rPr>
        <w:t>（</w:t>
      </w:r>
      <w:r>
        <w:rPr>
          <w:bCs w:val="0"/>
          <w:szCs w:val="24"/>
        </w:rPr>
        <w:t>3</w:t>
      </w:r>
      <w:r>
        <w:rPr>
          <w:rFonts w:hint="eastAsia"/>
          <w:bCs w:val="0"/>
          <w:szCs w:val="24"/>
        </w:rPr>
        <w:t>）转移长期应收款且继续涉入形成的资产、负债金额</w:t>
      </w:r>
    </w:p>
    <w:p>
      <w:pPr>
        <w:jc w:val="left"/>
        <w:rPr>
          <w:szCs w:val="24"/>
        </w:rPr>
      </w:pPr>
      <w:r>
        <w:rPr>
          <w:rFonts w:hint="eastAsia"/>
          <w:szCs w:val="24"/>
        </w:rPr>
        <w:t>其他说明</w:t>
      </w:r>
    </w:p>
    <w:p>
      <w:pPr>
        <w:pStyle w:val="14"/>
        <w:outlineLvl w:val="2"/>
        <w:rPr>
          <w:bCs w:val="0"/>
          <w:szCs w:val="24"/>
        </w:rPr>
      </w:pPr>
      <w:r>
        <w:rPr>
          <w:bCs w:val="0"/>
          <w:szCs w:val="24"/>
        </w:rPr>
        <w:t>17</w:t>
      </w:r>
      <w:r>
        <w:rPr>
          <w:rFonts w:hint="eastAsia"/>
          <w:bCs w:val="0"/>
          <w:szCs w:val="24"/>
        </w:rPr>
        <w:t>、长期股权投资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796"/>
        <w:gridCol w:w="797"/>
        <w:gridCol w:w="797"/>
        <w:gridCol w:w="798"/>
        <w:gridCol w:w="798"/>
        <w:gridCol w:w="798"/>
        <w:gridCol w:w="798"/>
        <w:gridCol w:w="798"/>
        <w:gridCol w:w="798"/>
        <w:gridCol w:w="798"/>
        <w:gridCol w:w="798"/>
        <w:gridCol w:w="798"/>
      </w:tblGrid>
      <w:tr>
        <w:tc>
          <w:tcPr>
            <w:tcW w:w="79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被投资单位</w:t>
            </w:r>
          </w:p>
        </w:tc>
        <w:tc>
          <w:tcPr>
            <w:tcW w:w="79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r>
              <w:rPr>
                <w:szCs w:val="24"/>
              </w:rPr>
              <w:t>(</w:t>
            </w:r>
            <w:r>
              <w:rPr>
                <w:rFonts w:hint="eastAsia"/>
                <w:szCs w:val="24"/>
              </w:rPr>
              <w:t>账面价值</w:t>
            </w:r>
            <w:r>
              <w:rPr>
                <w:szCs w:val="24"/>
              </w:rPr>
              <w:t>)</w:t>
            </w:r>
          </w:p>
        </w:tc>
        <w:tc>
          <w:tcPr>
            <w:tcW w:w="6383" w:type="dxa"/>
            <w:gridSpan w:val="8"/>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本期增减变动</w:t>
            </w:r>
          </w:p>
        </w:tc>
        <w:tc>
          <w:tcPr>
            <w:tcW w:w="79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r>
              <w:rPr>
                <w:szCs w:val="24"/>
              </w:rPr>
              <w:t>(</w:t>
            </w:r>
            <w:r>
              <w:rPr>
                <w:rFonts w:hint="eastAsia"/>
                <w:szCs w:val="24"/>
              </w:rPr>
              <w:t>账面价值</w:t>
            </w:r>
            <w:r>
              <w:rPr>
                <w:szCs w:val="24"/>
              </w:rPr>
              <w:t>)</w:t>
            </w:r>
          </w:p>
        </w:tc>
        <w:tc>
          <w:tcPr>
            <w:tcW w:w="79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减值准备期末余额</w:t>
            </w:r>
          </w:p>
        </w:tc>
      </w:tr>
      <w:tr>
        <w:tblPrEx>
          <w:tblCellMar>
            <w:top w:w="0" w:type="dxa"/>
            <w:left w:w="28" w:type="dxa"/>
            <w:bottom w:w="0" w:type="dxa"/>
            <w:right w:w="28" w:type="dxa"/>
          </w:tblCellMar>
        </w:tblPrEx>
        <w:tc>
          <w:tcPr>
            <w:tcW w:w="79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9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追加投资</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减少投资</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权益法下确认的投资损益</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其他综合收益调整</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其他权益变动</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宣告发放现金股利或利润</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计提减值准备</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79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9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9572" w:type="dxa"/>
            <w:gridSpan w:val="12"/>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一、合营企业</w:t>
            </w:r>
          </w:p>
        </w:tc>
      </w:tr>
      <w:tr>
        <w:tblPrEx>
          <w:tblCellMar>
            <w:top w:w="0" w:type="dxa"/>
            <w:left w:w="28" w:type="dxa"/>
            <w:bottom w:w="0" w:type="dxa"/>
            <w:right w:w="28" w:type="dxa"/>
          </w:tblCellMar>
        </w:tblPrEx>
        <w:tc>
          <w:tcPr>
            <w:tcW w:w="9572" w:type="dxa"/>
            <w:gridSpan w:val="12"/>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二、联营企业</w:t>
            </w: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深圳市帝迈生物技术有限公司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48,300,713.17</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-1,126,651.70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47,174,061.47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上海日和贸易有限公司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55,381,829.13</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6,105,388.37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8,410,540.85</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53,076,676.65</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1,910,209.87</w:t>
            </w: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山东日和贸易有限公司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30,526,885.73</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2,429,445.34</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3,920,033.10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5,306,297.97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23,730,000.00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7,397,327.51</w:t>
            </w:r>
          </w:p>
        </w:tc>
      </w:tr>
      <w:tr>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南京三和仪器有限公司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45,600,346.64</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5,221,800.16</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7,062,286.62</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43,759,860.18</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4,552,401.87</w:t>
            </w:r>
          </w:p>
        </w:tc>
      </w:tr>
      <w:tr>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安徽省三和医疗仪器有限公司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21,325,285.92</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4,306,067.61</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2,393,330.70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23,238,022.83</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868,734.65</w:t>
            </w:r>
          </w:p>
        </w:tc>
      </w:tr>
      <w:tr>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浙江美康网新云健康科技股份有限公司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5,439,257.52</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-671,019.94</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4,768,237.58</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湖南品信生物工程有限公司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18,737,399.58</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-993,217.00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17,744,182.58</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美康盛德生物科技泰州有限公司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5,270,371.76</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-1,076,845.23</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4,193,526.53</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重庆润康生物科技有限公司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1,922,301.73</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259,941.58</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-1,662,360.15</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浙江汉库健康科技有限公司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4,648,678.03</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105,817.91</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4,754,495.94</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杭州卓腾信息技术有限公司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10,303,161.17</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503,836.30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10,806,997.47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浙江云瞰医疗科技有限公司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重庆和盛医疗器械有限公司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54,000,000.00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2,520,588.73</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56,520,588.73</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美康生物科技（舟山）有限公司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14,500,000.00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-108,741.61</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14,391,258.39</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赣州美康盛德医学检验所有限公司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9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小计</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247,456,230.38</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68,500,000.00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259,941.58</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15,554,108.79</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21,786,191.27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5,306,297.97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304,157,908.35</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14,728,673.90</w:t>
            </w:r>
          </w:p>
        </w:tc>
      </w:tr>
      <w:tr>
        <w:tc>
          <w:tcPr>
            <w:tcW w:w="79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247,456,230.38</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68,500,000.00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259,941.58</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15,554,108.79</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21,786,191.27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5,306,297.97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304,157,908.35</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14,728,673.90</w:t>
            </w:r>
          </w:p>
        </w:tc>
      </w:tr>
    </w:tbl>
    <w:p>
      <w:pPr>
        <w:pStyle w:val="14"/>
        <w:outlineLvl w:val="2"/>
        <w:rPr>
          <w:bCs w:val="0"/>
          <w:szCs w:val="24"/>
        </w:rPr>
      </w:pPr>
      <w:r>
        <w:rPr>
          <w:bCs w:val="0"/>
          <w:szCs w:val="24"/>
        </w:rPr>
        <w:t>18</w:t>
      </w:r>
      <w:r>
        <w:rPr>
          <w:rFonts w:hint="eastAsia"/>
          <w:bCs w:val="0"/>
          <w:szCs w:val="24"/>
        </w:rPr>
        <w:t>、其他权益工具投资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1"/>
        <w:gridCol w:w="3191"/>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金华市美康盛德医学检验所有限公司</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6,000.00</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网新新云联技术有限公司</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30,000,000.00</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30,000,000.00</w:t>
            </w:r>
          </w:p>
        </w:tc>
      </w:tr>
      <w:tr>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宁波艾斯博冷链科技有限公司</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600,000.00</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1"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30,006,000.00</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30,600,000.00</w:t>
            </w:r>
          </w:p>
        </w:tc>
      </w:tr>
    </w:tbl>
    <w:p>
      <w:pPr>
        <w:jc w:val="left"/>
        <w:rPr>
          <w:szCs w:val="24"/>
        </w:rPr>
      </w:pPr>
      <w:r>
        <w:rPr>
          <w:rFonts w:hint="eastAsia"/>
          <w:szCs w:val="24"/>
        </w:rPr>
        <w:t>分项披露本期非交易性权益工具投资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369"/>
        <w:gridCol w:w="1367"/>
        <w:gridCol w:w="1367"/>
        <w:gridCol w:w="1367"/>
        <w:gridCol w:w="1367"/>
        <w:gridCol w:w="1367"/>
        <w:gridCol w:w="1367"/>
      </w:tblGrid>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项目名称</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确认的股利收入</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累计利得</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累计损失</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其他综合收益转入留存收益的金额</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指定为以公允价值计量且其变动计入其他综合收益的原因</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其他综合收益转入留存收益的原因</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金华市美康盛德医学检验所有限公司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网新新云联技术有限公司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宁波艾斯博冷链科技有限公司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转让</w:t>
            </w:r>
          </w:p>
        </w:tc>
      </w:tr>
    </w:tbl>
    <w:p>
      <w:pPr>
        <w:jc w:val="left"/>
        <w:rPr>
          <w:szCs w:val="24"/>
        </w:rPr>
      </w:pPr>
      <w:r>
        <w:rPr>
          <w:rFonts w:hint="eastAsia"/>
          <w:szCs w:val="24"/>
        </w:rPr>
        <w:t>其他说明：</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本公司及其子公司的权益工具投资是本公司及其子公司出于战略目的而计划长期持有的投资，因此本公司及其子公司将其指定为以公允价值计量且其变动计入其他综合收益的金融资产。本公司以公允价值作为</w:t>
      </w:r>
      <w:r>
        <w:rPr>
          <w:rFonts w:eastAsia="Times New Roman"/>
          <w:kern w:val="0"/>
          <w:lang w:val="zh-CN"/>
        </w:rPr>
        <w:t>2019</w:t>
      </w:r>
      <w:r>
        <w:rPr>
          <w:rFonts w:hint="eastAsia" w:ascii="宋体" w:hAnsi="宋体" w:cs="宋体"/>
          <w:kern w:val="0"/>
          <w:lang w:val="zh-CN"/>
        </w:rPr>
        <w:t>年</w:t>
      </w:r>
      <w:r>
        <w:rPr>
          <w:rFonts w:eastAsia="Times New Roman"/>
          <w:kern w:val="0"/>
          <w:lang w:val="zh-CN"/>
        </w:rPr>
        <w:t xml:space="preserve">1 </w:t>
      </w:r>
      <w:r>
        <w:rPr>
          <w:rFonts w:hint="eastAsia" w:ascii="宋体" w:hAnsi="宋体" w:cs="宋体"/>
          <w:kern w:val="0"/>
          <w:lang w:val="zh-CN"/>
        </w:rPr>
        <w:t>月</w:t>
      </w:r>
      <w:r>
        <w:rPr>
          <w:rFonts w:eastAsia="Times New Roman"/>
          <w:kern w:val="0"/>
          <w:lang w:val="zh-CN"/>
        </w:rPr>
        <w:t xml:space="preserve">1 </w:t>
      </w:r>
      <w:r>
        <w:rPr>
          <w:rFonts w:hint="eastAsia" w:ascii="宋体" w:hAnsi="宋体" w:cs="宋体"/>
          <w:kern w:val="0"/>
          <w:lang w:val="zh-CN"/>
        </w:rPr>
        <w:t>日的新账面价值，公允价值与原账面价值一致。</w:t>
      </w:r>
    </w:p>
    <w:p>
      <w:pPr>
        <w:autoSpaceDE w:val="0"/>
        <w:autoSpaceDN w:val="0"/>
        <w:adjustRightInd w:val="0"/>
        <w:spacing w:before="0" w:after="0"/>
        <w:jc w:val="left"/>
        <w:rPr>
          <w:rFonts w:eastAsia="Times New Roman"/>
          <w:kern w:val="0"/>
          <w:szCs w:val="24"/>
          <w:lang w:val="zh-CN"/>
        </w:rPr>
      </w:pPr>
    </w:p>
    <w:p>
      <w:pPr>
        <w:pStyle w:val="14"/>
        <w:outlineLvl w:val="2"/>
        <w:rPr>
          <w:bCs w:val="0"/>
          <w:szCs w:val="24"/>
        </w:rPr>
      </w:pPr>
      <w:r>
        <w:rPr>
          <w:bCs w:val="0"/>
          <w:szCs w:val="24"/>
        </w:rPr>
        <w:t>19</w:t>
      </w:r>
      <w:r>
        <w:rPr>
          <w:rFonts w:hint="eastAsia"/>
          <w:bCs w:val="0"/>
          <w:szCs w:val="24"/>
        </w:rPr>
        <w:t>、其他非流动金融资产</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1"/>
        <w:gridCol w:w="3191"/>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pStyle w:val="14"/>
        <w:outlineLvl w:val="2"/>
        <w:rPr>
          <w:bCs w:val="0"/>
          <w:szCs w:val="24"/>
        </w:rPr>
      </w:pPr>
      <w:r>
        <w:rPr>
          <w:bCs w:val="0"/>
          <w:szCs w:val="24"/>
        </w:rPr>
        <w:t>20</w:t>
      </w:r>
      <w:r>
        <w:rPr>
          <w:rFonts w:hint="eastAsia"/>
          <w:bCs w:val="0"/>
          <w:szCs w:val="24"/>
        </w:rPr>
        <w:t>、投资性房地产</w:t>
      </w:r>
    </w:p>
    <w:p>
      <w:pPr>
        <w:pStyle w:val="14"/>
        <w:outlineLvl w:val="3"/>
        <w:rPr>
          <w:bCs w:val="0"/>
          <w:szCs w:val="24"/>
        </w:rPr>
      </w:pPr>
      <w:r>
        <w:rPr>
          <w:rFonts w:hint="eastAsia"/>
          <w:bCs w:val="0"/>
          <w:szCs w:val="24"/>
        </w:rPr>
        <w:t>（</w:t>
      </w:r>
      <w:r>
        <w:rPr>
          <w:bCs w:val="0"/>
          <w:szCs w:val="24"/>
        </w:rPr>
        <w:t>1</w:t>
      </w:r>
      <w:r>
        <w:rPr>
          <w:rFonts w:hint="eastAsia"/>
          <w:bCs w:val="0"/>
          <w:szCs w:val="24"/>
        </w:rPr>
        <w:t>）采用成本计量模式的投资性房地产</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3"/>
        <w:rPr>
          <w:bCs w:val="0"/>
          <w:szCs w:val="24"/>
        </w:rPr>
      </w:pPr>
      <w:r>
        <w:rPr>
          <w:rFonts w:hint="eastAsia"/>
          <w:bCs w:val="0"/>
          <w:szCs w:val="24"/>
        </w:rPr>
        <w:t>（</w:t>
      </w:r>
      <w:r>
        <w:rPr>
          <w:bCs w:val="0"/>
          <w:szCs w:val="24"/>
        </w:rPr>
        <w:t>2</w:t>
      </w:r>
      <w:r>
        <w:rPr>
          <w:rFonts w:hint="eastAsia"/>
          <w:bCs w:val="0"/>
          <w:szCs w:val="24"/>
        </w:rPr>
        <w:t>）采用公允价值计量模式的投资性房地产</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3"/>
        <w:rPr>
          <w:bCs w:val="0"/>
          <w:szCs w:val="24"/>
        </w:rPr>
      </w:pPr>
      <w:r>
        <w:rPr>
          <w:rFonts w:hint="eastAsia"/>
          <w:bCs w:val="0"/>
          <w:szCs w:val="24"/>
        </w:rPr>
        <w:t>（</w:t>
      </w:r>
      <w:r>
        <w:rPr>
          <w:bCs w:val="0"/>
          <w:szCs w:val="24"/>
        </w:rPr>
        <w:t>3</w:t>
      </w:r>
      <w:r>
        <w:rPr>
          <w:rFonts w:hint="eastAsia"/>
          <w:bCs w:val="0"/>
          <w:szCs w:val="24"/>
        </w:rPr>
        <w:t>）未办妥产权证书的投资性房地产情况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1"/>
        <w:gridCol w:w="3191"/>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未办妥产权证书原因</w:t>
            </w:r>
          </w:p>
        </w:tc>
      </w:tr>
    </w:tbl>
    <w:p>
      <w:pPr>
        <w:jc w:val="left"/>
        <w:rPr>
          <w:szCs w:val="24"/>
        </w:rPr>
      </w:pPr>
      <w:r>
        <w:rPr>
          <w:rFonts w:hint="eastAsia"/>
          <w:szCs w:val="24"/>
        </w:rPr>
        <w:t>其他说明</w:t>
      </w:r>
    </w:p>
    <w:p>
      <w:pPr>
        <w:pStyle w:val="14"/>
        <w:outlineLvl w:val="2"/>
        <w:rPr>
          <w:bCs w:val="0"/>
          <w:szCs w:val="24"/>
        </w:rPr>
      </w:pPr>
      <w:r>
        <w:rPr>
          <w:bCs w:val="0"/>
          <w:szCs w:val="24"/>
        </w:rPr>
        <w:t>21</w:t>
      </w:r>
      <w:r>
        <w:rPr>
          <w:rFonts w:hint="eastAsia"/>
          <w:bCs w:val="0"/>
          <w:szCs w:val="24"/>
        </w:rPr>
        <w:t>、固定资产</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固定资产</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489,931,010.87</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414,937,464.27</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489,931,010.87</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414,937,464.27</w:t>
            </w:r>
          </w:p>
        </w:tc>
      </w:tr>
    </w:tbl>
    <w:p>
      <w:pPr>
        <w:pStyle w:val="14"/>
        <w:outlineLvl w:val="3"/>
        <w:rPr>
          <w:bCs w:val="0"/>
          <w:szCs w:val="24"/>
        </w:rPr>
      </w:pPr>
      <w:r>
        <w:rPr>
          <w:rFonts w:hint="eastAsia"/>
          <w:bCs w:val="0"/>
          <w:szCs w:val="24"/>
        </w:rPr>
        <w:t>（</w:t>
      </w:r>
      <w:r>
        <w:rPr>
          <w:bCs w:val="0"/>
          <w:szCs w:val="24"/>
        </w:rPr>
        <w:t>1</w:t>
      </w:r>
      <w:r>
        <w:rPr>
          <w:rFonts w:hint="eastAsia"/>
          <w:bCs w:val="0"/>
          <w:szCs w:val="24"/>
        </w:rPr>
        <w:t>）固定资产情况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594"/>
        <w:gridCol w:w="1594"/>
        <w:gridCol w:w="1594"/>
        <w:gridCol w:w="1594"/>
        <w:gridCol w:w="1594"/>
        <w:gridCol w:w="1594"/>
      </w:tblGrid>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项目</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房屋及建筑物</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机器设备</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运输设备</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电子设备及其他</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合计</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一、账面原值：</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1.期初余额</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20,621,319.92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697,284,118.18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35,224,187.81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42,607,202.96</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795,736,828.87</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2.本期增加金额</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30,663,242.00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205,443,180.84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1,843,521.73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1,970,378.42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239,920,322.99</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（1）购置</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30,663,242.00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189,394,837.26</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1,843,521.73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1,931,638.42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223,833,239.41</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（2）在建工程转入</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16,048,343.58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38,740.00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16,087,083.58</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（3）企业合并增加</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3.本期减少金额</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46,335,881.71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3,187,981.68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2,768,980.60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52,292,843.99</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（1）处置或报废</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30,760,349.39</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2,391,748.78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1,307,004.39</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34,459,102.56</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xml:space="preserve">       （2）处置子公司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15,575,532.32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796,232.90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1,461,976.21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17,833,741.43</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4.期末余额</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51,284,561.92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856,391,417.31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33,879,727.86</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41,808,600.78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983,364,307.87</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二、累计折旧</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1.期初余额</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9,391,244.41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325,942,772.28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21,662,796.60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23,476,790.95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380,473,604.24</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2.本期增加金额</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872,370.86</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123,746,964.95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5,170,187.42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5,069,526.69</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134,859,049.92</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（1）计提</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872,370.86</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123,746,964.95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5,170,187.42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5,069,526.69</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134,859,049.92</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3.本期减少金额</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18,205,438.63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2,500,076.88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1,519,602.01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22,225,117.52</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（1）处置或报废</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14,072,480.63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1,997,651.62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665,740.75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16,735,873.00</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xml:space="preserve">      （2）处置子公司 </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4,132,958.00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502,425.26</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853,861.26</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5,489,244.52</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4.期末余额</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10,263,615.27</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431,484,298.60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24,332,907.14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27,026,715.63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493,107,536.64</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三、减值准备</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1.期初余额</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191,615.60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13,595.14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120,549.62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325,760.36</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2.本期增加金额</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（1）计提</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3.本期减少金额</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（1）处置或报废</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4.期末余额</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191,615.60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13,595.14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120,549.62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325,760.36</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四、账面价值</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1.期末账面价值</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41,020,946.65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424,715,503.11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9,533,225.58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14,661,335.53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489,931,010.87</w:t>
            </w:r>
          </w:p>
        </w:tc>
      </w:tr>
      <w:tr>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　2.期初账面价值</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11,230,075.51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371,216,523.37</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13,547,796.07</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18,943,069.32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414,937,464.27</w:t>
            </w:r>
          </w:p>
        </w:tc>
      </w:tr>
    </w:tbl>
    <w:p>
      <w:pPr>
        <w:jc w:val="left"/>
        <w:rPr>
          <w:szCs w:val="24"/>
        </w:rPr>
      </w:pPr>
    </w:p>
    <w:p>
      <w:pPr>
        <w:jc w:val="right"/>
        <w:rPr>
          <w:szCs w:val="24"/>
        </w:rPr>
      </w:pPr>
    </w:p>
    <w:p>
      <w:pPr>
        <w:jc w:val="right"/>
        <w:rPr>
          <w:szCs w:val="24"/>
        </w:rPr>
      </w:pPr>
    </w:p>
    <w:p>
      <w:pPr>
        <w:pStyle w:val="14"/>
        <w:outlineLvl w:val="3"/>
        <w:rPr>
          <w:bCs w:val="0"/>
          <w:szCs w:val="24"/>
        </w:rPr>
      </w:pPr>
      <w:r>
        <w:rPr>
          <w:rFonts w:hint="eastAsia"/>
          <w:bCs w:val="0"/>
          <w:szCs w:val="24"/>
        </w:rPr>
        <w:t>（</w:t>
      </w:r>
      <w:r>
        <w:rPr>
          <w:bCs w:val="0"/>
          <w:szCs w:val="24"/>
        </w:rPr>
        <w:t>2</w:t>
      </w:r>
      <w:r>
        <w:rPr>
          <w:rFonts w:hint="eastAsia"/>
          <w:bCs w:val="0"/>
          <w:szCs w:val="24"/>
        </w:rPr>
        <w:t>）暂时闲置的固定资产情况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594"/>
        <w:gridCol w:w="1596"/>
        <w:gridCol w:w="1594"/>
        <w:gridCol w:w="1594"/>
        <w:gridCol w:w="1594"/>
        <w:gridCol w:w="1594"/>
      </w:tblGrid>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5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账面原值</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累计折旧</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减值准备</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备注</w:t>
            </w:r>
          </w:p>
        </w:tc>
      </w:tr>
    </w:tbl>
    <w:p>
      <w:pPr>
        <w:pStyle w:val="14"/>
        <w:outlineLvl w:val="3"/>
        <w:rPr>
          <w:bCs w:val="0"/>
          <w:szCs w:val="24"/>
        </w:rPr>
      </w:pPr>
      <w:r>
        <w:rPr>
          <w:rFonts w:hint="eastAsia"/>
          <w:bCs w:val="0"/>
          <w:szCs w:val="24"/>
        </w:rPr>
        <w:t>（</w:t>
      </w:r>
      <w:r>
        <w:rPr>
          <w:bCs w:val="0"/>
          <w:szCs w:val="24"/>
        </w:rPr>
        <w:t>3</w:t>
      </w:r>
      <w:r>
        <w:rPr>
          <w:rFonts w:hint="eastAsia"/>
          <w:bCs w:val="0"/>
          <w:szCs w:val="24"/>
        </w:rPr>
        <w:t>）通过融资租赁租入的固定资产情况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2"/>
        <w:gridCol w:w="1916"/>
        <w:gridCol w:w="1914"/>
        <w:gridCol w:w="1914"/>
        <w:gridCol w:w="1914"/>
      </w:tblGrid>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账面原值</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累计折旧</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减值准备</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r>
    </w:tbl>
    <w:p>
      <w:pPr>
        <w:pStyle w:val="14"/>
        <w:outlineLvl w:val="3"/>
        <w:rPr>
          <w:bCs w:val="0"/>
          <w:szCs w:val="24"/>
        </w:rPr>
      </w:pPr>
      <w:r>
        <w:rPr>
          <w:rFonts w:hint="eastAsia"/>
          <w:bCs w:val="0"/>
          <w:szCs w:val="24"/>
        </w:rPr>
        <w:t>（</w:t>
      </w:r>
      <w:r>
        <w:rPr>
          <w:bCs w:val="0"/>
          <w:szCs w:val="24"/>
        </w:rPr>
        <w:t>4</w:t>
      </w:r>
      <w:r>
        <w:rPr>
          <w:rFonts w:hint="eastAsia"/>
          <w:bCs w:val="0"/>
          <w:szCs w:val="24"/>
        </w:rPr>
        <w:t>）通过经营租赁租出的固定资产</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80"/>
        <w:gridCol w:w="4788"/>
      </w:tblGrid>
      <w:tr>
        <w:tblPrEx>
          <w:tblCellMar>
            <w:top w:w="0" w:type="dxa"/>
            <w:left w:w="28" w:type="dxa"/>
            <w:bottom w:w="0" w:type="dxa"/>
            <w:right w:w="28" w:type="dxa"/>
          </w:tblCellMar>
        </w:tblPrEx>
        <w:tc>
          <w:tcPr>
            <w:tcW w:w="47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478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期末账面价值</w:t>
            </w:r>
          </w:p>
        </w:tc>
      </w:tr>
    </w:tbl>
    <w:p>
      <w:pPr>
        <w:pStyle w:val="14"/>
        <w:outlineLvl w:val="3"/>
        <w:rPr>
          <w:bCs w:val="0"/>
          <w:szCs w:val="24"/>
        </w:rPr>
      </w:pPr>
      <w:r>
        <w:rPr>
          <w:rFonts w:hint="eastAsia"/>
          <w:bCs w:val="0"/>
          <w:szCs w:val="24"/>
        </w:rPr>
        <w:t>（</w:t>
      </w:r>
      <w:r>
        <w:rPr>
          <w:bCs w:val="0"/>
          <w:szCs w:val="24"/>
        </w:rPr>
        <w:t>5</w:t>
      </w:r>
      <w:r>
        <w:rPr>
          <w:rFonts w:hint="eastAsia"/>
          <w:bCs w:val="0"/>
          <w:szCs w:val="24"/>
        </w:rPr>
        <w:t>）未办妥产权证书的固定资产情况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账面价值</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未办妥产权证书的原因</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闻潮一品公寓</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30,663,242.00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正在办理中</w:t>
            </w:r>
          </w:p>
        </w:tc>
      </w:tr>
    </w:tbl>
    <w:p>
      <w:pPr>
        <w:jc w:val="right"/>
        <w:rPr>
          <w:szCs w:val="24"/>
        </w:rPr>
      </w:pPr>
    </w:p>
    <w:p>
      <w:pPr>
        <w:pStyle w:val="14"/>
        <w:outlineLvl w:val="3"/>
        <w:rPr>
          <w:bCs w:val="0"/>
          <w:szCs w:val="24"/>
        </w:rPr>
      </w:pPr>
      <w:r>
        <w:rPr>
          <w:rFonts w:hint="eastAsia"/>
          <w:bCs w:val="0"/>
          <w:szCs w:val="24"/>
        </w:rPr>
        <w:t>（</w:t>
      </w:r>
      <w:r>
        <w:rPr>
          <w:bCs w:val="0"/>
          <w:szCs w:val="24"/>
        </w:rPr>
        <w:t>6</w:t>
      </w:r>
      <w:r>
        <w:rPr>
          <w:rFonts w:hint="eastAsia"/>
          <w:bCs w:val="0"/>
          <w:szCs w:val="24"/>
        </w:rPr>
        <w:t>）固定资产清理</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8"/>
        <w:gridCol w:w="3191"/>
        <w:gridCol w:w="3190"/>
      </w:tblGrid>
      <w:tr>
        <w:tblPrEx>
          <w:tblCellMar>
            <w:top w:w="0" w:type="dxa"/>
            <w:left w:w="28" w:type="dxa"/>
            <w:bottom w:w="0" w:type="dxa"/>
            <w:right w:w="28" w:type="dxa"/>
          </w:tblCellMar>
        </w:tblPrEx>
        <w:tc>
          <w:tcPr>
            <w:tcW w:w="318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pStyle w:val="14"/>
        <w:outlineLvl w:val="2"/>
        <w:rPr>
          <w:bCs w:val="0"/>
          <w:szCs w:val="24"/>
        </w:rPr>
      </w:pPr>
      <w:r>
        <w:rPr>
          <w:bCs w:val="0"/>
          <w:szCs w:val="24"/>
        </w:rPr>
        <w:t>22</w:t>
      </w:r>
      <w:r>
        <w:rPr>
          <w:rFonts w:hint="eastAsia"/>
          <w:bCs w:val="0"/>
          <w:szCs w:val="24"/>
        </w:rPr>
        <w:t>、在建工程</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在建工程</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416,280,843.65</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307,014,414.17</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416,280,843.65</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307,014,414.17</w:t>
            </w:r>
          </w:p>
        </w:tc>
      </w:tr>
    </w:tbl>
    <w:p>
      <w:pPr>
        <w:pStyle w:val="14"/>
        <w:outlineLvl w:val="3"/>
        <w:rPr>
          <w:bCs w:val="0"/>
          <w:szCs w:val="24"/>
        </w:rPr>
      </w:pPr>
      <w:r>
        <w:rPr>
          <w:rFonts w:hint="eastAsia"/>
          <w:bCs w:val="0"/>
          <w:szCs w:val="24"/>
        </w:rPr>
        <w:t>（</w:t>
      </w:r>
      <w:r>
        <w:rPr>
          <w:bCs w:val="0"/>
          <w:szCs w:val="24"/>
        </w:rPr>
        <w:t>1</w:t>
      </w:r>
      <w:r>
        <w:rPr>
          <w:rFonts w:hint="eastAsia"/>
          <w:bCs w:val="0"/>
          <w:szCs w:val="24"/>
        </w:rPr>
        <w:t>）在建工程情况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368"/>
        <w:gridCol w:w="1368"/>
        <w:gridCol w:w="1367"/>
        <w:gridCol w:w="1367"/>
        <w:gridCol w:w="1367"/>
        <w:gridCol w:w="1367"/>
        <w:gridCol w:w="1367"/>
      </w:tblGrid>
      <w:tr>
        <w:tc>
          <w:tcPr>
            <w:tcW w:w="136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4102"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4101"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136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减值准备</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减值准备</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r>
      <w:tr>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人才公寓</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49,588,405.00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49,588,405.00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1,679,660.93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1,679,660.93</w:t>
            </w:r>
          </w:p>
        </w:tc>
      </w:tr>
      <w:tr>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设备安装工程</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2,145,094.70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2,145,094.70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16,084,452.88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16,084,452.88</w:t>
            </w:r>
          </w:p>
        </w:tc>
      </w:tr>
      <w:tr>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企业技术研发中心及参考实验室建设项目</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356,188,232.38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356,188,232.38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275,475,141.31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275,475,141.31</w:t>
            </w:r>
          </w:p>
        </w:tc>
      </w:tr>
      <w:tr>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SAP</w:t>
            </w:r>
            <w:r>
              <w:rPr>
                <w:rFonts w:hint="eastAsia"/>
                <w:szCs w:val="24"/>
              </w:rPr>
              <w:t>软件实施</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2,427,669.36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2,427,669.36</w:t>
            </w:r>
          </w:p>
        </w:tc>
      </w:tr>
      <w:tr>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装修工程</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2,182,761.96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2,182,761.96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6,729,898.26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6,729,898.26</w:t>
            </w:r>
          </w:p>
        </w:tc>
      </w:tr>
      <w:tr>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其他项目</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6,176,349.61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6,176,349.61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4,617,591.43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4,617,591.43</w:t>
            </w:r>
          </w:p>
        </w:tc>
      </w:tr>
      <w:tr>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416,280,843.65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416,280,843.65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307,014,414.17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307,014,414.17</w:t>
            </w:r>
          </w:p>
        </w:tc>
      </w:tr>
    </w:tbl>
    <w:p>
      <w:pPr>
        <w:pStyle w:val="14"/>
        <w:outlineLvl w:val="3"/>
        <w:rPr>
          <w:bCs w:val="0"/>
          <w:szCs w:val="24"/>
        </w:rPr>
      </w:pPr>
      <w:r>
        <w:rPr>
          <w:rFonts w:hint="eastAsia"/>
          <w:bCs w:val="0"/>
          <w:szCs w:val="24"/>
        </w:rPr>
        <w:t>（</w:t>
      </w:r>
      <w:r>
        <w:rPr>
          <w:bCs w:val="0"/>
          <w:szCs w:val="24"/>
        </w:rPr>
        <w:t>2</w:t>
      </w:r>
      <w:r>
        <w:rPr>
          <w:rFonts w:hint="eastAsia"/>
          <w:bCs w:val="0"/>
          <w:szCs w:val="24"/>
        </w:rPr>
        <w:t>）重要在建工程项目本期变动情况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732"/>
        <w:gridCol w:w="736"/>
        <w:gridCol w:w="736"/>
        <w:gridCol w:w="736"/>
        <w:gridCol w:w="736"/>
        <w:gridCol w:w="736"/>
        <w:gridCol w:w="736"/>
        <w:gridCol w:w="736"/>
        <w:gridCol w:w="736"/>
        <w:gridCol w:w="736"/>
        <w:gridCol w:w="736"/>
        <w:gridCol w:w="736"/>
        <w:gridCol w:w="736"/>
      </w:tblGrid>
      <w:tr>
        <w:tc>
          <w:tcPr>
            <w:tcW w:w="73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项目名称</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预算数</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本期增加金额</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本期转入固定资产金额</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本期其他减少金额</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工程累计投入占预算比例</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工程进度</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利息资本化累计金额</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其中：本期利息资本化金额</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本期利息资本化率</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资金来源</w:t>
            </w:r>
          </w:p>
        </w:tc>
      </w:tr>
      <w:tr>
        <w:tc>
          <w:tcPr>
            <w:tcW w:w="73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企业技术研发中心及参考实验室建设项目</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275,475,141.31</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80,713,091.07</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356,188,232.38</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85%</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募股资金</w:t>
            </w:r>
          </w:p>
        </w:tc>
      </w:tr>
      <w:tr>
        <w:tc>
          <w:tcPr>
            <w:tcW w:w="73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人才公寓</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1,679,660.93</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47,908,744.07</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49,588,405.00</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35%</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r>
      <w:tr>
        <w:tc>
          <w:tcPr>
            <w:tcW w:w="73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rPr>
                <w:sz w:val="15"/>
                <w:szCs w:val="15"/>
              </w:rPr>
              <w:t xml:space="preserve">277,154,802.24 </w:t>
            </w:r>
          </w:p>
        </w:tc>
        <w:tc>
          <w:tcPr>
            <w:tcW w:w="736"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rPr>
                <w:sz w:val="15"/>
                <w:szCs w:val="15"/>
              </w:rPr>
              <w:t xml:space="preserve">128,621,835.14 </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 w:val="15"/>
                <w:szCs w:val="15"/>
              </w:rPr>
              <w:t>405,776,637.38</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pStyle w:val="14"/>
        <w:outlineLvl w:val="3"/>
        <w:rPr>
          <w:bCs w:val="0"/>
          <w:szCs w:val="24"/>
        </w:rPr>
      </w:pPr>
      <w:r>
        <w:rPr>
          <w:rFonts w:hint="eastAsia"/>
          <w:bCs w:val="0"/>
          <w:szCs w:val="24"/>
        </w:rPr>
        <w:t>（</w:t>
      </w:r>
      <w:r>
        <w:rPr>
          <w:bCs w:val="0"/>
          <w:szCs w:val="24"/>
        </w:rPr>
        <w:t>3</w:t>
      </w:r>
      <w:r>
        <w:rPr>
          <w:rFonts w:hint="eastAsia"/>
          <w:bCs w:val="0"/>
          <w:szCs w:val="24"/>
        </w:rPr>
        <w:t>）本期计提在建工程减值准备情况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8"/>
        <w:gridCol w:w="3191"/>
        <w:gridCol w:w="3190"/>
      </w:tblGrid>
      <w:tr>
        <w:tc>
          <w:tcPr>
            <w:tcW w:w="318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本期计提金额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计提原因</w:t>
            </w:r>
          </w:p>
        </w:tc>
      </w:tr>
    </w:tbl>
    <w:p>
      <w:pPr>
        <w:pStyle w:val="14"/>
        <w:outlineLvl w:val="3"/>
        <w:rPr>
          <w:bCs w:val="0"/>
          <w:szCs w:val="24"/>
        </w:rPr>
      </w:pPr>
      <w:r>
        <w:rPr>
          <w:rFonts w:hint="eastAsia"/>
          <w:bCs w:val="0"/>
          <w:szCs w:val="24"/>
        </w:rPr>
        <w:t>（</w:t>
      </w:r>
      <w:r>
        <w:rPr>
          <w:bCs w:val="0"/>
          <w:szCs w:val="24"/>
        </w:rPr>
        <w:t>4</w:t>
      </w:r>
      <w:r>
        <w:rPr>
          <w:rFonts w:hint="eastAsia"/>
          <w:bCs w:val="0"/>
          <w:szCs w:val="24"/>
        </w:rPr>
        <w:t>）工程物资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132"/>
        <w:gridCol w:w="1329"/>
        <w:gridCol w:w="1328"/>
        <w:gridCol w:w="1196"/>
        <w:gridCol w:w="1196"/>
        <w:gridCol w:w="1196"/>
        <w:gridCol w:w="1191"/>
      </w:tblGrid>
      <w:tr>
        <w:tc>
          <w:tcPr>
            <w:tcW w:w="213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853"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583"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213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2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32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减值准备</w:t>
            </w: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减值准备</w:t>
            </w:r>
          </w:p>
        </w:tc>
        <w:tc>
          <w:tcPr>
            <w:tcW w:w="1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r>
    </w:tbl>
    <w:p>
      <w:pPr>
        <w:pStyle w:val="14"/>
        <w:outlineLvl w:val="2"/>
        <w:rPr>
          <w:bCs w:val="0"/>
          <w:szCs w:val="24"/>
        </w:rPr>
      </w:pPr>
      <w:r>
        <w:rPr>
          <w:bCs w:val="0"/>
          <w:szCs w:val="24"/>
        </w:rPr>
        <w:t>23</w:t>
      </w:r>
      <w:r>
        <w:rPr>
          <w:rFonts w:hint="eastAsia"/>
          <w:bCs w:val="0"/>
          <w:szCs w:val="24"/>
        </w:rPr>
        <w:t>、生产性生物资产</w:t>
      </w:r>
    </w:p>
    <w:p>
      <w:pPr>
        <w:pStyle w:val="14"/>
        <w:outlineLvl w:val="3"/>
        <w:rPr>
          <w:bCs w:val="0"/>
          <w:szCs w:val="24"/>
        </w:rPr>
      </w:pPr>
      <w:r>
        <w:rPr>
          <w:rFonts w:hint="eastAsia"/>
          <w:bCs w:val="0"/>
          <w:szCs w:val="24"/>
        </w:rPr>
        <w:t>（</w:t>
      </w:r>
      <w:r>
        <w:rPr>
          <w:bCs w:val="0"/>
          <w:szCs w:val="24"/>
        </w:rPr>
        <w:t>1</w:t>
      </w:r>
      <w:r>
        <w:rPr>
          <w:rFonts w:hint="eastAsia"/>
          <w:bCs w:val="0"/>
          <w:szCs w:val="24"/>
        </w:rPr>
        <w:t>）采用成本计量模式的生产性生物资产</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3"/>
        <w:rPr>
          <w:bCs w:val="0"/>
          <w:szCs w:val="24"/>
        </w:rPr>
      </w:pPr>
      <w:r>
        <w:rPr>
          <w:rFonts w:hint="eastAsia"/>
          <w:bCs w:val="0"/>
          <w:szCs w:val="24"/>
        </w:rPr>
        <w:t>（</w:t>
      </w:r>
      <w:r>
        <w:rPr>
          <w:bCs w:val="0"/>
          <w:szCs w:val="24"/>
        </w:rPr>
        <w:t>2</w:t>
      </w:r>
      <w:r>
        <w:rPr>
          <w:rFonts w:hint="eastAsia"/>
          <w:bCs w:val="0"/>
          <w:szCs w:val="24"/>
        </w:rPr>
        <w:t>）采用公允价值计量模式的生产性生物资产</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2"/>
        <w:rPr>
          <w:bCs w:val="0"/>
          <w:szCs w:val="24"/>
        </w:rPr>
      </w:pPr>
      <w:r>
        <w:rPr>
          <w:bCs w:val="0"/>
          <w:szCs w:val="24"/>
        </w:rPr>
        <w:t>24</w:t>
      </w:r>
      <w:r>
        <w:rPr>
          <w:rFonts w:hint="eastAsia"/>
          <w:bCs w:val="0"/>
          <w:szCs w:val="24"/>
        </w:rPr>
        <w:t>、油气资产</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2"/>
        <w:rPr>
          <w:bCs w:val="0"/>
          <w:szCs w:val="24"/>
        </w:rPr>
      </w:pPr>
      <w:r>
        <w:rPr>
          <w:bCs w:val="0"/>
          <w:szCs w:val="24"/>
        </w:rPr>
        <w:t>25</w:t>
      </w:r>
      <w:r>
        <w:rPr>
          <w:rFonts w:hint="eastAsia"/>
          <w:bCs w:val="0"/>
          <w:szCs w:val="24"/>
        </w:rPr>
        <w:t>、使用权资产</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90"/>
        <w:gridCol w:w="3190"/>
        <w:gridCol w:w="3190"/>
      </w:tblGrid>
      <w:tr>
        <w:tblPrEx>
          <w:tblCellMar>
            <w:top w:w="0" w:type="dxa"/>
            <w:left w:w="28" w:type="dxa"/>
            <w:bottom w:w="0" w:type="dxa"/>
            <w:right w:w="28" w:type="dxa"/>
          </w:tblCellMar>
        </w:tblPrEx>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合计</w:t>
            </w:r>
          </w:p>
        </w:tc>
      </w:tr>
    </w:tbl>
    <w:p>
      <w:pPr>
        <w:pStyle w:val="14"/>
        <w:outlineLvl w:val="2"/>
        <w:rPr>
          <w:bCs w:val="0"/>
          <w:szCs w:val="24"/>
        </w:rPr>
      </w:pPr>
      <w:r>
        <w:rPr>
          <w:bCs w:val="0"/>
          <w:szCs w:val="24"/>
        </w:rPr>
        <w:t>26</w:t>
      </w:r>
      <w:r>
        <w:rPr>
          <w:rFonts w:hint="eastAsia"/>
          <w:bCs w:val="0"/>
          <w:szCs w:val="24"/>
        </w:rPr>
        <w:t>、无形资产</w:t>
      </w:r>
    </w:p>
    <w:p>
      <w:pPr>
        <w:pStyle w:val="14"/>
        <w:outlineLvl w:val="3"/>
        <w:rPr>
          <w:bCs w:val="0"/>
          <w:szCs w:val="24"/>
        </w:rPr>
      </w:pPr>
      <w:r>
        <w:rPr>
          <w:rFonts w:hint="eastAsia"/>
          <w:bCs w:val="0"/>
          <w:szCs w:val="24"/>
        </w:rPr>
        <w:t>（</w:t>
      </w:r>
      <w:r>
        <w:rPr>
          <w:bCs w:val="0"/>
          <w:szCs w:val="24"/>
        </w:rPr>
        <w:t>1</w:t>
      </w:r>
      <w:r>
        <w:rPr>
          <w:rFonts w:hint="eastAsia"/>
          <w:bCs w:val="0"/>
          <w:szCs w:val="24"/>
        </w:rPr>
        <w:t>）无形资产情况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063"/>
        <w:gridCol w:w="1063"/>
        <w:gridCol w:w="1063"/>
        <w:gridCol w:w="1063"/>
        <w:gridCol w:w="1063"/>
        <w:gridCol w:w="1063"/>
        <w:gridCol w:w="1063"/>
        <w:gridCol w:w="1063"/>
        <w:gridCol w:w="1063"/>
      </w:tblGrid>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土地使用权</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专利权</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非专利技术</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软件</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专利及非专利技术</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商标权</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客户关系</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合计</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一、账面原值</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1.</w:t>
            </w:r>
            <w:r>
              <w:rPr>
                <w:rFonts w:hint="eastAsia"/>
                <w:szCs w:val="24"/>
              </w:rPr>
              <w:t>期初余额</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93,875,744.54</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33,350,374.88</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40,906,944.79</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35,963,168.00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45,010,719.20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249,106,951.41</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2.</w:t>
            </w:r>
            <w:r>
              <w:rPr>
                <w:rFonts w:hint="eastAsia"/>
                <w:szCs w:val="24"/>
              </w:rPr>
              <w:t>本期增加金额</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33,098,496.79</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9,346,248.00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805,711.51</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592,120.00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178,653.00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44,021,229.30</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1</w:t>
            </w:r>
            <w:r>
              <w:rPr>
                <w:rFonts w:hint="eastAsia"/>
                <w:szCs w:val="24"/>
              </w:rPr>
              <w:t>）购置</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33,098,496.79</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9,346,248.00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805,711.51</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592,120.00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178,653.00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44,021,229.30</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2</w:t>
            </w:r>
            <w:r>
              <w:rPr>
                <w:rFonts w:hint="eastAsia"/>
                <w:szCs w:val="24"/>
              </w:rPr>
              <w:t>）内部研发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3</w:t>
            </w:r>
            <w:r>
              <w:rPr>
                <w:rFonts w:hint="eastAsia"/>
                <w:szCs w:val="24"/>
              </w:rPr>
              <w:t>）企业合并增加</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3.</w:t>
            </w:r>
            <w:r>
              <w:rPr>
                <w:rFonts w:hint="eastAsia"/>
                <w:szCs w:val="24"/>
              </w:rPr>
              <w:t>本期减少金额</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3,759,762.05</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14,540,000.00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18,299,762.05</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1</w:t>
            </w:r>
            <w:r>
              <w:rPr>
                <w:rFonts w:hint="eastAsia"/>
                <w:szCs w:val="24"/>
              </w:rPr>
              <w:t>）处置</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3,532,758.62</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3,532,758.62</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w:t>
            </w:r>
            <w:r>
              <w:rPr>
                <w:szCs w:val="24"/>
              </w:rPr>
              <w:t>2</w:t>
            </w:r>
            <w:r>
              <w:rPr>
                <w:rFonts w:hint="eastAsia"/>
                <w:szCs w:val="24"/>
              </w:rPr>
              <w:t>）处置子公司</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227,003.43</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14,540,000.00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14,767,003.43</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4.</w:t>
            </w:r>
            <w:r>
              <w:rPr>
                <w:rFonts w:hint="eastAsia"/>
                <w:szCs w:val="24"/>
              </w:rPr>
              <w:t>期末余额</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126,974,241.33</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38,936,860.83</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41,712,656.30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36,555,288.00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30,649,372.20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274,828,418.66</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二、累计摊销</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1.</w:t>
            </w:r>
            <w:r>
              <w:rPr>
                <w:rFonts w:hint="eastAsia"/>
                <w:szCs w:val="24"/>
              </w:rPr>
              <w:t>期初余额</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8,447,822.70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12,471,546.46</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11,699,813.17</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7,991,815.22</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17,944,985.30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58,555,982.85</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2.</w:t>
            </w:r>
            <w:r>
              <w:rPr>
                <w:rFonts w:hint="eastAsia"/>
                <w:szCs w:val="24"/>
              </w:rPr>
              <w:t>本期增加金额</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4,039,431.43</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6,149,526.04</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2,470,142.46</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3,787,111.23</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10,178,513.07</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26,624,724.23</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1</w:t>
            </w:r>
            <w:r>
              <w:rPr>
                <w:rFonts w:hint="eastAsia"/>
                <w:szCs w:val="24"/>
              </w:rPr>
              <w:t>）计提</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4,039,431.43</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6,149,526.04</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2,470,142.46</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3,787,111.23</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10,178,513.07</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26,624,724.23</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3.</w:t>
            </w:r>
            <w:r>
              <w:rPr>
                <w:rFonts w:hint="eastAsia"/>
                <w:szCs w:val="24"/>
              </w:rPr>
              <w:t>本期减少金额</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1,448,110.86</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9,208,666.67</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10,656,777.53</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1</w:t>
            </w:r>
            <w:r>
              <w:rPr>
                <w:rFonts w:hint="eastAsia"/>
                <w:szCs w:val="24"/>
              </w:rPr>
              <w:t>）处置</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1,338,371.62</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1,338,371.62</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w:t>
            </w:r>
            <w:r>
              <w:rPr>
                <w:szCs w:val="24"/>
              </w:rPr>
              <w:t>2</w:t>
            </w:r>
            <w:r>
              <w:rPr>
                <w:rFonts w:hint="eastAsia"/>
                <w:szCs w:val="24"/>
              </w:rPr>
              <w:t>）处置子公司</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109,739.24</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9,208,666.67</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9,318,405.91</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4.</w:t>
            </w:r>
            <w:r>
              <w:rPr>
                <w:rFonts w:hint="eastAsia"/>
                <w:szCs w:val="24"/>
              </w:rPr>
              <w:t>期末余额</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12,487,254.13</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17,172,961.64</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14,169,955.63</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11,778,926.45</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18,914,831.70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74,523,929.55</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三、减值准备</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1.</w:t>
            </w:r>
            <w:r>
              <w:rPr>
                <w:rFonts w:hint="eastAsia"/>
                <w:szCs w:val="24"/>
              </w:rPr>
              <w:t>期初余额</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2.</w:t>
            </w:r>
            <w:r>
              <w:rPr>
                <w:rFonts w:hint="eastAsia"/>
                <w:szCs w:val="24"/>
              </w:rPr>
              <w:t>本期增加金额</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24,776,361.55</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3,886,540.50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28,662,902.05</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1</w:t>
            </w:r>
            <w:r>
              <w:rPr>
                <w:rFonts w:hint="eastAsia"/>
                <w:szCs w:val="24"/>
              </w:rPr>
              <w:t>）计提</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3.</w:t>
            </w:r>
            <w:r>
              <w:rPr>
                <w:rFonts w:hint="eastAsia"/>
                <w:szCs w:val="24"/>
              </w:rPr>
              <w:t>本期减少金额</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1</w:t>
            </w:r>
            <w:r>
              <w:rPr>
                <w:rFonts w:hint="eastAsia"/>
                <w:szCs w:val="24"/>
              </w:rPr>
              <w:t>）处置</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4.</w:t>
            </w:r>
            <w:r>
              <w:rPr>
                <w:rFonts w:hint="eastAsia"/>
                <w:szCs w:val="24"/>
              </w:rPr>
              <w:t>期末余额</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24,776,361.55</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3,886,540.50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28,662,902.05</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四、账面价值</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1.</w:t>
            </w:r>
            <w:r>
              <w:rPr>
                <w:rFonts w:hint="eastAsia"/>
                <w:szCs w:val="24"/>
              </w:rPr>
              <w:t>期末账面价值</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114,486,987.20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21,763,899.19</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27,542,700.67</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7,848,000.00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171,641,587.06</w:t>
            </w:r>
          </w:p>
        </w:tc>
      </w:tr>
      <w:tr>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2.</w:t>
            </w:r>
            <w:r>
              <w:rPr>
                <w:rFonts w:hint="eastAsia"/>
                <w:szCs w:val="24"/>
              </w:rPr>
              <w:t>期初账面价值</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85,427,921.84</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20,878,828.42</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29,207,131.62</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27,971,352.78</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27,065,733.90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190,550,968.56</w:t>
            </w:r>
          </w:p>
        </w:tc>
      </w:tr>
    </w:tbl>
    <w:p>
      <w:pPr>
        <w:jc w:val="left"/>
        <w:rPr>
          <w:szCs w:val="24"/>
        </w:rPr>
      </w:pPr>
      <w:r>
        <w:rPr>
          <w:rFonts w:hint="eastAsia"/>
          <w:szCs w:val="24"/>
        </w:rPr>
        <w:t>本期末通过公司内部研发形成的无形资产占无形资产余额的比例。</w:t>
      </w:r>
    </w:p>
    <w:p>
      <w:pPr>
        <w:pStyle w:val="14"/>
        <w:outlineLvl w:val="3"/>
        <w:rPr>
          <w:bCs w:val="0"/>
          <w:szCs w:val="24"/>
        </w:rPr>
      </w:pPr>
      <w:r>
        <w:rPr>
          <w:rFonts w:hint="eastAsia"/>
          <w:bCs w:val="0"/>
          <w:szCs w:val="24"/>
        </w:rPr>
        <w:t>（</w:t>
      </w:r>
      <w:r>
        <w:rPr>
          <w:bCs w:val="0"/>
          <w:szCs w:val="24"/>
        </w:rPr>
        <w:t>2</w:t>
      </w:r>
      <w:r>
        <w:rPr>
          <w:rFonts w:hint="eastAsia"/>
          <w:bCs w:val="0"/>
          <w:szCs w:val="24"/>
        </w:rPr>
        <w:t>）未办妥产权证书的土地使用权情况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未办妥产权证书的原因</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鄞州区新城</w:t>
            </w:r>
            <w:r>
              <w:rPr>
                <w:szCs w:val="24"/>
              </w:rPr>
              <w:t>YZ04-08-F4b</w:t>
            </w:r>
            <w:r>
              <w:rPr>
                <w:rFonts w:hint="eastAsia"/>
                <w:szCs w:val="24"/>
              </w:rPr>
              <w:t>地块</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30,891,930.34</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正在办理中</w:t>
            </w:r>
          </w:p>
        </w:tc>
      </w:tr>
    </w:tbl>
    <w:p>
      <w:pPr>
        <w:pStyle w:val="14"/>
        <w:outlineLvl w:val="2"/>
        <w:rPr>
          <w:bCs w:val="0"/>
          <w:szCs w:val="24"/>
        </w:rPr>
      </w:pPr>
      <w:r>
        <w:rPr>
          <w:bCs w:val="0"/>
          <w:szCs w:val="24"/>
        </w:rPr>
        <w:t>27</w:t>
      </w:r>
      <w:r>
        <w:rPr>
          <w:rFonts w:hint="eastAsia"/>
          <w:bCs w:val="0"/>
          <w:szCs w:val="24"/>
        </w:rPr>
        <w:t>、开发支出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063"/>
        <w:gridCol w:w="1063"/>
        <w:gridCol w:w="1063"/>
        <w:gridCol w:w="1063"/>
        <w:gridCol w:w="1063"/>
        <w:gridCol w:w="1063"/>
        <w:gridCol w:w="1063"/>
        <w:gridCol w:w="1063"/>
        <w:gridCol w:w="1063"/>
      </w:tblGrid>
      <w:tr>
        <w:tblPrEx>
          <w:tblCellMar>
            <w:top w:w="0" w:type="dxa"/>
            <w:left w:w="28" w:type="dxa"/>
            <w:bottom w:w="0" w:type="dxa"/>
            <w:right w:w="28" w:type="dxa"/>
          </w:tblCellMar>
        </w:tblPrEx>
        <w:tc>
          <w:tcPr>
            <w:tcW w:w="106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06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3189"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本期增加金额</w:t>
            </w:r>
          </w:p>
        </w:tc>
        <w:tc>
          <w:tcPr>
            <w:tcW w:w="3189"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本期减少金额</w:t>
            </w:r>
          </w:p>
        </w:tc>
        <w:tc>
          <w:tcPr>
            <w:tcW w:w="106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106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06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内部开发支出</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确认为无形资产</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转入当期损益</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106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bl>
    <w:p>
      <w:pPr>
        <w:pStyle w:val="14"/>
        <w:outlineLvl w:val="2"/>
        <w:rPr>
          <w:bCs w:val="0"/>
          <w:szCs w:val="24"/>
        </w:rPr>
      </w:pPr>
      <w:r>
        <w:rPr>
          <w:bCs w:val="0"/>
          <w:szCs w:val="24"/>
        </w:rPr>
        <w:t>28</w:t>
      </w:r>
      <w:r>
        <w:rPr>
          <w:rFonts w:hint="eastAsia"/>
          <w:bCs w:val="0"/>
          <w:szCs w:val="24"/>
        </w:rPr>
        <w:t>、商誉</w:t>
      </w:r>
    </w:p>
    <w:p>
      <w:pPr>
        <w:pStyle w:val="14"/>
        <w:outlineLvl w:val="3"/>
        <w:rPr>
          <w:bCs w:val="0"/>
          <w:szCs w:val="24"/>
        </w:rPr>
      </w:pPr>
      <w:r>
        <w:rPr>
          <w:rFonts w:hint="eastAsia"/>
          <w:bCs w:val="0"/>
          <w:szCs w:val="24"/>
        </w:rPr>
        <w:t>（</w:t>
      </w:r>
      <w:r>
        <w:rPr>
          <w:bCs w:val="0"/>
          <w:szCs w:val="24"/>
        </w:rPr>
        <w:t>1</w:t>
      </w:r>
      <w:r>
        <w:rPr>
          <w:rFonts w:hint="eastAsia"/>
          <w:bCs w:val="0"/>
          <w:szCs w:val="24"/>
        </w:rPr>
        <w:t>）商誉账面原值</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367"/>
        <w:gridCol w:w="1367"/>
        <w:gridCol w:w="1367"/>
        <w:gridCol w:w="1367"/>
        <w:gridCol w:w="1367"/>
        <w:gridCol w:w="1367"/>
        <w:gridCol w:w="1367"/>
      </w:tblGrid>
      <w:tr>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被投资单位名称或形成商誉的事项</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2734"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w:t>
            </w:r>
          </w:p>
        </w:tc>
        <w:tc>
          <w:tcPr>
            <w:tcW w:w="2734"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本期减少</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企业合并形成的</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处置</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浙江涌捷医疗器械有限公司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24,000,000.00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24,000,000.00</w:t>
            </w:r>
          </w:p>
        </w:tc>
      </w:tr>
      <w:tr>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重庆和盛医疗器械有限公司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70,261,000.00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70,261,000.00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内蒙古盛德医疗器械有限公司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10,710,000.00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10,710,000.00</w:t>
            </w:r>
          </w:p>
        </w:tc>
      </w:tr>
      <w:tr>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上海京都生物工程有限公司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3,906,887.16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3,906,887.16</w:t>
            </w:r>
          </w:p>
        </w:tc>
      </w:tr>
      <w:tr>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京都弘益生物科技（苏州）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3,049,104.76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3,049,104.76</w:t>
            </w:r>
          </w:p>
        </w:tc>
      </w:tr>
      <w:tr>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上饶市新安略科技有限公司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37,208,304.61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37,208,304.61</w:t>
            </w:r>
          </w:p>
        </w:tc>
      </w:tr>
      <w:tr>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上饶美康盛德医学检验所</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1,873,376.00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1,873,376.00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Atherotech Inc[</w:t>
            </w:r>
            <w:r>
              <w:rPr>
                <w:rFonts w:hint="eastAsia"/>
                <w:szCs w:val="24"/>
              </w:rPr>
              <w:t>注</w:t>
            </w:r>
            <w:r>
              <w:rPr>
                <w:szCs w:val="24"/>
              </w:rPr>
              <w:t>]</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41,310,596.38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680,163.39</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41,990,759.77</w:t>
            </w:r>
          </w:p>
        </w:tc>
      </w:tr>
      <w:tr>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美康生物科技</w:t>
            </w:r>
            <w:r>
              <w:rPr>
                <w:szCs w:val="24"/>
              </w:rPr>
              <w:t>(</w:t>
            </w:r>
            <w:r>
              <w:rPr>
                <w:rFonts w:hint="eastAsia"/>
                <w:szCs w:val="24"/>
              </w:rPr>
              <w:t>陕西</w:t>
            </w:r>
            <w:r>
              <w:rPr>
                <w:szCs w:val="24"/>
              </w:rPr>
              <w:t>)</w:t>
            </w:r>
            <w:r>
              <w:rPr>
                <w:rFonts w:hint="eastAsia"/>
                <w:szCs w:val="24"/>
              </w:rPr>
              <w:t>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931,960.68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931,960.68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杭州倚天生物技术有限公司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675,407,374.56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675,407,374.56</w:t>
            </w:r>
          </w:p>
        </w:tc>
      </w:tr>
      <w:tr>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868,658,604.15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680,163.39</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73,066,336.68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796,272,430.86</w:t>
            </w:r>
          </w:p>
        </w:tc>
      </w:tr>
    </w:tbl>
    <w:p>
      <w:pPr>
        <w:pStyle w:val="14"/>
        <w:outlineLvl w:val="3"/>
        <w:rPr>
          <w:bCs w:val="0"/>
          <w:szCs w:val="24"/>
        </w:rPr>
      </w:pPr>
      <w:r>
        <w:rPr>
          <w:rFonts w:hint="eastAsia"/>
          <w:bCs w:val="0"/>
          <w:szCs w:val="24"/>
        </w:rPr>
        <w:t>（</w:t>
      </w:r>
      <w:r>
        <w:rPr>
          <w:bCs w:val="0"/>
          <w:szCs w:val="24"/>
        </w:rPr>
        <w:t>2</w:t>
      </w:r>
      <w:r>
        <w:rPr>
          <w:rFonts w:hint="eastAsia"/>
          <w:bCs w:val="0"/>
          <w:szCs w:val="24"/>
        </w:rPr>
        <w:t>）商誉减值准备</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367"/>
        <w:gridCol w:w="1367"/>
        <w:gridCol w:w="1367"/>
        <w:gridCol w:w="1367"/>
        <w:gridCol w:w="1367"/>
        <w:gridCol w:w="1367"/>
        <w:gridCol w:w="1367"/>
      </w:tblGrid>
      <w:tr>
        <w:tblPrEx>
          <w:tblCellMar>
            <w:top w:w="0" w:type="dxa"/>
            <w:left w:w="28" w:type="dxa"/>
            <w:bottom w:w="0" w:type="dxa"/>
            <w:right w:w="28" w:type="dxa"/>
          </w:tblCellMar>
        </w:tblPrEx>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被投资单位名称或形成商誉的事项</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2734"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w:t>
            </w:r>
          </w:p>
        </w:tc>
        <w:tc>
          <w:tcPr>
            <w:tcW w:w="2734"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本期减少</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处置</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上海京都生物工程有限公司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2,060,449.38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1,846,437.78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3,906,887.16</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京都弘益生物科技（苏州）有限公司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1,992,222.40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1,056,882.36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3,049,104.76</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上饶市新安略科技有限公司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6,239,543.06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30,513,015.68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36,752,558.74</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Atherotech Inc[</w:t>
            </w:r>
            <w:r>
              <w:rPr>
                <w:rFonts w:hint="eastAsia"/>
                <w:szCs w:val="24"/>
              </w:rPr>
              <w:t>注</w:t>
            </w:r>
            <w:r>
              <w:rPr>
                <w:szCs w:val="24"/>
              </w:rPr>
              <w:t>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21,896,823.57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20,093,936.20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41,990,759.77</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浙江涌捷医疗器械有限公司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9,811,219.38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9,811,219.38</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内蒙古盛德医疗器械有限公司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8,984,977.65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8,984,977.65</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杭州倚天生物技术有限公司</w:t>
            </w:r>
            <w:r>
              <w:rPr>
                <w:szCs w:val="24"/>
              </w:rPr>
              <w:t>[</w:t>
            </w:r>
            <w:r>
              <w:rPr>
                <w:rFonts w:hint="eastAsia"/>
                <w:szCs w:val="24"/>
              </w:rPr>
              <w:t>注</w:t>
            </w:r>
            <w:r>
              <w:rPr>
                <w:szCs w:val="24"/>
              </w:rPr>
              <w:t>2]</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675,407,374.56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675,407,374.56</w:t>
            </w: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32,189,038.41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747,713,843.61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779,902,882.02</w:t>
            </w:r>
          </w:p>
        </w:tc>
      </w:tr>
    </w:tbl>
    <w:p>
      <w:pPr>
        <w:jc w:val="left"/>
        <w:rPr>
          <w:szCs w:val="24"/>
        </w:rPr>
      </w:pPr>
      <w:r>
        <w:rPr>
          <w:rFonts w:hint="eastAsia"/>
          <w:szCs w:val="24"/>
        </w:rPr>
        <w:t>商誉所在资产组或资产组组合的相关信息</w:t>
      </w:r>
    </w:p>
    <w:tbl>
      <w:tblPr>
        <w:tblStyle w:val="27"/>
        <w:tblW w:w="5000"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1363"/>
        <w:gridCol w:w="2641"/>
        <w:gridCol w:w="1181"/>
        <w:gridCol w:w="2850"/>
        <w:gridCol w:w="1819"/>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8" w:hRule="atLeast"/>
          <w:tblHeader/>
        </w:trPr>
        <w:tc>
          <w:tcPr>
            <w:tcW w:w="692" w:type="pct"/>
            <w:shd w:val="clear" w:color="auto" w:fill="auto"/>
            <w:vAlign w:val="center"/>
          </w:tcPr>
          <w:p>
            <w:pPr>
              <w:snapToGrid w:val="0"/>
              <w:spacing w:line="400" w:lineRule="exact"/>
              <w:jc w:val="center"/>
              <w:rPr>
                <w:color w:val="000000"/>
              </w:rPr>
            </w:pPr>
            <w:r>
              <w:rPr>
                <w:rFonts w:hint="eastAsia"/>
                <w:color w:val="000000"/>
              </w:rPr>
              <w:t>资产组或</w:t>
            </w:r>
            <w:r>
              <w:rPr>
                <w:color w:val="000000"/>
              </w:rPr>
              <w:t>资产组组合的构成</w:t>
            </w:r>
          </w:p>
        </w:tc>
        <w:tc>
          <w:tcPr>
            <w:tcW w:w="1340" w:type="pct"/>
            <w:shd w:val="clear" w:color="auto" w:fill="auto"/>
            <w:vAlign w:val="center"/>
          </w:tcPr>
          <w:p>
            <w:pPr>
              <w:snapToGrid w:val="0"/>
              <w:spacing w:line="400" w:lineRule="exact"/>
              <w:jc w:val="center"/>
              <w:rPr>
                <w:color w:val="000000"/>
              </w:rPr>
            </w:pPr>
            <w:r>
              <w:rPr>
                <w:rFonts w:hint="eastAsia"/>
                <w:color w:val="000000"/>
              </w:rPr>
              <w:t>资产组</w:t>
            </w:r>
            <w:r>
              <w:rPr>
                <w:color w:val="000000"/>
              </w:rPr>
              <w:t>或资产组组合的</w:t>
            </w:r>
          </w:p>
          <w:p>
            <w:pPr>
              <w:snapToGrid w:val="0"/>
              <w:spacing w:line="400" w:lineRule="exact"/>
              <w:jc w:val="center"/>
              <w:rPr>
                <w:color w:val="000000"/>
              </w:rPr>
            </w:pPr>
            <w:r>
              <w:rPr>
                <w:rFonts w:hint="eastAsia"/>
                <w:color w:val="000000"/>
              </w:rPr>
              <w:t>账面价值</w:t>
            </w:r>
          </w:p>
        </w:tc>
        <w:tc>
          <w:tcPr>
            <w:tcW w:w="599" w:type="pct"/>
            <w:shd w:val="clear" w:color="auto" w:fill="auto"/>
          </w:tcPr>
          <w:p>
            <w:pPr>
              <w:snapToGrid w:val="0"/>
              <w:spacing w:line="400" w:lineRule="exact"/>
              <w:jc w:val="center"/>
              <w:rPr>
                <w:color w:val="000000"/>
              </w:rPr>
            </w:pPr>
            <w:r>
              <w:rPr>
                <w:rFonts w:hint="eastAsia"/>
                <w:color w:val="000000"/>
              </w:rPr>
              <w:t>分摊至</w:t>
            </w:r>
            <w:r>
              <w:rPr>
                <w:color w:val="000000"/>
              </w:rPr>
              <w:t>本资产组或资产组</w:t>
            </w:r>
          </w:p>
          <w:p>
            <w:pPr>
              <w:snapToGrid w:val="0"/>
              <w:spacing w:line="400" w:lineRule="exact"/>
              <w:jc w:val="center"/>
              <w:rPr>
                <w:color w:val="000000"/>
              </w:rPr>
            </w:pPr>
            <w:r>
              <w:rPr>
                <w:color w:val="000000"/>
              </w:rPr>
              <w:t>组合</w:t>
            </w:r>
            <w:r>
              <w:rPr>
                <w:rFonts w:hint="eastAsia"/>
                <w:color w:val="000000"/>
              </w:rPr>
              <w:t>的</w:t>
            </w:r>
            <w:r>
              <w:rPr>
                <w:color w:val="000000"/>
              </w:rPr>
              <w:t>商誉账面价值及分摊方法</w:t>
            </w:r>
          </w:p>
        </w:tc>
        <w:tc>
          <w:tcPr>
            <w:tcW w:w="1446" w:type="pct"/>
            <w:shd w:val="clear" w:color="auto" w:fill="auto"/>
          </w:tcPr>
          <w:p>
            <w:pPr>
              <w:snapToGrid w:val="0"/>
              <w:spacing w:line="400" w:lineRule="exact"/>
              <w:jc w:val="center"/>
              <w:rPr>
                <w:color w:val="000000"/>
              </w:rPr>
            </w:pPr>
            <w:r>
              <w:rPr>
                <w:rFonts w:hint="eastAsia"/>
                <w:color w:val="000000"/>
              </w:rPr>
              <w:t>包含</w:t>
            </w:r>
            <w:r>
              <w:rPr>
                <w:color w:val="000000"/>
              </w:rPr>
              <w:t>商誉的资产组或资产组</w:t>
            </w:r>
          </w:p>
          <w:p>
            <w:pPr>
              <w:snapToGrid w:val="0"/>
              <w:spacing w:line="400" w:lineRule="exact"/>
              <w:jc w:val="center"/>
              <w:rPr>
                <w:color w:val="000000"/>
              </w:rPr>
            </w:pPr>
            <w:r>
              <w:rPr>
                <w:color w:val="000000"/>
              </w:rPr>
              <w:t>组合的</w:t>
            </w:r>
            <w:r>
              <w:rPr>
                <w:rFonts w:hint="eastAsia"/>
                <w:color w:val="000000"/>
              </w:rPr>
              <w:t>账面</w:t>
            </w:r>
            <w:r>
              <w:rPr>
                <w:color w:val="000000"/>
              </w:rPr>
              <w:t>价值</w:t>
            </w:r>
          </w:p>
        </w:tc>
        <w:tc>
          <w:tcPr>
            <w:tcW w:w="923" w:type="pct"/>
            <w:shd w:val="clear" w:color="auto" w:fill="auto"/>
            <w:vAlign w:val="center"/>
          </w:tcPr>
          <w:p>
            <w:pPr>
              <w:snapToGrid w:val="0"/>
              <w:spacing w:line="400" w:lineRule="exact"/>
              <w:jc w:val="center"/>
              <w:rPr>
                <w:color w:val="000000"/>
              </w:rPr>
            </w:pPr>
            <w:r>
              <w:rPr>
                <w:rFonts w:hint="eastAsia"/>
                <w:color w:val="000000"/>
              </w:rPr>
              <w:t>资产组或</w:t>
            </w:r>
            <w:r>
              <w:rPr>
                <w:color w:val="000000"/>
              </w:rPr>
              <w:t>资产组组合</w:t>
            </w:r>
            <w:r>
              <w:rPr>
                <w:rFonts w:hint="eastAsia"/>
                <w:color w:val="000000"/>
              </w:rPr>
              <w:t>是否</w:t>
            </w:r>
            <w:r>
              <w:rPr>
                <w:color w:val="000000"/>
              </w:rPr>
              <w:t>与购买日、</w:t>
            </w:r>
            <w:r>
              <w:rPr>
                <w:rFonts w:hint="eastAsia"/>
                <w:color w:val="000000"/>
              </w:rPr>
              <w:t>以前</w:t>
            </w:r>
            <w:r>
              <w:rPr>
                <w:color w:val="000000"/>
              </w:rPr>
              <w:t>年度</w:t>
            </w:r>
            <w:r>
              <w:rPr>
                <w:rFonts w:hint="eastAsia"/>
                <w:color w:val="000000"/>
              </w:rPr>
              <w:t>商誉</w:t>
            </w:r>
            <w:r>
              <w:rPr>
                <w:color w:val="000000"/>
              </w:rPr>
              <w:t>减值测试时</w:t>
            </w:r>
            <w:r>
              <w:rPr>
                <w:rFonts w:hint="eastAsia"/>
                <w:color w:val="000000"/>
              </w:rPr>
              <w:t>所</w:t>
            </w:r>
            <w:r>
              <w:rPr>
                <w:color w:val="000000"/>
              </w:rPr>
              <w:t>确定的资产组</w:t>
            </w:r>
            <w:r>
              <w:rPr>
                <w:rFonts w:hint="eastAsia"/>
                <w:color w:val="000000"/>
              </w:rPr>
              <w:t>或</w:t>
            </w:r>
            <w:r>
              <w:rPr>
                <w:color w:val="000000"/>
              </w:rPr>
              <w:t>资产组组合一致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8" w:hRule="atLeast"/>
        </w:trPr>
        <w:tc>
          <w:tcPr>
            <w:tcW w:w="692" w:type="pct"/>
            <w:shd w:val="clear" w:color="auto" w:fill="auto"/>
            <w:vAlign w:val="center"/>
          </w:tcPr>
          <w:p>
            <w:pPr>
              <w:snapToGrid w:val="0"/>
              <w:spacing w:line="400" w:lineRule="exact"/>
              <w:jc w:val="left"/>
              <w:rPr>
                <w:color w:val="000000"/>
              </w:rPr>
            </w:pPr>
            <w:r>
              <w:rPr>
                <w:color w:val="000000"/>
              </w:rPr>
              <w:t>浙江涌捷医疗器械有限公司</w:t>
            </w:r>
          </w:p>
        </w:tc>
        <w:tc>
          <w:tcPr>
            <w:tcW w:w="1340" w:type="pct"/>
            <w:shd w:val="clear" w:color="auto" w:fill="auto"/>
            <w:vAlign w:val="center"/>
          </w:tcPr>
          <w:p>
            <w:pPr>
              <w:snapToGrid w:val="0"/>
              <w:spacing w:line="400" w:lineRule="exact"/>
              <w:jc w:val="right"/>
              <w:rPr>
                <w:color w:val="000000"/>
              </w:rPr>
            </w:pPr>
            <w:r>
              <w:rPr>
                <w:color w:val="000000"/>
              </w:rPr>
              <w:t>3,178,861.53</w:t>
            </w:r>
          </w:p>
        </w:tc>
        <w:tc>
          <w:tcPr>
            <w:tcW w:w="599" w:type="pct"/>
            <w:shd w:val="clear" w:color="auto" w:fill="auto"/>
            <w:vAlign w:val="center"/>
          </w:tcPr>
          <w:p>
            <w:pPr>
              <w:snapToGrid w:val="0"/>
              <w:spacing w:line="400" w:lineRule="exact"/>
              <w:jc w:val="right"/>
              <w:rPr>
                <w:color w:val="000000"/>
              </w:rPr>
            </w:pPr>
            <w:r>
              <w:rPr>
                <w:rFonts w:hint="eastAsia"/>
                <w:color w:val="000000"/>
              </w:rPr>
              <w:t>无需分摊</w:t>
            </w:r>
          </w:p>
        </w:tc>
        <w:tc>
          <w:tcPr>
            <w:tcW w:w="1446" w:type="pct"/>
            <w:shd w:val="clear" w:color="auto" w:fill="auto"/>
            <w:vAlign w:val="center"/>
          </w:tcPr>
          <w:p>
            <w:pPr>
              <w:snapToGrid w:val="0"/>
              <w:spacing w:line="400" w:lineRule="exact"/>
              <w:jc w:val="right"/>
              <w:rPr>
                <w:color w:val="000000"/>
              </w:rPr>
            </w:pPr>
            <w:r>
              <w:rPr>
                <w:color w:val="000000"/>
              </w:rPr>
              <w:t>50,237,685.06</w:t>
            </w:r>
          </w:p>
        </w:tc>
        <w:tc>
          <w:tcPr>
            <w:tcW w:w="923" w:type="pct"/>
            <w:shd w:val="clear" w:color="auto" w:fill="auto"/>
            <w:vAlign w:val="center"/>
          </w:tcPr>
          <w:p>
            <w:pPr>
              <w:snapToGrid w:val="0"/>
              <w:spacing w:line="400" w:lineRule="exact"/>
              <w:jc w:val="right"/>
              <w:rPr>
                <w:color w:val="000000"/>
              </w:rPr>
            </w:pPr>
            <w:r>
              <w:rPr>
                <w:rFonts w:hint="eastAsia"/>
                <w:color w:val="000000"/>
              </w:rPr>
              <w:t>是</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8" w:hRule="atLeast"/>
        </w:trPr>
        <w:tc>
          <w:tcPr>
            <w:tcW w:w="692" w:type="pct"/>
            <w:shd w:val="clear" w:color="auto" w:fill="auto"/>
            <w:vAlign w:val="center"/>
          </w:tcPr>
          <w:p>
            <w:pPr>
              <w:snapToGrid w:val="0"/>
              <w:spacing w:line="400" w:lineRule="exact"/>
              <w:jc w:val="left"/>
              <w:rPr>
                <w:color w:val="000000"/>
              </w:rPr>
            </w:pPr>
            <w:r>
              <w:rPr>
                <w:color w:val="000000"/>
              </w:rPr>
              <w:t>内蒙古盛德医疗器械有限公司</w:t>
            </w:r>
          </w:p>
        </w:tc>
        <w:tc>
          <w:tcPr>
            <w:tcW w:w="1340" w:type="pct"/>
            <w:shd w:val="clear" w:color="auto" w:fill="auto"/>
            <w:vAlign w:val="center"/>
          </w:tcPr>
          <w:p>
            <w:pPr>
              <w:snapToGrid w:val="0"/>
              <w:spacing w:line="400" w:lineRule="exact"/>
              <w:jc w:val="right"/>
              <w:rPr>
                <w:color w:val="000000"/>
              </w:rPr>
            </w:pPr>
            <w:r>
              <w:rPr>
                <w:color w:val="000000"/>
              </w:rPr>
              <w:t>6,717,603.23</w:t>
            </w:r>
          </w:p>
        </w:tc>
        <w:tc>
          <w:tcPr>
            <w:tcW w:w="599" w:type="pct"/>
            <w:shd w:val="clear" w:color="auto" w:fill="auto"/>
            <w:vAlign w:val="center"/>
          </w:tcPr>
          <w:p>
            <w:pPr>
              <w:snapToGrid w:val="0"/>
              <w:spacing w:line="400" w:lineRule="exact"/>
              <w:jc w:val="right"/>
              <w:rPr>
                <w:color w:val="000000"/>
              </w:rPr>
            </w:pPr>
            <w:r>
              <w:rPr>
                <w:rFonts w:hint="eastAsia"/>
                <w:color w:val="000000"/>
              </w:rPr>
              <w:t>无需分摊</w:t>
            </w:r>
          </w:p>
        </w:tc>
        <w:tc>
          <w:tcPr>
            <w:tcW w:w="1446" w:type="pct"/>
            <w:shd w:val="clear" w:color="auto" w:fill="auto"/>
            <w:vAlign w:val="center"/>
          </w:tcPr>
          <w:p>
            <w:pPr>
              <w:snapToGrid w:val="0"/>
              <w:spacing w:line="400" w:lineRule="exact"/>
              <w:jc w:val="right"/>
              <w:rPr>
                <w:color w:val="000000"/>
              </w:rPr>
            </w:pPr>
            <w:r>
              <w:rPr>
                <w:color w:val="000000"/>
              </w:rPr>
              <w:t>27,717,603.23</w:t>
            </w:r>
          </w:p>
        </w:tc>
        <w:tc>
          <w:tcPr>
            <w:tcW w:w="923" w:type="pct"/>
            <w:shd w:val="clear" w:color="auto" w:fill="auto"/>
            <w:vAlign w:val="center"/>
          </w:tcPr>
          <w:p>
            <w:pPr>
              <w:snapToGrid w:val="0"/>
              <w:spacing w:line="400" w:lineRule="exact"/>
              <w:jc w:val="right"/>
              <w:rPr>
                <w:color w:val="000000"/>
              </w:rPr>
            </w:pPr>
            <w:r>
              <w:rPr>
                <w:rFonts w:hint="eastAsia"/>
                <w:color w:val="000000"/>
              </w:rPr>
              <w:t>是</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8" w:hRule="atLeast"/>
        </w:trPr>
        <w:tc>
          <w:tcPr>
            <w:tcW w:w="692" w:type="pct"/>
            <w:shd w:val="clear" w:color="auto" w:fill="auto"/>
            <w:vAlign w:val="center"/>
          </w:tcPr>
          <w:p>
            <w:pPr>
              <w:snapToGrid w:val="0"/>
              <w:spacing w:line="400" w:lineRule="exact"/>
              <w:jc w:val="left"/>
              <w:rPr>
                <w:color w:val="000000"/>
              </w:rPr>
            </w:pPr>
            <w:r>
              <w:rPr>
                <w:color w:val="000000"/>
              </w:rPr>
              <w:t>上饶市新安略科技有限公司</w:t>
            </w:r>
          </w:p>
        </w:tc>
        <w:tc>
          <w:tcPr>
            <w:tcW w:w="1340" w:type="pct"/>
            <w:shd w:val="clear" w:color="auto" w:fill="auto"/>
            <w:vAlign w:val="center"/>
          </w:tcPr>
          <w:p>
            <w:pPr>
              <w:snapToGrid w:val="0"/>
              <w:spacing w:line="400" w:lineRule="exact"/>
              <w:jc w:val="right"/>
              <w:rPr>
                <w:color w:val="000000"/>
              </w:rPr>
            </w:pPr>
            <w:r>
              <w:rPr>
                <w:color w:val="000000"/>
              </w:rPr>
              <w:t>18,786,168.09</w:t>
            </w:r>
          </w:p>
        </w:tc>
        <w:tc>
          <w:tcPr>
            <w:tcW w:w="599" w:type="pct"/>
            <w:shd w:val="clear" w:color="auto" w:fill="auto"/>
            <w:vAlign w:val="center"/>
          </w:tcPr>
          <w:p>
            <w:pPr>
              <w:snapToGrid w:val="0"/>
              <w:spacing w:line="400" w:lineRule="exact"/>
              <w:jc w:val="right"/>
              <w:rPr>
                <w:color w:val="000000"/>
              </w:rPr>
            </w:pPr>
            <w:r>
              <w:rPr>
                <w:rFonts w:hint="eastAsia"/>
                <w:color w:val="000000"/>
              </w:rPr>
              <w:t>无需分摊</w:t>
            </w:r>
          </w:p>
        </w:tc>
        <w:tc>
          <w:tcPr>
            <w:tcW w:w="1446" w:type="pct"/>
            <w:shd w:val="clear" w:color="auto" w:fill="auto"/>
            <w:vAlign w:val="center"/>
          </w:tcPr>
          <w:p>
            <w:pPr>
              <w:snapToGrid w:val="0"/>
              <w:spacing w:line="400" w:lineRule="exact"/>
              <w:jc w:val="right"/>
              <w:rPr>
                <w:color w:val="000000"/>
              </w:rPr>
            </w:pPr>
            <w:r>
              <w:rPr>
                <w:color w:val="000000"/>
              </w:rPr>
              <w:t xml:space="preserve">85,229,569.18 </w:t>
            </w:r>
          </w:p>
        </w:tc>
        <w:tc>
          <w:tcPr>
            <w:tcW w:w="923" w:type="pct"/>
            <w:shd w:val="clear" w:color="auto" w:fill="auto"/>
            <w:vAlign w:val="center"/>
          </w:tcPr>
          <w:p>
            <w:pPr>
              <w:snapToGrid w:val="0"/>
              <w:spacing w:line="400" w:lineRule="exact"/>
              <w:jc w:val="right"/>
              <w:rPr>
                <w:color w:val="000000"/>
              </w:rPr>
            </w:pPr>
            <w:r>
              <w:rPr>
                <w:rFonts w:hint="eastAsia"/>
                <w:color w:val="000000"/>
              </w:rPr>
              <w:t>是</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8" w:hRule="atLeast"/>
        </w:trPr>
        <w:tc>
          <w:tcPr>
            <w:tcW w:w="692" w:type="pct"/>
            <w:shd w:val="clear" w:color="auto" w:fill="auto"/>
            <w:vAlign w:val="center"/>
          </w:tcPr>
          <w:p>
            <w:pPr>
              <w:snapToGrid w:val="0"/>
              <w:spacing w:line="400" w:lineRule="exact"/>
              <w:rPr>
                <w:color w:val="000000"/>
              </w:rPr>
            </w:pPr>
            <w:r>
              <w:rPr>
                <w:color w:val="000000"/>
              </w:rPr>
              <w:t>杭州倚天生物技术有限公司</w:t>
            </w:r>
          </w:p>
        </w:tc>
        <w:tc>
          <w:tcPr>
            <w:tcW w:w="1340" w:type="pct"/>
            <w:shd w:val="clear" w:color="auto" w:fill="auto"/>
            <w:vAlign w:val="center"/>
          </w:tcPr>
          <w:p>
            <w:pPr>
              <w:snapToGrid w:val="0"/>
              <w:spacing w:line="400" w:lineRule="exact"/>
              <w:jc w:val="right"/>
              <w:rPr>
                <w:color w:val="000000"/>
              </w:rPr>
            </w:pPr>
            <w:r>
              <w:rPr>
                <w:color w:val="000000"/>
              </w:rPr>
              <w:t>15,533,122.34</w:t>
            </w:r>
          </w:p>
        </w:tc>
        <w:tc>
          <w:tcPr>
            <w:tcW w:w="599" w:type="pct"/>
            <w:shd w:val="clear" w:color="auto" w:fill="auto"/>
            <w:vAlign w:val="center"/>
          </w:tcPr>
          <w:p>
            <w:pPr>
              <w:snapToGrid w:val="0"/>
              <w:spacing w:line="400" w:lineRule="exact"/>
              <w:jc w:val="right"/>
              <w:rPr>
                <w:color w:val="000000"/>
              </w:rPr>
            </w:pPr>
            <w:r>
              <w:rPr>
                <w:rFonts w:hint="eastAsia"/>
                <w:color w:val="000000"/>
              </w:rPr>
              <w:t>无需分摊</w:t>
            </w:r>
          </w:p>
        </w:tc>
        <w:tc>
          <w:tcPr>
            <w:tcW w:w="1446" w:type="pct"/>
            <w:shd w:val="clear" w:color="auto" w:fill="auto"/>
            <w:vAlign w:val="center"/>
          </w:tcPr>
          <w:p>
            <w:pPr>
              <w:snapToGrid w:val="0"/>
              <w:spacing w:line="400" w:lineRule="exact"/>
              <w:jc w:val="right"/>
              <w:rPr>
                <w:color w:val="000000"/>
              </w:rPr>
            </w:pPr>
            <w:r>
              <w:rPr>
                <w:color w:val="000000"/>
              </w:rPr>
              <w:t>690,940,496.90</w:t>
            </w:r>
          </w:p>
        </w:tc>
        <w:tc>
          <w:tcPr>
            <w:tcW w:w="923" w:type="pct"/>
            <w:shd w:val="clear" w:color="auto" w:fill="auto"/>
            <w:vAlign w:val="center"/>
          </w:tcPr>
          <w:p>
            <w:pPr>
              <w:snapToGrid w:val="0"/>
              <w:spacing w:line="400" w:lineRule="exact"/>
              <w:jc w:val="right"/>
              <w:rPr>
                <w:color w:val="000000"/>
              </w:rPr>
            </w:pPr>
            <w:r>
              <w:rPr>
                <w:rFonts w:hint="eastAsia"/>
                <w:color w:val="000000"/>
              </w:rPr>
              <w:t>是</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8" w:hRule="atLeast"/>
        </w:trPr>
        <w:tc>
          <w:tcPr>
            <w:tcW w:w="692" w:type="pct"/>
            <w:shd w:val="clear" w:color="auto" w:fill="auto"/>
            <w:vAlign w:val="center"/>
          </w:tcPr>
          <w:p>
            <w:pPr>
              <w:snapToGrid w:val="0"/>
              <w:spacing w:line="400" w:lineRule="exact"/>
              <w:rPr>
                <w:color w:val="000000"/>
              </w:rPr>
            </w:pPr>
            <w:r>
              <w:rPr>
                <w:color w:val="000000"/>
              </w:rPr>
              <w:t>Atherotech Inc</w:t>
            </w:r>
          </w:p>
        </w:tc>
        <w:tc>
          <w:tcPr>
            <w:tcW w:w="1340" w:type="pct"/>
            <w:shd w:val="clear" w:color="auto" w:fill="auto"/>
            <w:vAlign w:val="center"/>
          </w:tcPr>
          <w:p>
            <w:pPr>
              <w:snapToGrid w:val="0"/>
              <w:spacing w:line="400" w:lineRule="exact"/>
              <w:jc w:val="right"/>
              <w:rPr>
                <w:color w:val="000000"/>
              </w:rPr>
            </w:pPr>
            <w:r>
              <w:rPr>
                <w:color w:val="000000"/>
              </w:rPr>
              <w:t>8,843,112.60</w:t>
            </w:r>
          </w:p>
        </w:tc>
        <w:tc>
          <w:tcPr>
            <w:tcW w:w="599" w:type="pct"/>
            <w:shd w:val="clear" w:color="auto" w:fill="auto"/>
            <w:vAlign w:val="center"/>
          </w:tcPr>
          <w:p>
            <w:pPr>
              <w:snapToGrid w:val="0"/>
              <w:spacing w:line="400" w:lineRule="exact"/>
              <w:jc w:val="right"/>
              <w:rPr>
                <w:color w:val="000000"/>
              </w:rPr>
            </w:pPr>
            <w:r>
              <w:rPr>
                <w:rFonts w:hint="eastAsia"/>
                <w:color w:val="000000"/>
              </w:rPr>
              <w:t>无需分摊</w:t>
            </w:r>
          </w:p>
        </w:tc>
        <w:tc>
          <w:tcPr>
            <w:tcW w:w="1446" w:type="pct"/>
            <w:shd w:val="clear" w:color="auto" w:fill="auto"/>
            <w:vAlign w:val="center"/>
          </w:tcPr>
          <w:p>
            <w:pPr>
              <w:snapToGrid w:val="0"/>
              <w:spacing w:line="400" w:lineRule="exact"/>
              <w:jc w:val="right"/>
              <w:rPr>
                <w:color w:val="000000"/>
              </w:rPr>
            </w:pPr>
            <w:r>
              <w:rPr>
                <w:color w:val="000000"/>
              </w:rPr>
              <w:t>50,833,872.37</w:t>
            </w:r>
          </w:p>
        </w:tc>
        <w:tc>
          <w:tcPr>
            <w:tcW w:w="923" w:type="pct"/>
            <w:shd w:val="clear" w:color="auto" w:fill="auto"/>
            <w:vAlign w:val="center"/>
          </w:tcPr>
          <w:p>
            <w:pPr>
              <w:snapToGrid w:val="0"/>
              <w:spacing w:line="400" w:lineRule="exact"/>
              <w:jc w:val="right"/>
              <w:rPr>
                <w:color w:val="000000"/>
              </w:rPr>
            </w:pPr>
            <w:r>
              <w:rPr>
                <w:rFonts w:hint="eastAsia"/>
                <w:color w:val="000000"/>
              </w:rPr>
              <w:t>是</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8" w:hRule="atLeast"/>
        </w:trPr>
        <w:tc>
          <w:tcPr>
            <w:tcW w:w="692" w:type="pct"/>
            <w:shd w:val="clear" w:color="auto" w:fill="auto"/>
            <w:vAlign w:val="center"/>
          </w:tcPr>
          <w:p>
            <w:pPr>
              <w:snapToGrid w:val="0"/>
              <w:spacing w:line="400" w:lineRule="exact"/>
              <w:jc w:val="center"/>
              <w:rPr>
                <w:color w:val="000000"/>
              </w:rPr>
            </w:pPr>
            <w:r>
              <w:rPr>
                <w:color w:val="000000"/>
              </w:rPr>
              <w:t>合计</w:t>
            </w:r>
          </w:p>
        </w:tc>
        <w:tc>
          <w:tcPr>
            <w:tcW w:w="1340" w:type="pct"/>
            <w:shd w:val="clear" w:color="auto" w:fill="auto"/>
            <w:vAlign w:val="center"/>
          </w:tcPr>
          <w:p>
            <w:pPr>
              <w:snapToGrid w:val="0"/>
              <w:spacing w:line="400" w:lineRule="exact"/>
              <w:jc w:val="right"/>
              <w:rPr>
                <w:color w:val="000000"/>
              </w:rPr>
            </w:pPr>
            <w:r>
              <w:rPr>
                <w:color w:val="000000"/>
              </w:rPr>
              <w:fldChar w:fldCharType="begin"/>
            </w:r>
            <w:r>
              <w:rPr>
                <w:color w:val="000000"/>
              </w:rPr>
              <w:instrText xml:space="preserve"> =SUM(ABOVE) \# "#,##0.00" </w:instrText>
            </w:r>
            <w:r>
              <w:rPr>
                <w:color w:val="000000"/>
              </w:rPr>
              <w:fldChar w:fldCharType="separate"/>
            </w:r>
            <w:r>
              <w:rPr>
                <w:color w:val="000000"/>
              </w:rPr>
              <w:t>53,058,867.79</w:t>
            </w:r>
            <w:r>
              <w:rPr>
                <w:color w:val="000000"/>
              </w:rPr>
              <w:fldChar w:fldCharType="end"/>
            </w:r>
          </w:p>
        </w:tc>
        <w:tc>
          <w:tcPr>
            <w:tcW w:w="599" w:type="pct"/>
            <w:shd w:val="clear" w:color="auto" w:fill="auto"/>
            <w:vAlign w:val="center"/>
          </w:tcPr>
          <w:p>
            <w:pPr>
              <w:snapToGrid w:val="0"/>
              <w:spacing w:line="400" w:lineRule="exact"/>
              <w:jc w:val="right"/>
              <w:rPr>
                <w:color w:val="000000"/>
              </w:rPr>
            </w:pPr>
          </w:p>
        </w:tc>
        <w:tc>
          <w:tcPr>
            <w:tcW w:w="1446" w:type="pct"/>
            <w:shd w:val="clear" w:color="auto" w:fill="auto"/>
            <w:vAlign w:val="center"/>
          </w:tcPr>
          <w:p>
            <w:pPr>
              <w:snapToGrid w:val="0"/>
              <w:spacing w:line="400" w:lineRule="exact"/>
              <w:jc w:val="right"/>
              <w:rPr>
                <w:color w:val="000000"/>
              </w:rPr>
            </w:pPr>
            <w:r>
              <w:rPr>
                <w:color w:val="000000"/>
              </w:rPr>
              <w:fldChar w:fldCharType="begin"/>
            </w:r>
            <w:r>
              <w:rPr>
                <w:color w:val="000000"/>
              </w:rPr>
              <w:instrText xml:space="preserve"> =SUM(ABOVE) \# "#,##0.00" </w:instrText>
            </w:r>
            <w:r>
              <w:rPr>
                <w:color w:val="000000"/>
              </w:rPr>
              <w:fldChar w:fldCharType="separate"/>
            </w:r>
            <w:r>
              <w:rPr>
                <w:color w:val="000000"/>
              </w:rPr>
              <w:t>904,959,226.74</w:t>
            </w:r>
            <w:r>
              <w:rPr>
                <w:color w:val="000000"/>
              </w:rPr>
              <w:fldChar w:fldCharType="end"/>
            </w:r>
          </w:p>
        </w:tc>
        <w:tc>
          <w:tcPr>
            <w:tcW w:w="923" w:type="pct"/>
            <w:shd w:val="clear" w:color="auto" w:fill="auto"/>
            <w:vAlign w:val="center"/>
          </w:tcPr>
          <w:p>
            <w:pPr>
              <w:snapToGrid w:val="0"/>
              <w:spacing w:line="400" w:lineRule="exact"/>
              <w:jc w:val="right"/>
              <w:rPr>
                <w:color w:val="000000"/>
              </w:rPr>
            </w:pPr>
          </w:p>
        </w:tc>
      </w:tr>
    </w:tbl>
    <w:p>
      <w:pPr>
        <w:ind w:firstLine="180" w:firstLineChars="100"/>
        <w:jc w:val="left"/>
        <w:rPr>
          <w:szCs w:val="24"/>
        </w:rPr>
      </w:pPr>
    </w:p>
    <w:p>
      <w:pPr>
        <w:ind w:firstLine="180" w:firstLineChars="100"/>
        <w:jc w:val="left"/>
        <w:rPr>
          <w:szCs w:val="24"/>
        </w:rPr>
      </w:pPr>
      <w:r>
        <w:rPr>
          <w:rFonts w:hint="eastAsia"/>
          <w:szCs w:val="24"/>
        </w:rPr>
        <w:t>说明商誉减值测试过程、关键参数（如预计未来现金流量现值时的预测期增长率、稳定期增长率、利润率、折现率、预测期等）及商誉减值损失的确认方法：</w:t>
      </w:r>
    </w:p>
    <w:tbl>
      <w:tblPr>
        <w:tblStyle w:val="27"/>
        <w:tblW w:w="5000" w:type="pct"/>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3076"/>
        <w:gridCol w:w="1358"/>
        <w:gridCol w:w="1356"/>
        <w:gridCol w:w="1356"/>
        <w:gridCol w:w="1354"/>
        <w:gridCol w:w="135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7" w:hRule="atLeast"/>
          <w:tblHeader/>
          <w:jc w:val="center"/>
        </w:trPr>
        <w:tc>
          <w:tcPr>
            <w:tcW w:w="1561" w:type="pct"/>
            <w:vMerge w:val="restart"/>
            <w:shd w:val="clear" w:color="auto" w:fill="auto"/>
            <w:vAlign w:val="center"/>
          </w:tcPr>
          <w:p>
            <w:pPr>
              <w:snapToGrid w:val="0"/>
              <w:spacing w:line="390" w:lineRule="atLeast"/>
              <w:jc w:val="center"/>
              <w:rPr>
                <w:color w:val="000000"/>
              </w:rPr>
            </w:pPr>
            <w:r>
              <w:rPr>
                <w:color w:val="000000"/>
              </w:rPr>
              <w:t>被投资单位名称或</w:t>
            </w:r>
          </w:p>
          <w:p>
            <w:pPr>
              <w:snapToGrid w:val="0"/>
              <w:spacing w:line="390" w:lineRule="atLeast"/>
              <w:jc w:val="center"/>
              <w:rPr>
                <w:color w:val="000000"/>
              </w:rPr>
            </w:pPr>
            <w:r>
              <w:rPr>
                <w:color w:val="000000"/>
              </w:rPr>
              <w:t>形成商誉的事项</w:t>
            </w:r>
          </w:p>
        </w:tc>
        <w:tc>
          <w:tcPr>
            <w:tcW w:w="3439" w:type="pct"/>
            <w:gridSpan w:val="5"/>
            <w:shd w:val="clear" w:color="auto" w:fill="auto"/>
            <w:vAlign w:val="center"/>
          </w:tcPr>
          <w:p>
            <w:pPr>
              <w:snapToGrid w:val="0"/>
              <w:spacing w:line="390" w:lineRule="atLeast"/>
              <w:jc w:val="center"/>
              <w:rPr>
                <w:color w:val="000000"/>
              </w:rPr>
            </w:pPr>
            <w:r>
              <w:rPr>
                <w:rFonts w:hint="eastAsia"/>
                <w:color w:val="000000"/>
              </w:rPr>
              <w:t>关键</w:t>
            </w:r>
            <w:r>
              <w:rPr>
                <w:color w:val="000000"/>
              </w:rPr>
              <w:t>参数</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98" w:hRule="atLeast"/>
          <w:tblHeader/>
          <w:jc w:val="center"/>
        </w:trPr>
        <w:tc>
          <w:tcPr>
            <w:tcW w:w="1561" w:type="pct"/>
            <w:vMerge w:val="continue"/>
            <w:shd w:val="clear" w:color="auto" w:fill="auto"/>
            <w:vAlign w:val="center"/>
          </w:tcPr>
          <w:p>
            <w:pPr>
              <w:snapToGrid w:val="0"/>
              <w:spacing w:line="390" w:lineRule="atLeast"/>
              <w:jc w:val="center"/>
              <w:rPr>
                <w:color w:val="000000"/>
              </w:rPr>
            </w:pPr>
          </w:p>
        </w:tc>
        <w:tc>
          <w:tcPr>
            <w:tcW w:w="689" w:type="pct"/>
            <w:shd w:val="clear" w:color="auto" w:fill="auto"/>
            <w:vAlign w:val="center"/>
          </w:tcPr>
          <w:p>
            <w:pPr>
              <w:snapToGrid w:val="0"/>
              <w:spacing w:line="390" w:lineRule="atLeast"/>
              <w:jc w:val="center"/>
              <w:rPr>
                <w:color w:val="000000"/>
              </w:rPr>
            </w:pPr>
            <w:r>
              <w:rPr>
                <w:rFonts w:hint="eastAsia"/>
                <w:color w:val="000000"/>
              </w:rPr>
              <w:t>预测期</w:t>
            </w:r>
          </w:p>
        </w:tc>
        <w:tc>
          <w:tcPr>
            <w:tcW w:w="688" w:type="pct"/>
            <w:shd w:val="clear" w:color="auto" w:fill="auto"/>
            <w:vAlign w:val="center"/>
          </w:tcPr>
          <w:p>
            <w:pPr>
              <w:pStyle w:val="33"/>
              <w:spacing w:line="400" w:lineRule="atLeast"/>
              <w:jc w:val="center"/>
              <w:rPr>
                <w:rFonts w:ascii="Times New Roman" w:eastAsia="宋体" w:cs="Times New Roman"/>
                <w:kern w:val="2"/>
                <w:sz w:val="18"/>
                <w:szCs w:val="18"/>
              </w:rPr>
            </w:pPr>
            <w:r>
              <w:rPr>
                <w:rFonts w:hint="eastAsia" w:ascii="Times New Roman" w:eastAsia="宋体" w:cs="Times New Roman"/>
                <w:kern w:val="2"/>
                <w:sz w:val="18"/>
                <w:szCs w:val="18"/>
              </w:rPr>
              <w:t>预测增长率%</w:t>
            </w:r>
            <w:r>
              <w:rPr>
                <w:rFonts w:ascii="Times New Roman" w:eastAsia="宋体" w:cs="Times New Roman"/>
                <w:kern w:val="2"/>
                <w:sz w:val="18"/>
                <w:szCs w:val="18"/>
              </w:rPr>
              <w:t xml:space="preserve"> </w:t>
            </w:r>
          </w:p>
        </w:tc>
        <w:tc>
          <w:tcPr>
            <w:tcW w:w="688" w:type="pct"/>
            <w:shd w:val="clear" w:color="auto" w:fill="auto"/>
            <w:vAlign w:val="center"/>
          </w:tcPr>
          <w:p>
            <w:pPr>
              <w:pStyle w:val="33"/>
              <w:spacing w:line="400" w:lineRule="atLeast"/>
              <w:jc w:val="center"/>
              <w:rPr>
                <w:rFonts w:ascii="Times New Roman" w:eastAsia="宋体" w:cs="Times New Roman"/>
                <w:kern w:val="2"/>
                <w:sz w:val="18"/>
                <w:szCs w:val="18"/>
              </w:rPr>
            </w:pPr>
            <w:r>
              <w:rPr>
                <w:rFonts w:hint="eastAsia" w:ascii="Times New Roman" w:eastAsia="宋体" w:cs="Times New Roman"/>
                <w:kern w:val="2"/>
                <w:sz w:val="18"/>
                <w:szCs w:val="18"/>
              </w:rPr>
              <w:t>稳定期增长率</w:t>
            </w:r>
            <w:r>
              <w:rPr>
                <w:rFonts w:ascii="Times New Roman" w:eastAsia="宋体" w:cs="Times New Roman"/>
                <w:kern w:val="2"/>
                <w:sz w:val="18"/>
                <w:szCs w:val="18"/>
              </w:rPr>
              <w:t xml:space="preserve"> </w:t>
            </w:r>
          </w:p>
        </w:tc>
        <w:tc>
          <w:tcPr>
            <w:tcW w:w="687" w:type="pct"/>
            <w:shd w:val="clear" w:color="auto" w:fill="auto"/>
            <w:vAlign w:val="center"/>
          </w:tcPr>
          <w:p>
            <w:pPr>
              <w:pStyle w:val="33"/>
              <w:spacing w:line="400" w:lineRule="atLeast"/>
              <w:jc w:val="center"/>
              <w:rPr>
                <w:rFonts w:ascii="Times New Roman" w:eastAsia="宋体" w:cs="Times New Roman"/>
                <w:kern w:val="2"/>
                <w:sz w:val="18"/>
                <w:szCs w:val="18"/>
              </w:rPr>
            </w:pPr>
            <w:r>
              <w:rPr>
                <w:rFonts w:hint="eastAsia" w:ascii="Times New Roman" w:eastAsia="宋体" w:cs="Times New Roman"/>
                <w:kern w:val="2"/>
                <w:sz w:val="18"/>
                <w:szCs w:val="18"/>
              </w:rPr>
              <w:t>利润率</w:t>
            </w:r>
            <w:r>
              <w:rPr>
                <w:rFonts w:ascii="Times New Roman" w:eastAsia="宋体" w:cs="Times New Roman"/>
                <w:kern w:val="2"/>
                <w:sz w:val="18"/>
                <w:szCs w:val="18"/>
              </w:rPr>
              <w:t xml:space="preserve"> </w:t>
            </w:r>
          </w:p>
        </w:tc>
        <w:tc>
          <w:tcPr>
            <w:tcW w:w="687" w:type="pct"/>
            <w:shd w:val="clear" w:color="auto" w:fill="auto"/>
            <w:vAlign w:val="center"/>
          </w:tcPr>
          <w:p>
            <w:pPr>
              <w:snapToGrid w:val="0"/>
              <w:spacing w:line="390" w:lineRule="atLeast"/>
              <w:jc w:val="center"/>
              <w:rPr>
                <w:color w:val="000000"/>
              </w:rPr>
            </w:pPr>
            <w:r>
              <w:rPr>
                <w:rFonts w:hint="eastAsia"/>
                <w:color w:val="000000"/>
              </w:rPr>
              <w:t>折现率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61" w:type="pct"/>
            <w:shd w:val="clear" w:color="auto" w:fill="auto"/>
            <w:vAlign w:val="center"/>
          </w:tcPr>
          <w:p>
            <w:pPr>
              <w:snapToGrid w:val="0"/>
              <w:spacing w:line="240" w:lineRule="auto"/>
              <w:jc w:val="left"/>
              <w:rPr>
                <w:color w:val="000000"/>
              </w:rPr>
            </w:pPr>
            <w:r>
              <w:rPr>
                <w:color w:val="000000"/>
              </w:rPr>
              <w:t>浙江涌捷医疗器械有限公司</w:t>
            </w:r>
          </w:p>
        </w:tc>
        <w:tc>
          <w:tcPr>
            <w:tcW w:w="689" w:type="pct"/>
            <w:shd w:val="clear" w:color="auto" w:fill="auto"/>
            <w:vAlign w:val="center"/>
          </w:tcPr>
          <w:p>
            <w:pPr>
              <w:snapToGrid w:val="0"/>
              <w:spacing w:line="240" w:lineRule="auto"/>
              <w:jc w:val="center"/>
              <w:rPr>
                <w:color w:val="000000"/>
              </w:rPr>
            </w:pPr>
            <w:r>
              <w:rPr>
                <w:color w:val="000000"/>
              </w:rPr>
              <w:t>2020</w:t>
            </w:r>
            <w:r>
              <w:rPr>
                <w:rFonts w:hint="eastAsia"/>
                <w:color w:val="000000"/>
              </w:rPr>
              <w:t>年</w:t>
            </w:r>
            <w:r>
              <w:rPr>
                <w:color w:val="000000"/>
              </w:rPr>
              <w:t>-2024</w:t>
            </w:r>
            <w:r>
              <w:rPr>
                <w:rFonts w:hint="eastAsia"/>
                <w:color w:val="000000"/>
              </w:rPr>
              <w:t>年</w:t>
            </w:r>
          </w:p>
        </w:tc>
        <w:tc>
          <w:tcPr>
            <w:tcW w:w="688" w:type="pct"/>
            <w:shd w:val="clear" w:color="auto" w:fill="auto"/>
            <w:vAlign w:val="center"/>
          </w:tcPr>
          <w:p>
            <w:pPr>
              <w:snapToGrid w:val="0"/>
              <w:spacing w:line="240" w:lineRule="auto"/>
              <w:jc w:val="left"/>
              <w:rPr>
                <w:color w:val="000000"/>
              </w:rPr>
            </w:pPr>
            <w:r>
              <w:rPr>
                <w:color w:val="000000"/>
              </w:rPr>
              <w:t>5.36</w:t>
            </w:r>
            <w:r>
              <w:rPr>
                <w:rFonts w:hint="eastAsia"/>
                <w:color w:val="000000"/>
              </w:rPr>
              <w:t>、</w:t>
            </w:r>
            <w:r>
              <w:rPr>
                <w:color w:val="000000"/>
              </w:rPr>
              <w:t>10.77</w:t>
            </w:r>
            <w:r>
              <w:rPr>
                <w:rFonts w:hint="eastAsia"/>
                <w:color w:val="000000"/>
              </w:rPr>
              <w:t>、9.16、7.52、5.84</w:t>
            </w:r>
          </w:p>
        </w:tc>
        <w:tc>
          <w:tcPr>
            <w:tcW w:w="688" w:type="pct"/>
            <w:shd w:val="clear" w:color="auto" w:fill="auto"/>
            <w:vAlign w:val="center"/>
          </w:tcPr>
          <w:p>
            <w:pPr>
              <w:snapToGrid w:val="0"/>
              <w:spacing w:line="240" w:lineRule="auto"/>
              <w:jc w:val="center"/>
              <w:rPr>
                <w:color w:val="000000"/>
              </w:rPr>
            </w:pPr>
            <w:r>
              <w:rPr>
                <w:rFonts w:hint="eastAsia"/>
                <w:color w:val="000000"/>
              </w:rPr>
              <w:t>0</w:t>
            </w:r>
            <w:r>
              <w:rPr>
                <w:color w:val="000000"/>
              </w:rPr>
              <w:t>%</w:t>
            </w:r>
          </w:p>
        </w:tc>
        <w:tc>
          <w:tcPr>
            <w:tcW w:w="687" w:type="pct"/>
            <w:shd w:val="clear" w:color="auto" w:fill="auto"/>
            <w:vAlign w:val="center"/>
          </w:tcPr>
          <w:p>
            <w:pPr>
              <w:pStyle w:val="33"/>
              <w:spacing w:line="400" w:lineRule="atLeast"/>
              <w:jc w:val="left"/>
              <w:rPr>
                <w:rFonts w:ascii="Times New Roman" w:eastAsia="宋体" w:cs="Times New Roman"/>
                <w:kern w:val="2"/>
                <w:sz w:val="18"/>
                <w:szCs w:val="18"/>
              </w:rPr>
            </w:pPr>
            <w:r>
              <w:rPr>
                <w:rFonts w:hint="eastAsia" w:ascii="Times New Roman" w:eastAsia="宋体" w:cs="Times New Roman"/>
                <w:kern w:val="2"/>
                <w:sz w:val="18"/>
                <w:szCs w:val="18"/>
              </w:rPr>
              <w:t>根据预测期内收入、成本、费用等计算</w:t>
            </w:r>
            <w:r>
              <w:rPr>
                <w:rFonts w:ascii="Times New Roman" w:eastAsia="宋体" w:cs="Times New Roman"/>
                <w:kern w:val="2"/>
                <w:sz w:val="18"/>
                <w:szCs w:val="18"/>
              </w:rPr>
              <w:t xml:space="preserve"> </w:t>
            </w:r>
          </w:p>
        </w:tc>
        <w:tc>
          <w:tcPr>
            <w:tcW w:w="687" w:type="pct"/>
            <w:shd w:val="clear" w:color="auto" w:fill="auto"/>
            <w:vAlign w:val="center"/>
          </w:tcPr>
          <w:p>
            <w:pPr>
              <w:snapToGrid w:val="0"/>
              <w:spacing w:line="240" w:lineRule="auto"/>
              <w:jc w:val="center"/>
              <w:rPr>
                <w:color w:val="000000"/>
              </w:rPr>
            </w:pPr>
            <w:r>
              <w:rPr>
                <w:color w:val="000000"/>
              </w:rPr>
              <w:t>15.29%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61" w:type="pct"/>
            <w:shd w:val="clear" w:color="auto" w:fill="auto"/>
            <w:vAlign w:val="center"/>
          </w:tcPr>
          <w:p>
            <w:pPr>
              <w:snapToGrid w:val="0"/>
              <w:spacing w:line="240" w:lineRule="auto"/>
              <w:jc w:val="left"/>
              <w:rPr>
                <w:color w:val="000000"/>
              </w:rPr>
            </w:pPr>
            <w:r>
              <w:rPr>
                <w:color w:val="000000"/>
              </w:rPr>
              <w:t>内蒙古盛德医疗器械有限公司</w:t>
            </w:r>
          </w:p>
        </w:tc>
        <w:tc>
          <w:tcPr>
            <w:tcW w:w="689" w:type="pct"/>
            <w:shd w:val="clear" w:color="auto" w:fill="auto"/>
            <w:vAlign w:val="center"/>
          </w:tcPr>
          <w:p>
            <w:pPr>
              <w:snapToGrid w:val="0"/>
              <w:spacing w:line="240" w:lineRule="auto"/>
              <w:jc w:val="center"/>
              <w:rPr>
                <w:color w:val="000000"/>
              </w:rPr>
            </w:pPr>
            <w:r>
              <w:rPr>
                <w:color w:val="000000"/>
              </w:rPr>
              <w:t>2020</w:t>
            </w:r>
            <w:r>
              <w:rPr>
                <w:rFonts w:hint="eastAsia"/>
                <w:color w:val="000000"/>
              </w:rPr>
              <w:t>年</w:t>
            </w:r>
            <w:r>
              <w:rPr>
                <w:color w:val="000000"/>
              </w:rPr>
              <w:t>-2024</w:t>
            </w:r>
            <w:r>
              <w:rPr>
                <w:rFonts w:hint="eastAsia"/>
                <w:color w:val="000000"/>
              </w:rPr>
              <w:t>年</w:t>
            </w:r>
          </w:p>
        </w:tc>
        <w:tc>
          <w:tcPr>
            <w:tcW w:w="688" w:type="pct"/>
            <w:shd w:val="clear" w:color="auto" w:fill="auto"/>
            <w:vAlign w:val="center"/>
          </w:tcPr>
          <w:p>
            <w:pPr>
              <w:snapToGrid w:val="0"/>
              <w:spacing w:line="240" w:lineRule="auto"/>
              <w:jc w:val="left"/>
              <w:rPr>
                <w:color w:val="000000"/>
              </w:rPr>
            </w:pPr>
            <w:r>
              <w:rPr>
                <w:rFonts w:hint="eastAsia"/>
                <w:color w:val="000000"/>
              </w:rPr>
              <w:t>-</w:t>
            </w:r>
            <w:r>
              <w:rPr>
                <w:color w:val="000000"/>
              </w:rPr>
              <w:t>8.65、</w:t>
            </w:r>
            <w:r>
              <w:rPr>
                <w:rFonts w:hint="eastAsia"/>
                <w:color w:val="000000"/>
              </w:rPr>
              <w:t>-</w:t>
            </w:r>
            <w:r>
              <w:rPr>
                <w:color w:val="000000"/>
              </w:rPr>
              <w:t>4.42、</w:t>
            </w:r>
            <w:r>
              <w:rPr>
                <w:rFonts w:hint="eastAsia"/>
                <w:color w:val="000000"/>
              </w:rPr>
              <w:t>4.99</w:t>
            </w:r>
            <w:r>
              <w:rPr>
                <w:color w:val="000000"/>
              </w:rPr>
              <w:t>、</w:t>
            </w:r>
            <w:r>
              <w:rPr>
                <w:rFonts w:hint="eastAsia"/>
                <w:color w:val="000000"/>
              </w:rPr>
              <w:t>4.02</w:t>
            </w:r>
            <w:r>
              <w:rPr>
                <w:color w:val="000000"/>
              </w:rPr>
              <w:t>、</w:t>
            </w:r>
            <w:r>
              <w:rPr>
                <w:rFonts w:hint="eastAsia"/>
                <w:color w:val="000000"/>
              </w:rPr>
              <w:t>4.02</w:t>
            </w:r>
          </w:p>
        </w:tc>
        <w:tc>
          <w:tcPr>
            <w:tcW w:w="688" w:type="pct"/>
            <w:shd w:val="clear" w:color="auto" w:fill="auto"/>
            <w:vAlign w:val="center"/>
          </w:tcPr>
          <w:p>
            <w:pPr>
              <w:snapToGrid w:val="0"/>
              <w:spacing w:line="240" w:lineRule="auto"/>
              <w:jc w:val="center"/>
              <w:rPr>
                <w:color w:val="000000"/>
              </w:rPr>
            </w:pPr>
            <w:r>
              <w:rPr>
                <w:rFonts w:hint="eastAsia"/>
                <w:color w:val="000000"/>
              </w:rPr>
              <w:t>0</w:t>
            </w:r>
            <w:r>
              <w:rPr>
                <w:color w:val="000000"/>
              </w:rPr>
              <w:t>%</w:t>
            </w:r>
          </w:p>
        </w:tc>
        <w:tc>
          <w:tcPr>
            <w:tcW w:w="687" w:type="pct"/>
            <w:shd w:val="clear" w:color="auto" w:fill="auto"/>
            <w:vAlign w:val="center"/>
          </w:tcPr>
          <w:p>
            <w:pPr>
              <w:pStyle w:val="33"/>
              <w:spacing w:line="400" w:lineRule="atLeast"/>
              <w:jc w:val="left"/>
              <w:rPr>
                <w:rFonts w:ascii="Times New Roman" w:eastAsia="宋体" w:cs="Times New Roman"/>
                <w:kern w:val="2"/>
                <w:sz w:val="18"/>
                <w:szCs w:val="18"/>
              </w:rPr>
            </w:pPr>
            <w:r>
              <w:rPr>
                <w:rFonts w:hint="eastAsia" w:ascii="Times New Roman" w:eastAsia="宋体" w:cs="Times New Roman"/>
                <w:kern w:val="2"/>
                <w:sz w:val="18"/>
                <w:szCs w:val="18"/>
              </w:rPr>
              <w:t>根据预测期内收入、成本、费用等计算</w:t>
            </w:r>
            <w:r>
              <w:rPr>
                <w:rFonts w:ascii="Times New Roman" w:eastAsia="宋体" w:cs="Times New Roman"/>
                <w:kern w:val="2"/>
                <w:sz w:val="18"/>
                <w:szCs w:val="18"/>
              </w:rPr>
              <w:t xml:space="preserve"> </w:t>
            </w:r>
          </w:p>
        </w:tc>
        <w:tc>
          <w:tcPr>
            <w:tcW w:w="687" w:type="pct"/>
            <w:shd w:val="clear" w:color="auto" w:fill="auto"/>
            <w:vAlign w:val="center"/>
          </w:tcPr>
          <w:p>
            <w:pPr>
              <w:snapToGrid w:val="0"/>
              <w:spacing w:line="240" w:lineRule="auto"/>
              <w:jc w:val="center"/>
              <w:rPr>
                <w:color w:val="000000"/>
              </w:rPr>
            </w:pPr>
            <w:r>
              <w:rPr>
                <w:color w:val="000000"/>
              </w:rPr>
              <w:t>15.37%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61" w:type="pct"/>
            <w:shd w:val="clear" w:color="auto" w:fill="auto"/>
            <w:vAlign w:val="center"/>
          </w:tcPr>
          <w:p>
            <w:pPr>
              <w:snapToGrid w:val="0"/>
              <w:spacing w:line="240" w:lineRule="auto"/>
              <w:jc w:val="left"/>
              <w:rPr>
                <w:color w:val="000000"/>
              </w:rPr>
            </w:pPr>
            <w:r>
              <w:rPr>
                <w:color w:val="000000"/>
              </w:rPr>
              <w:t>上饶市新安略科技有限公司</w:t>
            </w:r>
          </w:p>
        </w:tc>
        <w:tc>
          <w:tcPr>
            <w:tcW w:w="689" w:type="pct"/>
            <w:shd w:val="clear" w:color="auto" w:fill="auto"/>
            <w:vAlign w:val="center"/>
          </w:tcPr>
          <w:p>
            <w:pPr>
              <w:snapToGrid w:val="0"/>
              <w:spacing w:line="240" w:lineRule="auto"/>
              <w:jc w:val="center"/>
              <w:rPr>
                <w:color w:val="000000"/>
              </w:rPr>
            </w:pPr>
            <w:r>
              <w:rPr>
                <w:color w:val="000000"/>
              </w:rPr>
              <w:t>2020</w:t>
            </w:r>
            <w:r>
              <w:rPr>
                <w:rFonts w:hint="eastAsia"/>
                <w:color w:val="000000"/>
              </w:rPr>
              <w:t>年</w:t>
            </w:r>
            <w:r>
              <w:rPr>
                <w:color w:val="000000"/>
              </w:rPr>
              <w:t>-2024</w:t>
            </w:r>
            <w:r>
              <w:rPr>
                <w:rFonts w:hint="eastAsia"/>
                <w:color w:val="000000"/>
              </w:rPr>
              <w:t>年</w:t>
            </w:r>
          </w:p>
        </w:tc>
        <w:tc>
          <w:tcPr>
            <w:tcW w:w="688" w:type="pct"/>
            <w:shd w:val="clear" w:color="auto" w:fill="auto"/>
            <w:vAlign w:val="center"/>
          </w:tcPr>
          <w:p>
            <w:pPr>
              <w:snapToGrid w:val="0"/>
              <w:spacing w:line="240" w:lineRule="auto"/>
              <w:jc w:val="left"/>
              <w:rPr>
                <w:color w:val="000000"/>
              </w:rPr>
            </w:pPr>
            <w:r>
              <w:rPr>
                <w:color w:val="000000"/>
              </w:rPr>
              <w:t>-4.74</w:t>
            </w:r>
            <w:r>
              <w:rPr>
                <w:rFonts w:hint="eastAsia"/>
                <w:color w:val="000000"/>
              </w:rPr>
              <w:t>、</w:t>
            </w:r>
            <w:r>
              <w:rPr>
                <w:color w:val="000000"/>
              </w:rPr>
              <w:t>7.58</w:t>
            </w:r>
            <w:r>
              <w:rPr>
                <w:rFonts w:hint="eastAsia"/>
                <w:color w:val="000000"/>
              </w:rPr>
              <w:t>、5.65、</w:t>
            </w:r>
            <w:r>
              <w:rPr>
                <w:color w:val="000000"/>
              </w:rPr>
              <w:t>3.83</w:t>
            </w:r>
            <w:r>
              <w:rPr>
                <w:rFonts w:hint="eastAsia"/>
                <w:color w:val="000000"/>
              </w:rPr>
              <w:t>、3.00</w:t>
            </w:r>
          </w:p>
        </w:tc>
        <w:tc>
          <w:tcPr>
            <w:tcW w:w="688" w:type="pct"/>
            <w:shd w:val="clear" w:color="auto" w:fill="auto"/>
            <w:vAlign w:val="center"/>
          </w:tcPr>
          <w:p>
            <w:pPr>
              <w:snapToGrid w:val="0"/>
              <w:spacing w:line="240" w:lineRule="auto"/>
              <w:jc w:val="center"/>
              <w:rPr>
                <w:color w:val="000000"/>
              </w:rPr>
            </w:pPr>
            <w:r>
              <w:rPr>
                <w:rFonts w:hint="eastAsia"/>
                <w:color w:val="000000"/>
              </w:rPr>
              <w:t>0</w:t>
            </w:r>
            <w:r>
              <w:rPr>
                <w:color w:val="000000"/>
              </w:rPr>
              <w:t>%</w:t>
            </w:r>
          </w:p>
        </w:tc>
        <w:tc>
          <w:tcPr>
            <w:tcW w:w="687" w:type="pct"/>
            <w:shd w:val="clear" w:color="auto" w:fill="auto"/>
            <w:vAlign w:val="center"/>
          </w:tcPr>
          <w:p>
            <w:pPr>
              <w:snapToGrid w:val="0"/>
              <w:spacing w:line="240" w:lineRule="auto"/>
              <w:jc w:val="left"/>
              <w:rPr>
                <w:color w:val="000000"/>
              </w:rPr>
            </w:pPr>
            <w:r>
              <w:rPr>
                <w:rFonts w:hint="eastAsia"/>
                <w:color w:val="000000"/>
              </w:rPr>
              <w:t>根据预测期内收入、成本、费用等计算</w:t>
            </w:r>
          </w:p>
        </w:tc>
        <w:tc>
          <w:tcPr>
            <w:tcW w:w="687" w:type="pct"/>
            <w:shd w:val="clear" w:color="auto" w:fill="auto"/>
            <w:vAlign w:val="center"/>
          </w:tcPr>
          <w:p>
            <w:pPr>
              <w:snapToGrid w:val="0"/>
              <w:spacing w:line="240" w:lineRule="auto"/>
              <w:jc w:val="center"/>
              <w:rPr>
                <w:color w:val="000000"/>
              </w:rPr>
            </w:pPr>
            <w:r>
              <w:rPr>
                <w:color w:val="000000"/>
              </w:rPr>
              <w:t>15.23%</w:t>
            </w:r>
          </w:p>
        </w:tc>
      </w:tr>
    </w:tbl>
    <w:p>
      <w:pPr>
        <w:autoSpaceDE w:val="0"/>
        <w:autoSpaceDN w:val="0"/>
        <w:adjustRightInd w:val="0"/>
        <w:spacing w:before="0" w:after="0"/>
        <w:rPr>
          <w:rFonts w:eastAsia="Times New Roman"/>
          <w:kern w:val="0"/>
          <w:sz w:val="21"/>
          <w:szCs w:val="24"/>
          <w:lang w:val="zh-CN"/>
        </w:rPr>
      </w:pP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以上公司以资产组合预计未来现金流量的现值作为其可回收金额。本公司根据历史经验及对市场发展的预测，确定销售收入增长率、毛利率等关键数据。本公司采用的折现率是反映当前市场货币时间价值和相关资产组特定风险的税前利率。</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）杭州倚天生物技术有限公司根据未来经营计划以及已签订的业务转移协议，</w:t>
      </w:r>
      <w:r>
        <w:rPr>
          <w:rFonts w:eastAsia="Times New Roman"/>
          <w:kern w:val="0"/>
          <w:lang w:val="zh-CN"/>
        </w:rPr>
        <w:t>2020</w:t>
      </w:r>
      <w:r>
        <w:rPr>
          <w:rFonts w:hint="eastAsia" w:ascii="宋体" w:hAnsi="宋体" w:cs="宋体"/>
          <w:kern w:val="0"/>
          <w:lang w:val="zh-CN"/>
        </w:rPr>
        <w:t>年将逐步转移其现有业务，原有业务将难以有效开展，无法对公司的未来现金流量进行合理预测。根据银信资产评估有限公司出具的评估报告</w:t>
      </w:r>
      <w:r>
        <w:rPr>
          <w:rFonts w:hint="eastAsia" w:ascii="宋体" w:hAnsi="宋体" w:cs="宋体"/>
          <w:kern w:val="0"/>
          <w:highlight w:val="white"/>
          <w:lang w:val="zh-CN"/>
        </w:rPr>
        <w:t>（银信评报字（</w:t>
      </w:r>
      <w:r>
        <w:rPr>
          <w:rFonts w:eastAsia="Times New Roman"/>
          <w:kern w:val="0"/>
          <w:highlight w:val="white"/>
          <w:lang w:val="zh-CN"/>
        </w:rPr>
        <w:t>2020</w:t>
      </w:r>
      <w:r>
        <w:rPr>
          <w:rFonts w:hint="eastAsia" w:ascii="宋体" w:hAnsi="宋体" w:cs="宋体"/>
          <w:kern w:val="0"/>
          <w:highlight w:val="white"/>
          <w:lang w:val="zh-CN"/>
        </w:rPr>
        <w:t>）沪第</w:t>
      </w:r>
      <w:r>
        <w:rPr>
          <w:rFonts w:eastAsiaTheme="minorEastAsia"/>
          <w:kern w:val="0"/>
          <w:highlight w:val="white"/>
          <w:lang w:val="zh-CN"/>
        </w:rPr>
        <w:t>323</w:t>
      </w:r>
      <w:r>
        <w:rPr>
          <w:rFonts w:hint="eastAsia" w:ascii="宋体" w:hAnsi="宋体" w:cs="宋体"/>
          <w:kern w:val="0"/>
          <w:highlight w:val="white"/>
          <w:lang w:val="zh-CN"/>
        </w:rPr>
        <w:t>号）</w:t>
      </w:r>
      <w:r>
        <w:rPr>
          <w:rFonts w:hint="eastAsia" w:ascii="宋体" w:hAnsi="宋体" w:cs="宋体"/>
          <w:kern w:val="0"/>
          <w:lang w:val="zh-CN"/>
        </w:rPr>
        <w:t>，杭州倚天资产组的账面价值为</w:t>
      </w:r>
      <w:r>
        <w:rPr>
          <w:rFonts w:eastAsia="Times New Roman"/>
          <w:kern w:val="0"/>
          <w:lang w:val="zh-CN"/>
        </w:rPr>
        <w:t>15,533,122.34</w:t>
      </w:r>
      <w:r>
        <w:rPr>
          <w:rFonts w:hint="eastAsia" w:ascii="宋体" w:hAnsi="宋体" w:cs="宋体"/>
          <w:kern w:val="0"/>
          <w:lang w:val="zh-CN"/>
        </w:rPr>
        <w:t>元，公允价值为</w:t>
      </w:r>
      <w:r>
        <w:rPr>
          <w:rFonts w:eastAsia="Times New Roman"/>
          <w:kern w:val="0"/>
          <w:lang w:val="zh-CN"/>
        </w:rPr>
        <w:t>17,522,976.42</w:t>
      </w:r>
      <w:r>
        <w:rPr>
          <w:rFonts w:hint="eastAsia" w:ascii="宋体" w:hAnsi="宋体" w:cs="宋体"/>
          <w:kern w:val="0"/>
          <w:lang w:val="zh-CN"/>
        </w:rPr>
        <w:t>元，对期末商誉全额计提减值准备。</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）由于市场环境变化及经营策略调整，子公司伯明翰美康运营的Atherotech Inc业务板块经营成本太高。2019年12月，公司决议对Atherotech Inc业务板块停止经营，对该商誉未计提减值的部分全额计提减值准备。</w:t>
      </w:r>
    </w:p>
    <w:p>
      <w:pPr>
        <w:pStyle w:val="14"/>
        <w:outlineLvl w:val="2"/>
        <w:rPr>
          <w:bCs w:val="0"/>
          <w:szCs w:val="24"/>
        </w:rPr>
      </w:pPr>
      <w:r>
        <w:rPr>
          <w:bCs w:val="0"/>
          <w:szCs w:val="24"/>
        </w:rPr>
        <w:t>29</w:t>
      </w:r>
      <w:r>
        <w:rPr>
          <w:rFonts w:hint="eastAsia"/>
          <w:bCs w:val="0"/>
          <w:szCs w:val="24"/>
        </w:rPr>
        <w:t>、长期待摊费用</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594"/>
        <w:gridCol w:w="1596"/>
        <w:gridCol w:w="1594"/>
        <w:gridCol w:w="1594"/>
        <w:gridCol w:w="1594"/>
        <w:gridCol w:w="1594"/>
      </w:tblGrid>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5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本期增加金额</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本期摊销金额</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其他减少金额</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装修工程</w:t>
            </w:r>
          </w:p>
        </w:tc>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46,426,964.82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43,666,033.13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17,148,813.81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3,603,520.85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69,340,663.29</w:t>
            </w:r>
          </w:p>
        </w:tc>
      </w:tr>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租入固定资产改良</w:t>
            </w:r>
          </w:p>
        </w:tc>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24,300,918.52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41,056.35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6,420,583.64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3,555,197.01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14,366,194.22</w:t>
            </w:r>
          </w:p>
        </w:tc>
      </w:tr>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租赁费</w:t>
            </w:r>
          </w:p>
        </w:tc>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9,718,489.79</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1,958,981.61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7,759,508.18</w:t>
            </w:r>
          </w:p>
        </w:tc>
      </w:tr>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80,446,373.13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43,707,089.48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25,528,379.06</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7,158,717.86</w:t>
            </w:r>
          </w:p>
        </w:tc>
        <w:tc>
          <w:tcPr>
            <w:tcW w:w="159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91,466,365.69</w:t>
            </w:r>
          </w:p>
        </w:tc>
      </w:tr>
    </w:tbl>
    <w:p>
      <w:pPr>
        <w:jc w:val="left"/>
        <w:rPr>
          <w:szCs w:val="24"/>
        </w:rPr>
      </w:pPr>
      <w:r>
        <w:rPr>
          <w:rFonts w:hint="eastAsia"/>
          <w:szCs w:val="24"/>
        </w:rPr>
        <w:t>其他说明</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本期其他减少系处置子公司所致。</w:t>
      </w:r>
    </w:p>
    <w:p>
      <w:pPr>
        <w:pStyle w:val="14"/>
        <w:outlineLvl w:val="2"/>
        <w:rPr>
          <w:bCs w:val="0"/>
          <w:szCs w:val="24"/>
        </w:rPr>
      </w:pPr>
      <w:r>
        <w:rPr>
          <w:bCs w:val="0"/>
          <w:szCs w:val="24"/>
        </w:rPr>
        <w:t>30</w:t>
      </w:r>
      <w:r>
        <w:rPr>
          <w:rFonts w:hint="eastAsia"/>
          <w:bCs w:val="0"/>
          <w:szCs w:val="24"/>
        </w:rPr>
        <w:t>、递延所得税资产</w:t>
      </w:r>
      <w:r>
        <w:rPr>
          <w:bCs w:val="0"/>
          <w:szCs w:val="24"/>
        </w:rPr>
        <w:t>/</w:t>
      </w:r>
      <w:r>
        <w:rPr>
          <w:rFonts w:hint="eastAsia"/>
          <w:bCs w:val="0"/>
          <w:szCs w:val="24"/>
        </w:rPr>
        <w:t>递延所得税负债</w:t>
      </w:r>
    </w:p>
    <w:p>
      <w:pPr>
        <w:pStyle w:val="14"/>
        <w:outlineLvl w:val="3"/>
        <w:rPr>
          <w:bCs w:val="0"/>
          <w:szCs w:val="24"/>
        </w:rPr>
      </w:pPr>
      <w:r>
        <w:rPr>
          <w:rFonts w:hint="eastAsia"/>
          <w:bCs w:val="0"/>
          <w:szCs w:val="24"/>
        </w:rPr>
        <w:t>（</w:t>
      </w:r>
      <w:r>
        <w:rPr>
          <w:bCs w:val="0"/>
          <w:szCs w:val="24"/>
        </w:rPr>
        <w:t>1</w:t>
      </w:r>
      <w:r>
        <w:rPr>
          <w:rFonts w:hint="eastAsia"/>
          <w:bCs w:val="0"/>
          <w:szCs w:val="24"/>
        </w:rPr>
        <w:t>）未经抵销的递延所得税资产</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2"/>
        <w:gridCol w:w="1916"/>
        <w:gridCol w:w="1914"/>
        <w:gridCol w:w="1914"/>
        <w:gridCol w:w="1914"/>
      </w:tblGrid>
      <w:tr>
        <w:tblPrEx>
          <w:tblCellMar>
            <w:top w:w="0" w:type="dxa"/>
            <w:left w:w="28" w:type="dxa"/>
            <w:bottom w:w="0" w:type="dxa"/>
            <w:right w:w="28" w:type="dxa"/>
          </w:tblCellMar>
        </w:tblPrEx>
        <w:tc>
          <w:tcPr>
            <w:tcW w:w="191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830"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82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191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可抵扣暂时性差异</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递延所得税资产</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可抵扣暂时性差异</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递延所得税资产</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资产减值准备</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135,188,595.20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26,505,625.50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93,903,069.43</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18,385,114.47</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内部交易未实现利润</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95,938,907.26</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17,221,830.18</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46,472,496.91</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7,612,691.42</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可抵扣亏损</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40,644,564.91</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6,096,684.74</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24,942,432.03</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3,735,327.43</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递延收益</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7,483,873.90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1,122,581.09</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13,406,144.67</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2,010,921.70</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279,255,941.27</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50,946,721.51</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178,724,143.04</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31,744,055.02</w:t>
            </w:r>
          </w:p>
        </w:tc>
      </w:tr>
    </w:tbl>
    <w:p>
      <w:pPr>
        <w:pStyle w:val="14"/>
        <w:outlineLvl w:val="3"/>
        <w:rPr>
          <w:bCs w:val="0"/>
          <w:szCs w:val="24"/>
        </w:rPr>
      </w:pPr>
      <w:r>
        <w:rPr>
          <w:rFonts w:hint="eastAsia"/>
          <w:bCs w:val="0"/>
          <w:szCs w:val="24"/>
        </w:rPr>
        <w:t>（</w:t>
      </w:r>
      <w:r>
        <w:rPr>
          <w:bCs w:val="0"/>
          <w:szCs w:val="24"/>
        </w:rPr>
        <w:t>2</w:t>
      </w:r>
      <w:r>
        <w:rPr>
          <w:rFonts w:hint="eastAsia"/>
          <w:bCs w:val="0"/>
          <w:szCs w:val="24"/>
        </w:rPr>
        <w:t>）未经抵销的递延所得税负债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2"/>
        <w:gridCol w:w="1916"/>
        <w:gridCol w:w="1914"/>
        <w:gridCol w:w="1914"/>
        <w:gridCol w:w="1914"/>
      </w:tblGrid>
      <w:tr>
        <w:tblPrEx>
          <w:tblCellMar>
            <w:top w:w="0" w:type="dxa"/>
            <w:left w:w="28" w:type="dxa"/>
            <w:bottom w:w="0" w:type="dxa"/>
            <w:right w:w="28" w:type="dxa"/>
          </w:tblCellMar>
        </w:tblPrEx>
        <w:tc>
          <w:tcPr>
            <w:tcW w:w="191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830"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82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191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应纳税暂时性差异</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递延所得税负债</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应纳税暂时性差异</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递延所得税负债</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非同一控制企业合并资产评估增值</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10,905,027.67</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1,635,754.15</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22,187,851.73</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3,328,177.76</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固定资产一次性税前扣除</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232,393,777.45</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34,859,066.62</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153,624,512.87</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23,043,676.93</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243,298,805.12</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36,494,820.77</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175,812,364.60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26,371,854.69</w:t>
            </w:r>
          </w:p>
        </w:tc>
      </w:tr>
    </w:tbl>
    <w:p>
      <w:pPr>
        <w:pStyle w:val="14"/>
        <w:outlineLvl w:val="3"/>
        <w:rPr>
          <w:bCs w:val="0"/>
          <w:szCs w:val="24"/>
        </w:rPr>
      </w:pPr>
      <w:r>
        <w:rPr>
          <w:rFonts w:hint="eastAsia"/>
          <w:bCs w:val="0"/>
          <w:szCs w:val="24"/>
        </w:rPr>
        <w:t>（</w:t>
      </w:r>
      <w:r>
        <w:rPr>
          <w:bCs w:val="0"/>
          <w:szCs w:val="24"/>
        </w:rPr>
        <w:t>3</w:t>
      </w:r>
      <w:r>
        <w:rPr>
          <w:rFonts w:hint="eastAsia"/>
          <w:bCs w:val="0"/>
          <w:szCs w:val="24"/>
        </w:rPr>
        <w:t>）以抵销后净额列示的递延所得税资产或负债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2"/>
        <w:gridCol w:w="1916"/>
        <w:gridCol w:w="1914"/>
        <w:gridCol w:w="1914"/>
        <w:gridCol w:w="1914"/>
      </w:tblGrid>
      <w:tr>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递延所得税资产和负债期末互抵金额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抵销后递延所得税资产或负债期末余额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递延所得税资产和负债期初互抵金额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抵销后递延所得税资产或负债期初余额</w:t>
            </w:r>
          </w:p>
        </w:tc>
      </w:tr>
      <w:tr>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递延所得税资产</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50,946,721.51</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31,744,055.02</w:t>
            </w:r>
          </w:p>
        </w:tc>
      </w:tr>
      <w:tr>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递延所得税负债</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36,494,820.77</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26,371,854.69</w:t>
            </w:r>
          </w:p>
        </w:tc>
      </w:tr>
    </w:tbl>
    <w:p>
      <w:pPr>
        <w:pStyle w:val="14"/>
        <w:outlineLvl w:val="3"/>
        <w:rPr>
          <w:bCs w:val="0"/>
          <w:szCs w:val="24"/>
        </w:rPr>
      </w:pPr>
      <w:r>
        <w:rPr>
          <w:rFonts w:hint="eastAsia"/>
          <w:bCs w:val="0"/>
          <w:szCs w:val="24"/>
        </w:rPr>
        <w:t>（</w:t>
      </w:r>
      <w:r>
        <w:rPr>
          <w:bCs w:val="0"/>
          <w:szCs w:val="24"/>
        </w:rPr>
        <w:t>4</w:t>
      </w:r>
      <w:r>
        <w:rPr>
          <w:rFonts w:hint="eastAsia"/>
          <w:bCs w:val="0"/>
          <w:szCs w:val="24"/>
        </w:rPr>
        <w:t>）未确认递延所得税资产明细</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可抵扣暂时性差异</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64,914,128.20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49,332,213.16</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可抵扣亏损</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313,550,453.73</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292,502,933.24</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378,464,581.93</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341,835,146.40</w:t>
            </w:r>
          </w:p>
        </w:tc>
      </w:tr>
    </w:tbl>
    <w:p>
      <w:pPr>
        <w:pStyle w:val="14"/>
        <w:outlineLvl w:val="3"/>
        <w:rPr>
          <w:bCs w:val="0"/>
          <w:szCs w:val="24"/>
        </w:rPr>
      </w:pPr>
      <w:r>
        <w:rPr>
          <w:rFonts w:hint="eastAsia"/>
          <w:bCs w:val="0"/>
          <w:szCs w:val="24"/>
        </w:rPr>
        <w:t>（</w:t>
      </w:r>
      <w:r>
        <w:rPr>
          <w:bCs w:val="0"/>
          <w:szCs w:val="24"/>
        </w:rPr>
        <w:t>5</w:t>
      </w:r>
      <w:r>
        <w:rPr>
          <w:rFonts w:hint="eastAsia"/>
          <w:bCs w:val="0"/>
          <w:szCs w:val="24"/>
        </w:rPr>
        <w:t>）未确认递延所得税资产的可抵扣亏损将于以下年度到期</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89"/>
        <w:gridCol w:w="2395"/>
        <w:gridCol w:w="2392"/>
        <w:gridCol w:w="2392"/>
      </w:tblGrid>
      <w:tr>
        <w:tc>
          <w:tcPr>
            <w:tcW w:w="23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年份</w:t>
            </w:r>
          </w:p>
        </w:tc>
        <w:tc>
          <w:tcPr>
            <w:tcW w:w="239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期末金额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期初金额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备注</w:t>
            </w:r>
          </w:p>
        </w:tc>
      </w:tr>
      <w:tr>
        <w:tc>
          <w:tcPr>
            <w:tcW w:w="23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年度</w:t>
            </w:r>
          </w:p>
        </w:tc>
        <w:tc>
          <w:tcPr>
            <w:tcW w:w="23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2,183,797.84</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c>
          <w:tcPr>
            <w:tcW w:w="23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2020</w:t>
            </w:r>
            <w:r>
              <w:rPr>
                <w:rFonts w:hint="eastAsia"/>
                <w:szCs w:val="24"/>
              </w:rPr>
              <w:t>年度</w:t>
            </w:r>
          </w:p>
        </w:tc>
        <w:tc>
          <w:tcPr>
            <w:tcW w:w="23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2,191,357.33</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6,822,616.98</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c>
          <w:tcPr>
            <w:tcW w:w="23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2021</w:t>
            </w:r>
            <w:r>
              <w:rPr>
                <w:rFonts w:hint="eastAsia"/>
                <w:szCs w:val="24"/>
              </w:rPr>
              <w:t>年度</w:t>
            </w:r>
          </w:p>
        </w:tc>
        <w:tc>
          <w:tcPr>
            <w:tcW w:w="23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38,737,545.88</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43,836,547.06</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c>
          <w:tcPr>
            <w:tcW w:w="23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2022</w:t>
            </w:r>
            <w:r>
              <w:rPr>
                <w:rFonts w:hint="eastAsia"/>
                <w:szCs w:val="24"/>
              </w:rPr>
              <w:t>年度</w:t>
            </w:r>
          </w:p>
        </w:tc>
        <w:tc>
          <w:tcPr>
            <w:tcW w:w="23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105,419,576.32</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118,203,936.26</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c>
          <w:tcPr>
            <w:tcW w:w="23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2023</w:t>
            </w:r>
            <w:r>
              <w:rPr>
                <w:rFonts w:hint="eastAsia"/>
                <w:szCs w:val="24"/>
              </w:rPr>
              <w:t>年度</w:t>
            </w:r>
          </w:p>
        </w:tc>
        <w:tc>
          <w:tcPr>
            <w:tcW w:w="23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92,288,102.80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121,456,035.10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c>
          <w:tcPr>
            <w:tcW w:w="23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2024</w:t>
            </w:r>
            <w:r>
              <w:rPr>
                <w:rFonts w:hint="eastAsia"/>
                <w:szCs w:val="24"/>
              </w:rPr>
              <w:t>年度</w:t>
            </w:r>
          </w:p>
        </w:tc>
        <w:tc>
          <w:tcPr>
            <w:tcW w:w="23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74,913,871.40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c>
          <w:tcPr>
            <w:tcW w:w="23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23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313,550,453.73</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292,502,933.24</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jc w:val="left"/>
        <w:rPr>
          <w:szCs w:val="24"/>
        </w:rPr>
      </w:pPr>
      <w:r>
        <w:rPr>
          <w:rFonts w:hint="eastAsia"/>
          <w:szCs w:val="24"/>
        </w:rPr>
        <w:t>其他说明：</w:t>
      </w:r>
    </w:p>
    <w:p>
      <w:pPr>
        <w:pStyle w:val="14"/>
        <w:outlineLvl w:val="2"/>
        <w:rPr>
          <w:bCs w:val="0"/>
          <w:szCs w:val="24"/>
        </w:rPr>
      </w:pPr>
      <w:r>
        <w:rPr>
          <w:bCs w:val="0"/>
          <w:szCs w:val="24"/>
        </w:rPr>
        <w:t>31</w:t>
      </w:r>
      <w:r>
        <w:rPr>
          <w:rFonts w:hint="eastAsia"/>
          <w:bCs w:val="0"/>
          <w:szCs w:val="24"/>
        </w:rPr>
        <w:t>、其他非流动资产</w:t>
      </w:r>
    </w:p>
    <w:p>
      <w:pPr>
        <w:jc w:val="left"/>
        <w:rPr>
          <w:szCs w:val="24"/>
        </w:rPr>
      </w:pPr>
      <w:r>
        <w:rPr>
          <w:rFonts w:hint="eastAsia"/>
          <w:szCs w:val="24"/>
        </w:rPr>
        <w:t>是否已执行新收入准则</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预付工程设备款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8,373,288.15</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44,561,807.37</w:t>
            </w:r>
          </w:p>
        </w:tc>
      </w:tr>
      <w:tr>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预付土地款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33,098,496.79</w:t>
            </w:r>
          </w:p>
        </w:tc>
      </w:tr>
      <w:tr>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1</w:t>
            </w:r>
            <w:r>
              <w:rPr>
                <w:rFonts w:hint="eastAsia"/>
                <w:szCs w:val="24"/>
              </w:rPr>
              <w:t>年以上到期的应收股利</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30,224,154.08</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38,597,442.23</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77,660,304.16</w:t>
            </w:r>
          </w:p>
        </w:tc>
      </w:tr>
    </w:tbl>
    <w:p>
      <w:pPr>
        <w:jc w:val="left"/>
        <w:rPr>
          <w:szCs w:val="24"/>
        </w:rPr>
      </w:pPr>
      <w:r>
        <w:rPr>
          <w:rFonts w:hint="eastAsia"/>
          <w:szCs w:val="24"/>
        </w:rPr>
        <w:t>其他说明：</w:t>
      </w:r>
    </w:p>
    <w:p>
      <w:pPr>
        <w:pStyle w:val="14"/>
        <w:outlineLvl w:val="2"/>
        <w:rPr>
          <w:bCs w:val="0"/>
          <w:szCs w:val="24"/>
        </w:rPr>
      </w:pPr>
      <w:r>
        <w:rPr>
          <w:bCs w:val="0"/>
          <w:szCs w:val="24"/>
        </w:rPr>
        <w:t>32</w:t>
      </w:r>
      <w:r>
        <w:rPr>
          <w:rFonts w:hint="eastAsia"/>
          <w:bCs w:val="0"/>
          <w:szCs w:val="24"/>
        </w:rPr>
        <w:t>、短期借款</w:t>
      </w:r>
    </w:p>
    <w:p>
      <w:pPr>
        <w:pStyle w:val="14"/>
        <w:outlineLvl w:val="3"/>
        <w:rPr>
          <w:bCs w:val="0"/>
          <w:szCs w:val="24"/>
        </w:rPr>
      </w:pPr>
      <w:r>
        <w:rPr>
          <w:rFonts w:hint="eastAsia"/>
          <w:bCs w:val="0"/>
          <w:szCs w:val="24"/>
        </w:rPr>
        <w:t>（</w:t>
      </w:r>
      <w:r>
        <w:rPr>
          <w:bCs w:val="0"/>
          <w:szCs w:val="24"/>
        </w:rPr>
        <w:t>1</w:t>
      </w:r>
      <w:r>
        <w:rPr>
          <w:rFonts w:hint="eastAsia"/>
          <w:bCs w:val="0"/>
          <w:szCs w:val="24"/>
        </w:rPr>
        <w:t>）短期借款分类</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信用借款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1,207,438,720.83</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1,103,490,000.00</w:t>
            </w:r>
          </w:p>
        </w:tc>
      </w:tr>
      <w:tr>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委托借款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27,000,000.00</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1,207,438,720.83</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1,130,490,000.00</w:t>
            </w:r>
          </w:p>
        </w:tc>
      </w:tr>
    </w:tbl>
    <w:p>
      <w:pPr>
        <w:jc w:val="left"/>
        <w:rPr>
          <w:szCs w:val="24"/>
        </w:rPr>
      </w:pPr>
      <w:r>
        <w:rPr>
          <w:rFonts w:hint="eastAsia"/>
          <w:szCs w:val="24"/>
        </w:rPr>
        <w:t>短期借款分类的说明：</w:t>
      </w:r>
    </w:p>
    <w:p>
      <w:pPr>
        <w:pStyle w:val="14"/>
        <w:outlineLvl w:val="3"/>
        <w:rPr>
          <w:bCs w:val="0"/>
          <w:szCs w:val="24"/>
        </w:rPr>
      </w:pPr>
      <w:r>
        <w:rPr>
          <w:rFonts w:hint="eastAsia"/>
          <w:bCs w:val="0"/>
          <w:szCs w:val="24"/>
        </w:rPr>
        <w:t>（</w:t>
      </w:r>
      <w:r>
        <w:rPr>
          <w:bCs w:val="0"/>
          <w:szCs w:val="24"/>
        </w:rPr>
        <w:t>2</w:t>
      </w:r>
      <w:r>
        <w:rPr>
          <w:rFonts w:hint="eastAsia"/>
          <w:bCs w:val="0"/>
          <w:szCs w:val="24"/>
        </w:rPr>
        <w:t>）已逾期未偿还的短期借款情况</w:t>
      </w:r>
    </w:p>
    <w:p>
      <w:pPr>
        <w:jc w:val="left"/>
        <w:rPr>
          <w:szCs w:val="24"/>
        </w:rPr>
      </w:pPr>
      <w:r>
        <w:rPr>
          <w:rFonts w:hint="eastAsia"/>
          <w:szCs w:val="24"/>
        </w:rPr>
        <w:t>本期末已逾期未偿还的短期借款总额为</w:t>
      </w:r>
      <w:r>
        <w:rPr>
          <w:szCs w:val="24"/>
        </w:rPr>
        <w:t>0.00</w:t>
      </w:r>
      <w:r>
        <w:rPr>
          <w:rFonts w:hint="eastAsia"/>
          <w:szCs w:val="24"/>
        </w:rPr>
        <w:t>元，其中重要的已逾期未偿还的短期借款情况如下：</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2"/>
        <w:gridCol w:w="1916"/>
        <w:gridCol w:w="1914"/>
        <w:gridCol w:w="1914"/>
        <w:gridCol w:w="1914"/>
      </w:tblGrid>
      <w:tr>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借款单位</w:t>
            </w:r>
          </w:p>
        </w:tc>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借款利率</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逾期时间</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逾期利率</w:t>
            </w:r>
          </w:p>
        </w:tc>
      </w:tr>
    </w:tbl>
    <w:p>
      <w:pPr>
        <w:pStyle w:val="14"/>
        <w:outlineLvl w:val="2"/>
        <w:rPr>
          <w:bCs w:val="0"/>
          <w:szCs w:val="24"/>
        </w:rPr>
      </w:pPr>
      <w:r>
        <w:rPr>
          <w:bCs w:val="0"/>
          <w:szCs w:val="24"/>
        </w:rPr>
        <w:t>33</w:t>
      </w:r>
      <w:r>
        <w:rPr>
          <w:rFonts w:hint="eastAsia"/>
          <w:bCs w:val="0"/>
          <w:szCs w:val="24"/>
        </w:rPr>
        <w:t>、交易性金融负债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bl>
    <w:p>
      <w:pPr>
        <w:pStyle w:val="14"/>
        <w:outlineLvl w:val="2"/>
        <w:rPr>
          <w:bCs w:val="0"/>
          <w:szCs w:val="24"/>
        </w:rPr>
      </w:pPr>
      <w:r>
        <w:rPr>
          <w:bCs w:val="0"/>
          <w:szCs w:val="24"/>
        </w:rPr>
        <w:t>34</w:t>
      </w:r>
      <w:r>
        <w:rPr>
          <w:rFonts w:hint="eastAsia"/>
          <w:bCs w:val="0"/>
          <w:szCs w:val="24"/>
        </w:rPr>
        <w:t>、衍生金融负债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pStyle w:val="14"/>
        <w:outlineLvl w:val="2"/>
        <w:rPr>
          <w:bCs w:val="0"/>
          <w:szCs w:val="24"/>
        </w:rPr>
      </w:pPr>
      <w:r>
        <w:rPr>
          <w:bCs w:val="0"/>
          <w:szCs w:val="24"/>
        </w:rPr>
        <w:t>35</w:t>
      </w:r>
      <w:r>
        <w:rPr>
          <w:rFonts w:hint="eastAsia"/>
          <w:bCs w:val="0"/>
          <w:szCs w:val="24"/>
        </w:rPr>
        <w:t>、应付票据</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种类</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银行承兑汇票</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55,090,000.00</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55,090,000.00</w:t>
            </w:r>
          </w:p>
        </w:tc>
      </w:tr>
    </w:tbl>
    <w:p>
      <w:pPr>
        <w:jc w:val="left"/>
        <w:rPr>
          <w:szCs w:val="24"/>
        </w:rPr>
      </w:pPr>
      <w:r>
        <w:rPr>
          <w:rFonts w:hint="eastAsia"/>
          <w:szCs w:val="24"/>
        </w:rPr>
        <w:t>本期末已到期未支付的应付票据总额为</w:t>
      </w:r>
      <w:r>
        <w:rPr>
          <w:szCs w:val="24"/>
        </w:rPr>
        <w:t>0.00</w:t>
      </w:r>
      <w:r>
        <w:rPr>
          <w:rFonts w:hint="eastAsia"/>
          <w:szCs w:val="24"/>
        </w:rPr>
        <w:t>元。</w:t>
      </w:r>
    </w:p>
    <w:p>
      <w:pPr>
        <w:pStyle w:val="14"/>
        <w:outlineLvl w:val="2"/>
        <w:rPr>
          <w:bCs w:val="0"/>
          <w:szCs w:val="24"/>
        </w:rPr>
      </w:pPr>
      <w:r>
        <w:rPr>
          <w:bCs w:val="0"/>
          <w:szCs w:val="24"/>
        </w:rPr>
        <w:t>36</w:t>
      </w:r>
      <w:r>
        <w:rPr>
          <w:rFonts w:hint="eastAsia"/>
          <w:bCs w:val="0"/>
          <w:szCs w:val="24"/>
        </w:rPr>
        <w:t>、应付账款</w:t>
      </w:r>
    </w:p>
    <w:p>
      <w:pPr>
        <w:pStyle w:val="14"/>
        <w:outlineLvl w:val="3"/>
        <w:rPr>
          <w:bCs w:val="0"/>
          <w:szCs w:val="24"/>
        </w:rPr>
      </w:pPr>
      <w:r>
        <w:rPr>
          <w:rFonts w:hint="eastAsia"/>
          <w:bCs w:val="0"/>
          <w:szCs w:val="24"/>
        </w:rPr>
        <w:t>（</w:t>
      </w:r>
      <w:r>
        <w:rPr>
          <w:bCs w:val="0"/>
          <w:szCs w:val="24"/>
        </w:rPr>
        <w:t>1</w:t>
      </w:r>
      <w:r>
        <w:rPr>
          <w:rFonts w:hint="eastAsia"/>
          <w:bCs w:val="0"/>
          <w:szCs w:val="24"/>
        </w:rPr>
        <w:t>）应付账款列示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应付采购款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245,178,831.66</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150,348,254.95</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应付工程设备款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36,761,170.58</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26,160,077.61</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281,940,002.24</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176,508,332.56</w:t>
            </w:r>
          </w:p>
        </w:tc>
      </w:tr>
    </w:tbl>
    <w:p>
      <w:pPr>
        <w:pStyle w:val="14"/>
        <w:outlineLvl w:val="3"/>
        <w:rPr>
          <w:bCs w:val="0"/>
          <w:szCs w:val="24"/>
        </w:rPr>
      </w:pPr>
      <w:r>
        <w:rPr>
          <w:rFonts w:hint="eastAsia"/>
          <w:bCs w:val="0"/>
          <w:szCs w:val="24"/>
        </w:rPr>
        <w:t>（</w:t>
      </w:r>
      <w:r>
        <w:rPr>
          <w:bCs w:val="0"/>
          <w:szCs w:val="24"/>
        </w:rPr>
        <w:t>2</w:t>
      </w:r>
      <w:r>
        <w:rPr>
          <w:rFonts w:hint="eastAsia"/>
          <w:bCs w:val="0"/>
          <w:szCs w:val="24"/>
        </w:rPr>
        <w:t>）账龄超过</w:t>
      </w:r>
      <w:r>
        <w:rPr>
          <w:bCs w:val="0"/>
          <w:szCs w:val="24"/>
        </w:rPr>
        <w:t>1</w:t>
      </w:r>
      <w:r>
        <w:rPr>
          <w:rFonts w:hint="eastAsia"/>
          <w:bCs w:val="0"/>
          <w:szCs w:val="24"/>
        </w:rPr>
        <w:t>年的重要应付账款</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未偿还或结转的原因</w:t>
            </w:r>
          </w:p>
        </w:tc>
      </w:tr>
    </w:tbl>
    <w:p>
      <w:pPr>
        <w:pStyle w:val="14"/>
        <w:outlineLvl w:val="2"/>
        <w:rPr>
          <w:bCs w:val="0"/>
          <w:szCs w:val="24"/>
        </w:rPr>
      </w:pPr>
      <w:r>
        <w:rPr>
          <w:bCs w:val="0"/>
          <w:szCs w:val="24"/>
        </w:rPr>
        <w:t>37</w:t>
      </w:r>
      <w:r>
        <w:rPr>
          <w:rFonts w:hint="eastAsia"/>
          <w:bCs w:val="0"/>
          <w:szCs w:val="24"/>
        </w:rPr>
        <w:t>、预收款项</w:t>
      </w:r>
    </w:p>
    <w:p>
      <w:pPr>
        <w:jc w:val="left"/>
        <w:rPr>
          <w:szCs w:val="24"/>
        </w:rPr>
      </w:pPr>
      <w:r>
        <w:rPr>
          <w:rFonts w:hint="eastAsia"/>
          <w:szCs w:val="24"/>
        </w:rPr>
        <w:t>是否已执行新收入准则</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pStyle w:val="14"/>
        <w:outlineLvl w:val="3"/>
        <w:rPr>
          <w:bCs w:val="0"/>
          <w:szCs w:val="24"/>
        </w:rPr>
      </w:pPr>
      <w:r>
        <w:rPr>
          <w:rFonts w:hint="eastAsia"/>
          <w:bCs w:val="0"/>
          <w:szCs w:val="24"/>
        </w:rPr>
        <w:t>（</w:t>
      </w:r>
      <w:r>
        <w:rPr>
          <w:bCs w:val="0"/>
          <w:szCs w:val="24"/>
        </w:rPr>
        <w:t>1</w:t>
      </w:r>
      <w:r>
        <w:rPr>
          <w:rFonts w:hint="eastAsia"/>
          <w:bCs w:val="0"/>
          <w:szCs w:val="24"/>
        </w:rPr>
        <w:t>）预收款项列示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货款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51,216,784.35</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37,540,679.10</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51,216,784.35</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37,540,679.10</w:t>
            </w:r>
          </w:p>
        </w:tc>
      </w:tr>
    </w:tbl>
    <w:p>
      <w:pPr>
        <w:pStyle w:val="14"/>
        <w:outlineLvl w:val="3"/>
        <w:rPr>
          <w:bCs w:val="0"/>
          <w:szCs w:val="24"/>
        </w:rPr>
      </w:pPr>
      <w:r>
        <w:rPr>
          <w:rFonts w:hint="eastAsia"/>
          <w:bCs w:val="0"/>
          <w:szCs w:val="24"/>
        </w:rPr>
        <w:t>（</w:t>
      </w:r>
      <w:r>
        <w:rPr>
          <w:bCs w:val="0"/>
          <w:szCs w:val="24"/>
        </w:rPr>
        <w:t>2</w:t>
      </w:r>
      <w:r>
        <w:rPr>
          <w:rFonts w:hint="eastAsia"/>
          <w:bCs w:val="0"/>
          <w:szCs w:val="24"/>
        </w:rPr>
        <w:t>）账龄超过</w:t>
      </w:r>
      <w:r>
        <w:rPr>
          <w:bCs w:val="0"/>
          <w:szCs w:val="24"/>
        </w:rPr>
        <w:t>1</w:t>
      </w:r>
      <w:r>
        <w:rPr>
          <w:rFonts w:hint="eastAsia"/>
          <w:bCs w:val="0"/>
          <w:szCs w:val="24"/>
        </w:rPr>
        <w:t>年的重要预收款项</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未偿还或结转的原因</w:t>
            </w:r>
          </w:p>
        </w:tc>
      </w:tr>
    </w:tbl>
    <w:p>
      <w:pPr>
        <w:pStyle w:val="14"/>
        <w:outlineLvl w:val="3"/>
        <w:rPr>
          <w:bCs w:val="0"/>
          <w:szCs w:val="24"/>
        </w:rPr>
      </w:pPr>
      <w:r>
        <w:rPr>
          <w:rFonts w:hint="eastAsia"/>
          <w:bCs w:val="0"/>
          <w:szCs w:val="24"/>
        </w:rPr>
        <w:t>（</w:t>
      </w:r>
      <w:r>
        <w:rPr>
          <w:bCs w:val="0"/>
          <w:szCs w:val="24"/>
        </w:rPr>
        <w:t>3</w:t>
      </w:r>
      <w:r>
        <w:rPr>
          <w:rFonts w:hint="eastAsia"/>
          <w:bCs w:val="0"/>
          <w:szCs w:val="24"/>
        </w:rPr>
        <w:t>）期末建造合同形成的已结算未完工项目情况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79"/>
        <w:gridCol w:w="4789"/>
      </w:tblGrid>
      <w:tr>
        <w:tblPrEx>
          <w:tblCellMar>
            <w:top w:w="0" w:type="dxa"/>
            <w:left w:w="28" w:type="dxa"/>
            <w:bottom w:w="0" w:type="dxa"/>
            <w:right w:w="28" w:type="dxa"/>
          </w:tblCellMar>
        </w:tblPrEx>
        <w:tc>
          <w:tcPr>
            <w:tcW w:w="477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47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r>
    </w:tbl>
    <w:p>
      <w:pPr>
        <w:pStyle w:val="14"/>
        <w:outlineLvl w:val="2"/>
        <w:rPr>
          <w:bCs w:val="0"/>
          <w:szCs w:val="24"/>
        </w:rPr>
      </w:pPr>
      <w:r>
        <w:rPr>
          <w:bCs w:val="0"/>
          <w:szCs w:val="24"/>
        </w:rPr>
        <w:t>38</w:t>
      </w:r>
      <w:r>
        <w:rPr>
          <w:rFonts w:hint="eastAsia"/>
          <w:bCs w:val="0"/>
          <w:szCs w:val="24"/>
        </w:rPr>
        <w:t>、合同负债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1"/>
        <w:gridCol w:w="3191"/>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pStyle w:val="14"/>
        <w:outlineLvl w:val="2"/>
        <w:rPr>
          <w:bCs w:val="0"/>
          <w:szCs w:val="24"/>
        </w:rPr>
      </w:pPr>
      <w:r>
        <w:rPr>
          <w:bCs w:val="0"/>
          <w:szCs w:val="24"/>
        </w:rPr>
        <w:t>39</w:t>
      </w:r>
      <w:r>
        <w:rPr>
          <w:rFonts w:hint="eastAsia"/>
          <w:bCs w:val="0"/>
          <w:szCs w:val="24"/>
        </w:rPr>
        <w:t>、应付职工薪酬</w:t>
      </w:r>
    </w:p>
    <w:p>
      <w:pPr>
        <w:pStyle w:val="14"/>
        <w:outlineLvl w:val="3"/>
        <w:rPr>
          <w:bCs w:val="0"/>
          <w:szCs w:val="24"/>
        </w:rPr>
      </w:pPr>
      <w:r>
        <w:rPr>
          <w:rFonts w:hint="eastAsia"/>
          <w:bCs w:val="0"/>
          <w:szCs w:val="24"/>
        </w:rPr>
        <w:t>（</w:t>
      </w:r>
      <w:r>
        <w:rPr>
          <w:bCs w:val="0"/>
          <w:szCs w:val="24"/>
        </w:rPr>
        <w:t>1</w:t>
      </w:r>
      <w:r>
        <w:rPr>
          <w:rFonts w:hint="eastAsia"/>
          <w:bCs w:val="0"/>
          <w:szCs w:val="24"/>
        </w:rPr>
        <w:t>）应付职工薪酬列示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2"/>
        <w:gridCol w:w="1916"/>
        <w:gridCol w:w="1914"/>
        <w:gridCol w:w="1914"/>
        <w:gridCol w:w="1914"/>
      </w:tblGrid>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本期减少</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一、短期薪酬</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74,922,245.12</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371,041,370.98</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344,269,252.60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101,694,363.50</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二、离职后福利</w:t>
            </w:r>
            <w:r>
              <w:rPr>
                <w:szCs w:val="24"/>
              </w:rPr>
              <w:t>-</w:t>
            </w:r>
            <w:r>
              <w:rPr>
                <w:rFonts w:hint="eastAsia"/>
                <w:szCs w:val="24"/>
              </w:rPr>
              <w:t>设定提存计划</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33,658.52</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13,787,197.99</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13,685,597.62</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135,258.89</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74,955,903.64</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384,828,568.97</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357,954,850.22</w:t>
            </w:r>
          </w:p>
        </w:tc>
        <w:tc>
          <w:tcPr>
            <w:tcW w:w="191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101,829,622.39</w:t>
            </w:r>
          </w:p>
        </w:tc>
      </w:tr>
    </w:tbl>
    <w:p>
      <w:pPr>
        <w:pStyle w:val="14"/>
        <w:outlineLvl w:val="3"/>
        <w:rPr>
          <w:bCs w:val="0"/>
          <w:szCs w:val="24"/>
        </w:rPr>
      </w:pPr>
      <w:r>
        <w:rPr>
          <w:rFonts w:hint="eastAsia"/>
          <w:bCs w:val="0"/>
          <w:szCs w:val="24"/>
        </w:rPr>
        <w:t>（</w:t>
      </w:r>
      <w:r>
        <w:rPr>
          <w:bCs w:val="0"/>
          <w:szCs w:val="24"/>
        </w:rPr>
        <w:t>2</w:t>
      </w:r>
      <w:r>
        <w:rPr>
          <w:rFonts w:hint="eastAsia"/>
          <w:bCs w:val="0"/>
          <w:szCs w:val="24"/>
        </w:rPr>
        <w:t>）短期薪酬列示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2"/>
        <w:gridCol w:w="1916"/>
        <w:gridCol w:w="1914"/>
        <w:gridCol w:w="1914"/>
        <w:gridCol w:w="1914"/>
      </w:tblGrid>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本期减少</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、工资、奖金、津贴和补贴</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69,710,406.24</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334,823,346.25</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308,146,467.21</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96,387,285.28</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、职工福利费</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9,710.00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14,250,018.79</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14,250,168.79</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9,560.00</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r>
              <w:rPr>
                <w:rFonts w:hint="eastAsia"/>
                <w:szCs w:val="24"/>
              </w:rPr>
              <w:t>、社会保险费</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48,663.42</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10,432,814.16</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10,389,419.74</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92,057.84</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其中：医疗保险费</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39,019.32</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9,385,470.35</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9,358,634.82</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65,854.85</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工伤保险费</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7,643.19</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459,207.21</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445,839.96</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21,010.44</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生育保险费</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2,000.91</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588,136.60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584,944.96</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5,192.55</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4</w:t>
            </w:r>
            <w:r>
              <w:rPr>
                <w:rFonts w:hint="eastAsia"/>
                <w:szCs w:val="24"/>
              </w:rPr>
              <w:t>、住房公积金</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5,673,194.90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5,648,079.90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25,115.00</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5</w:t>
            </w:r>
            <w:r>
              <w:rPr>
                <w:rFonts w:hint="eastAsia"/>
                <w:szCs w:val="24"/>
              </w:rPr>
              <w:t>、工会经费和职工教育经费</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3,533,233.44</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5,477,042.01</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5,450,162.09</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3,560,113.36</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6</w:t>
            </w:r>
            <w:r>
              <w:rPr>
                <w:rFonts w:hint="eastAsia"/>
                <w:szCs w:val="24"/>
              </w:rPr>
              <w:t>、短期带薪缺勤</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1,620,232.02</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1,620,232.02</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7</w:t>
            </w:r>
            <w:r>
              <w:rPr>
                <w:rFonts w:hint="eastAsia"/>
                <w:szCs w:val="24"/>
              </w:rPr>
              <w:t>、短期利润分享计划</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384,954.87</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384,954.87</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916"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74,922,245.12</w:t>
            </w:r>
          </w:p>
        </w:tc>
        <w:tc>
          <w:tcPr>
            <w:tcW w:w="191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371,041,370.98</w:t>
            </w:r>
          </w:p>
        </w:tc>
        <w:tc>
          <w:tcPr>
            <w:tcW w:w="191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344,269,252.60</w:t>
            </w:r>
          </w:p>
        </w:tc>
        <w:tc>
          <w:tcPr>
            <w:tcW w:w="191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101,694,363.50</w:t>
            </w:r>
          </w:p>
        </w:tc>
      </w:tr>
    </w:tbl>
    <w:p>
      <w:pPr>
        <w:pStyle w:val="14"/>
        <w:outlineLvl w:val="3"/>
        <w:rPr>
          <w:bCs w:val="0"/>
          <w:szCs w:val="24"/>
        </w:rPr>
      </w:pPr>
      <w:r>
        <w:rPr>
          <w:rFonts w:hint="eastAsia"/>
          <w:bCs w:val="0"/>
          <w:szCs w:val="24"/>
        </w:rPr>
        <w:t>（</w:t>
      </w:r>
      <w:r>
        <w:rPr>
          <w:bCs w:val="0"/>
          <w:szCs w:val="24"/>
        </w:rPr>
        <w:t>3</w:t>
      </w:r>
      <w:r>
        <w:rPr>
          <w:rFonts w:hint="eastAsia"/>
          <w:bCs w:val="0"/>
          <w:szCs w:val="24"/>
        </w:rPr>
        <w:t>）设定提存计划列示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2"/>
        <w:gridCol w:w="1916"/>
        <w:gridCol w:w="1914"/>
        <w:gridCol w:w="1914"/>
        <w:gridCol w:w="1914"/>
      </w:tblGrid>
      <w:tr>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本期减少</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、基本养老保险</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30,776.91</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13,454,170.40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13,355,788.68</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129,158.63</w:t>
            </w:r>
          </w:p>
        </w:tc>
      </w:tr>
      <w:tr>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、失业保险费</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2,881.61</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333,027.59</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329,808.94</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6,100.26</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916"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33,658.52</w:t>
            </w:r>
          </w:p>
        </w:tc>
        <w:tc>
          <w:tcPr>
            <w:tcW w:w="191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13,787,197.99</w:t>
            </w:r>
          </w:p>
        </w:tc>
        <w:tc>
          <w:tcPr>
            <w:tcW w:w="191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13,685,597.62</w:t>
            </w:r>
          </w:p>
        </w:tc>
        <w:tc>
          <w:tcPr>
            <w:tcW w:w="191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135,258.89</w:t>
            </w:r>
          </w:p>
        </w:tc>
      </w:tr>
    </w:tbl>
    <w:p>
      <w:pPr>
        <w:jc w:val="left"/>
        <w:rPr>
          <w:szCs w:val="24"/>
        </w:rPr>
      </w:pPr>
      <w:r>
        <w:rPr>
          <w:rFonts w:hint="eastAsia"/>
          <w:szCs w:val="24"/>
        </w:rPr>
        <w:t>其他说明：</w:t>
      </w:r>
    </w:p>
    <w:p>
      <w:pPr>
        <w:pStyle w:val="14"/>
        <w:outlineLvl w:val="2"/>
        <w:rPr>
          <w:bCs w:val="0"/>
          <w:szCs w:val="24"/>
        </w:rPr>
      </w:pPr>
      <w:r>
        <w:rPr>
          <w:bCs w:val="0"/>
          <w:szCs w:val="24"/>
        </w:rPr>
        <w:t>40</w:t>
      </w:r>
      <w:r>
        <w:rPr>
          <w:rFonts w:hint="eastAsia"/>
          <w:bCs w:val="0"/>
          <w:szCs w:val="24"/>
        </w:rPr>
        <w:t>、应交税费</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增值税</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17,704,071.11</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55,954,058.87</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企业所得税</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24,041,915.75</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39,664,268.77</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个人所得税</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1,115,863.42</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866,717.73</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城市维护建设税</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755,376.62</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3,054,476.02</w:t>
            </w:r>
          </w:p>
        </w:tc>
      </w:tr>
      <w:tr>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营业税</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69,000.00</w:t>
            </w:r>
          </w:p>
        </w:tc>
      </w:tr>
      <w:tr>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教育费附加</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564,300.57</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1,373,442.68</w:t>
            </w:r>
          </w:p>
        </w:tc>
      </w:tr>
      <w:tr>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水利建设专项基金</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6,845.68</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7,130.51</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残疾人就业保障金</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43,463.36</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33,420.00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印花税</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113,626.48</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163,950.32</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河道管理费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880.27</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房产税</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224,258.73</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112,129.38</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土地使用税</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551,977.40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275,988.70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45,121,699.12</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101,575,463.25</w:t>
            </w:r>
          </w:p>
        </w:tc>
      </w:tr>
    </w:tbl>
    <w:p>
      <w:pPr>
        <w:jc w:val="left"/>
        <w:rPr>
          <w:szCs w:val="24"/>
        </w:rPr>
      </w:pPr>
      <w:r>
        <w:rPr>
          <w:rFonts w:hint="eastAsia"/>
          <w:szCs w:val="24"/>
        </w:rPr>
        <w:t>其他说明：</w:t>
      </w:r>
    </w:p>
    <w:p>
      <w:pPr>
        <w:pStyle w:val="14"/>
        <w:outlineLvl w:val="2"/>
        <w:rPr>
          <w:bCs w:val="0"/>
          <w:szCs w:val="24"/>
        </w:rPr>
      </w:pPr>
      <w:r>
        <w:rPr>
          <w:bCs w:val="0"/>
          <w:szCs w:val="24"/>
        </w:rPr>
        <w:t>41</w:t>
      </w:r>
      <w:r>
        <w:rPr>
          <w:rFonts w:hint="eastAsia"/>
          <w:bCs w:val="0"/>
          <w:szCs w:val="24"/>
        </w:rPr>
        <w:t>、其他应付款</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应付利息</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1,842,654.03</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其他应付款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319,411,811.44</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258,049,455.87</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319,411,811.44</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259,892,109.90</w:t>
            </w:r>
          </w:p>
        </w:tc>
      </w:tr>
    </w:tbl>
    <w:p>
      <w:pPr>
        <w:pStyle w:val="14"/>
        <w:outlineLvl w:val="3"/>
        <w:rPr>
          <w:bCs w:val="0"/>
          <w:szCs w:val="24"/>
        </w:rPr>
      </w:pPr>
      <w:r>
        <w:rPr>
          <w:rFonts w:hint="eastAsia"/>
          <w:bCs w:val="0"/>
          <w:szCs w:val="24"/>
        </w:rPr>
        <w:t>（</w:t>
      </w:r>
      <w:r>
        <w:rPr>
          <w:bCs w:val="0"/>
          <w:szCs w:val="24"/>
        </w:rPr>
        <w:t>1</w:t>
      </w:r>
      <w:r>
        <w:rPr>
          <w:rFonts w:hint="eastAsia"/>
          <w:bCs w:val="0"/>
          <w:szCs w:val="24"/>
        </w:rPr>
        <w:t>）应付利息</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分期付息到期还本的长期借款利息</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225,940.00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短期借款应付利息</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1,616,714.03</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1,842,654.03</w:t>
            </w:r>
          </w:p>
        </w:tc>
      </w:tr>
    </w:tbl>
    <w:p>
      <w:pPr>
        <w:jc w:val="left"/>
        <w:rPr>
          <w:szCs w:val="24"/>
        </w:rPr>
      </w:pPr>
      <w:r>
        <w:rPr>
          <w:rFonts w:hint="eastAsia"/>
          <w:szCs w:val="24"/>
        </w:rPr>
        <w:t>重要的已逾期未支付的利息情况：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借款单位</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逾期金额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逾期原因</w:t>
            </w:r>
          </w:p>
        </w:tc>
      </w:tr>
    </w:tbl>
    <w:p>
      <w:pPr>
        <w:jc w:val="left"/>
        <w:rPr>
          <w:szCs w:val="24"/>
        </w:rPr>
      </w:pPr>
      <w:r>
        <w:rPr>
          <w:rFonts w:hint="eastAsia"/>
          <w:szCs w:val="24"/>
        </w:rPr>
        <w:t>其他说明：</w:t>
      </w:r>
    </w:p>
    <w:p>
      <w:pPr>
        <w:pStyle w:val="14"/>
        <w:outlineLvl w:val="3"/>
        <w:rPr>
          <w:bCs w:val="0"/>
          <w:szCs w:val="24"/>
        </w:rPr>
      </w:pPr>
      <w:r>
        <w:rPr>
          <w:rFonts w:hint="eastAsia"/>
          <w:bCs w:val="0"/>
          <w:szCs w:val="24"/>
        </w:rPr>
        <w:t>（</w:t>
      </w:r>
      <w:r>
        <w:rPr>
          <w:bCs w:val="0"/>
          <w:szCs w:val="24"/>
        </w:rPr>
        <w:t>2</w:t>
      </w:r>
      <w:r>
        <w:rPr>
          <w:rFonts w:hint="eastAsia"/>
          <w:bCs w:val="0"/>
          <w:szCs w:val="24"/>
        </w:rPr>
        <w:t>）应付股利</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pStyle w:val="14"/>
        <w:outlineLvl w:val="3"/>
        <w:rPr>
          <w:bCs w:val="0"/>
          <w:szCs w:val="24"/>
        </w:rPr>
      </w:pPr>
      <w:r>
        <w:rPr>
          <w:rFonts w:hint="eastAsia"/>
          <w:bCs w:val="0"/>
          <w:szCs w:val="24"/>
        </w:rPr>
        <w:t>（</w:t>
      </w:r>
      <w:r>
        <w:rPr>
          <w:bCs w:val="0"/>
          <w:szCs w:val="24"/>
        </w:rPr>
        <w:t>3</w:t>
      </w:r>
      <w:r>
        <w:rPr>
          <w:rFonts w:hint="eastAsia"/>
          <w:bCs w:val="0"/>
          <w:szCs w:val="24"/>
        </w:rPr>
        <w:t>）其他应付款</w:t>
      </w:r>
    </w:p>
    <w:p>
      <w:pPr>
        <w:pStyle w:val="14"/>
        <w:outlineLvl w:val="4"/>
        <w:rPr>
          <w:bCs w:val="0"/>
          <w:szCs w:val="24"/>
        </w:rPr>
      </w:pPr>
      <w:r>
        <w:rPr>
          <w:bCs w:val="0"/>
          <w:szCs w:val="24"/>
        </w:rPr>
        <w:t>1</w:t>
      </w:r>
      <w:r>
        <w:rPr>
          <w:rFonts w:hint="eastAsia"/>
          <w:bCs w:val="0"/>
          <w:szCs w:val="24"/>
        </w:rPr>
        <w:t>）按款项性质列示其他应付款</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股权转让款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201,085,910.13</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82,288,284.50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子公司优先级合伙人配资</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43,500,000.00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73,500,000.00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限制性股票回购义务</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30,859,416.00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48,320,864.77</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暂收款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16,258,568.60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25,156,000.00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押金保证金</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15,254,775.16</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10,985,642.99</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12,453,141.55</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17,798,663.61</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319,411,811.44</w:t>
            </w:r>
          </w:p>
        </w:tc>
        <w:tc>
          <w:tcPr>
            <w:tcW w:w="3189"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258,049,455.87</w:t>
            </w:r>
          </w:p>
        </w:tc>
      </w:tr>
    </w:tbl>
    <w:p>
      <w:pPr>
        <w:pStyle w:val="14"/>
        <w:outlineLvl w:val="4"/>
        <w:rPr>
          <w:bCs w:val="0"/>
          <w:szCs w:val="24"/>
        </w:rPr>
      </w:pPr>
      <w:r>
        <w:rPr>
          <w:bCs w:val="0"/>
          <w:szCs w:val="24"/>
        </w:rPr>
        <w:t>2</w:t>
      </w:r>
      <w:r>
        <w:rPr>
          <w:rFonts w:hint="eastAsia"/>
          <w:bCs w:val="0"/>
          <w:szCs w:val="24"/>
        </w:rPr>
        <w:t>）账龄超过</w:t>
      </w:r>
      <w:r>
        <w:rPr>
          <w:bCs w:val="0"/>
          <w:szCs w:val="24"/>
        </w:rPr>
        <w:t>1</w:t>
      </w:r>
      <w:r>
        <w:rPr>
          <w:rFonts w:hint="eastAsia"/>
          <w:bCs w:val="0"/>
          <w:szCs w:val="24"/>
        </w:rPr>
        <w:t>年的重要其他应付款</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未偿还或结转的原因</w:t>
            </w:r>
          </w:p>
        </w:tc>
      </w:tr>
    </w:tbl>
    <w:p>
      <w:pPr>
        <w:jc w:val="left"/>
        <w:rPr>
          <w:szCs w:val="24"/>
        </w:rPr>
      </w:pPr>
      <w:r>
        <w:rPr>
          <w:rFonts w:hint="eastAsia"/>
          <w:szCs w:val="24"/>
        </w:rPr>
        <w:t>其他说明</w:t>
      </w:r>
    </w:p>
    <w:p>
      <w:pPr>
        <w:pStyle w:val="14"/>
        <w:outlineLvl w:val="2"/>
        <w:rPr>
          <w:bCs w:val="0"/>
          <w:szCs w:val="24"/>
        </w:rPr>
      </w:pPr>
      <w:r>
        <w:rPr>
          <w:bCs w:val="0"/>
          <w:szCs w:val="24"/>
        </w:rPr>
        <w:t>42</w:t>
      </w:r>
      <w:r>
        <w:rPr>
          <w:rFonts w:hint="eastAsia"/>
          <w:bCs w:val="0"/>
          <w:szCs w:val="24"/>
        </w:rPr>
        <w:t>、持有待售负债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jc w:val="left"/>
        <w:rPr>
          <w:szCs w:val="24"/>
        </w:rPr>
      </w:pPr>
      <w:r>
        <w:rPr>
          <w:rFonts w:hint="eastAsia"/>
          <w:szCs w:val="24"/>
        </w:rPr>
        <w:t>其他说明：</w:t>
      </w:r>
    </w:p>
    <w:p>
      <w:pPr>
        <w:pStyle w:val="14"/>
        <w:outlineLvl w:val="2"/>
        <w:rPr>
          <w:bCs w:val="0"/>
          <w:szCs w:val="24"/>
        </w:rPr>
      </w:pPr>
      <w:r>
        <w:rPr>
          <w:bCs w:val="0"/>
          <w:szCs w:val="24"/>
        </w:rPr>
        <w:t>43</w:t>
      </w:r>
      <w:r>
        <w:rPr>
          <w:rFonts w:hint="eastAsia"/>
          <w:bCs w:val="0"/>
          <w:szCs w:val="24"/>
        </w:rPr>
        <w:t>、一年内到期的非流动负债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一年内到期的长期借款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52,430,206.25</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37,390,000.00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一年内到期的长期应付款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285,624,975.58</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52,430,206.25</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323,014,975.58</w:t>
            </w:r>
          </w:p>
        </w:tc>
      </w:tr>
    </w:tbl>
    <w:p>
      <w:pPr>
        <w:pStyle w:val="14"/>
        <w:outlineLvl w:val="2"/>
        <w:rPr>
          <w:bCs w:val="0"/>
          <w:szCs w:val="24"/>
        </w:rPr>
      </w:pPr>
      <w:r>
        <w:rPr>
          <w:bCs w:val="0"/>
          <w:szCs w:val="24"/>
        </w:rPr>
        <w:t>44</w:t>
      </w:r>
      <w:r>
        <w:rPr>
          <w:rFonts w:hint="eastAsia"/>
          <w:bCs w:val="0"/>
          <w:szCs w:val="24"/>
        </w:rPr>
        <w:t>、其他流动负债</w:t>
      </w:r>
    </w:p>
    <w:p>
      <w:pPr>
        <w:jc w:val="left"/>
        <w:rPr>
          <w:szCs w:val="24"/>
        </w:rPr>
      </w:pPr>
      <w:r>
        <w:rPr>
          <w:rFonts w:hint="eastAsia"/>
          <w:szCs w:val="24"/>
        </w:rPr>
        <w:t>是否已执行新收入准则</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jc w:val="left"/>
        <w:rPr>
          <w:szCs w:val="24"/>
        </w:rPr>
      </w:pPr>
      <w:r>
        <w:rPr>
          <w:rFonts w:hint="eastAsia"/>
          <w:szCs w:val="24"/>
        </w:rPr>
        <w:t>短期应付债券的增减变动：</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798"/>
        <w:gridCol w:w="798"/>
        <w:gridCol w:w="798"/>
        <w:gridCol w:w="798"/>
        <w:gridCol w:w="798"/>
        <w:gridCol w:w="798"/>
        <w:gridCol w:w="798"/>
        <w:gridCol w:w="798"/>
        <w:gridCol w:w="798"/>
        <w:gridCol w:w="798"/>
        <w:gridCol w:w="798"/>
        <w:gridCol w:w="798"/>
      </w:tblGrid>
      <w:tr>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债券名称</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面值</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发行日期</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债券期限</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发行金额</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本期发行</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按面值计提利息</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溢折价摊销</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本期偿还</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bl>
    <w:p>
      <w:pPr>
        <w:pStyle w:val="14"/>
        <w:outlineLvl w:val="2"/>
        <w:rPr>
          <w:bCs w:val="0"/>
          <w:szCs w:val="24"/>
        </w:rPr>
      </w:pPr>
      <w:r>
        <w:rPr>
          <w:bCs w:val="0"/>
          <w:szCs w:val="24"/>
        </w:rPr>
        <w:t>45</w:t>
      </w:r>
      <w:r>
        <w:rPr>
          <w:rFonts w:hint="eastAsia"/>
          <w:bCs w:val="0"/>
          <w:szCs w:val="24"/>
        </w:rPr>
        <w:t>、长期借款</w:t>
      </w:r>
    </w:p>
    <w:p>
      <w:pPr>
        <w:pStyle w:val="14"/>
        <w:outlineLvl w:val="3"/>
        <w:rPr>
          <w:bCs w:val="0"/>
          <w:szCs w:val="24"/>
        </w:rPr>
      </w:pPr>
      <w:r>
        <w:rPr>
          <w:rFonts w:hint="eastAsia"/>
          <w:bCs w:val="0"/>
          <w:szCs w:val="24"/>
        </w:rPr>
        <w:t>（</w:t>
      </w:r>
      <w:r>
        <w:rPr>
          <w:bCs w:val="0"/>
          <w:szCs w:val="24"/>
        </w:rPr>
        <w:t>1</w:t>
      </w:r>
      <w:r>
        <w:rPr>
          <w:rFonts w:hint="eastAsia"/>
          <w:bCs w:val="0"/>
          <w:szCs w:val="24"/>
        </w:rPr>
        <w:t>）长期借款分类</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保证借款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205,010,000.00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90,000,000.00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信用借款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38,000,000.00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30,000,000.00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243,010,000.00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120,000,000.00</w:t>
            </w:r>
          </w:p>
        </w:tc>
      </w:tr>
    </w:tbl>
    <w:p>
      <w:pPr>
        <w:pStyle w:val="14"/>
        <w:outlineLvl w:val="2"/>
        <w:rPr>
          <w:bCs w:val="0"/>
          <w:szCs w:val="24"/>
        </w:rPr>
      </w:pPr>
      <w:r>
        <w:rPr>
          <w:bCs w:val="0"/>
          <w:szCs w:val="24"/>
        </w:rPr>
        <w:t>46</w:t>
      </w:r>
      <w:r>
        <w:rPr>
          <w:rFonts w:hint="eastAsia"/>
          <w:bCs w:val="0"/>
          <w:szCs w:val="24"/>
        </w:rPr>
        <w:t>、应付债券</w:t>
      </w:r>
    </w:p>
    <w:p>
      <w:pPr>
        <w:pStyle w:val="14"/>
        <w:outlineLvl w:val="3"/>
        <w:rPr>
          <w:bCs w:val="0"/>
          <w:szCs w:val="24"/>
        </w:rPr>
      </w:pPr>
      <w:r>
        <w:rPr>
          <w:rFonts w:hint="eastAsia"/>
          <w:bCs w:val="0"/>
          <w:szCs w:val="24"/>
        </w:rPr>
        <w:t>（</w:t>
      </w:r>
      <w:r>
        <w:rPr>
          <w:bCs w:val="0"/>
          <w:szCs w:val="24"/>
        </w:rPr>
        <w:t>1</w:t>
      </w:r>
      <w:r>
        <w:rPr>
          <w:rFonts w:hint="eastAsia"/>
          <w:bCs w:val="0"/>
          <w:szCs w:val="24"/>
        </w:rPr>
        <w:t>）应付债券</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pStyle w:val="14"/>
        <w:outlineLvl w:val="3"/>
        <w:rPr>
          <w:bCs w:val="0"/>
          <w:szCs w:val="24"/>
        </w:rPr>
      </w:pPr>
      <w:r>
        <w:rPr>
          <w:rFonts w:hint="eastAsia"/>
          <w:bCs w:val="0"/>
          <w:szCs w:val="24"/>
        </w:rPr>
        <w:t>（</w:t>
      </w:r>
      <w:r>
        <w:rPr>
          <w:bCs w:val="0"/>
          <w:szCs w:val="24"/>
        </w:rPr>
        <w:t>2</w:t>
      </w:r>
      <w:r>
        <w:rPr>
          <w:rFonts w:hint="eastAsia"/>
          <w:bCs w:val="0"/>
          <w:szCs w:val="24"/>
        </w:rPr>
        <w:t>）应付债券的增减变动（不包括划分为金融负债的优先股、永续债等其他金融工具）</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798"/>
        <w:gridCol w:w="798"/>
        <w:gridCol w:w="798"/>
        <w:gridCol w:w="798"/>
        <w:gridCol w:w="798"/>
        <w:gridCol w:w="798"/>
        <w:gridCol w:w="798"/>
        <w:gridCol w:w="798"/>
        <w:gridCol w:w="798"/>
        <w:gridCol w:w="798"/>
        <w:gridCol w:w="798"/>
        <w:gridCol w:w="798"/>
      </w:tblGrid>
      <w:tr>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债券名称</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面值</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发行日期</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债券期限</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发行金额</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本期发行</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按面值计提利息</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溢折价摊销</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本期偿还</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bl>
    <w:p>
      <w:pPr>
        <w:pStyle w:val="14"/>
        <w:outlineLvl w:val="3"/>
        <w:rPr>
          <w:bCs w:val="0"/>
          <w:szCs w:val="24"/>
        </w:rPr>
      </w:pPr>
      <w:r>
        <w:rPr>
          <w:rFonts w:hint="eastAsia"/>
          <w:bCs w:val="0"/>
          <w:szCs w:val="24"/>
        </w:rPr>
        <w:t>（</w:t>
      </w:r>
      <w:r>
        <w:rPr>
          <w:bCs w:val="0"/>
          <w:szCs w:val="24"/>
        </w:rPr>
        <w:t>3</w:t>
      </w:r>
      <w:r>
        <w:rPr>
          <w:rFonts w:hint="eastAsia"/>
          <w:bCs w:val="0"/>
          <w:szCs w:val="24"/>
        </w:rPr>
        <w:t>）可转换公司债券的转股条件、转股时间说明</w:t>
      </w:r>
    </w:p>
    <w:p>
      <w:pPr>
        <w:pStyle w:val="14"/>
        <w:outlineLvl w:val="3"/>
        <w:rPr>
          <w:bCs w:val="0"/>
          <w:szCs w:val="24"/>
        </w:rPr>
      </w:pPr>
      <w:r>
        <w:rPr>
          <w:rFonts w:hint="eastAsia"/>
          <w:bCs w:val="0"/>
          <w:szCs w:val="24"/>
        </w:rPr>
        <w:t>（</w:t>
      </w:r>
      <w:r>
        <w:rPr>
          <w:bCs w:val="0"/>
          <w:szCs w:val="24"/>
        </w:rPr>
        <w:t>4</w:t>
      </w:r>
      <w:r>
        <w:rPr>
          <w:rFonts w:hint="eastAsia"/>
          <w:bCs w:val="0"/>
          <w:szCs w:val="24"/>
        </w:rPr>
        <w:t>）划分为金融负债的其他金融工具说明</w:t>
      </w:r>
    </w:p>
    <w:p>
      <w:pPr>
        <w:ind w:firstLine="360" w:firstLineChars="200"/>
        <w:jc w:val="left"/>
        <w:rPr>
          <w:szCs w:val="24"/>
        </w:rPr>
      </w:pPr>
      <w:r>
        <w:rPr>
          <w:rFonts w:hint="eastAsia"/>
          <w:szCs w:val="24"/>
        </w:rPr>
        <w:t>期末发行在外的优先股、永续债等其他金融工具基本情况</w:t>
      </w:r>
    </w:p>
    <w:p>
      <w:pPr>
        <w:ind w:firstLine="360" w:firstLineChars="200"/>
        <w:jc w:val="left"/>
        <w:rPr>
          <w:szCs w:val="24"/>
        </w:rPr>
      </w:pPr>
      <w:r>
        <w:rPr>
          <w:rFonts w:hint="eastAsia"/>
          <w:szCs w:val="24"/>
        </w:rPr>
        <w:t>期末发行在外的优先股、永续债等金融工具变动情况表</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065"/>
        <w:gridCol w:w="1067"/>
        <w:gridCol w:w="1063"/>
        <w:gridCol w:w="1063"/>
        <w:gridCol w:w="1063"/>
        <w:gridCol w:w="1062"/>
        <w:gridCol w:w="1062"/>
        <w:gridCol w:w="1062"/>
        <w:gridCol w:w="1062"/>
      </w:tblGrid>
      <w:tr>
        <w:tblPrEx>
          <w:tblCellMar>
            <w:top w:w="0" w:type="dxa"/>
            <w:left w:w="28" w:type="dxa"/>
            <w:bottom w:w="0" w:type="dxa"/>
            <w:right w:w="28" w:type="dxa"/>
          </w:tblCellMar>
        </w:tblPrEx>
        <w:tc>
          <w:tcPr>
            <w:tcW w:w="1065"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发行在外的金融工具</w:t>
            </w:r>
          </w:p>
        </w:tc>
        <w:tc>
          <w:tcPr>
            <w:tcW w:w="2130"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w:t>
            </w:r>
          </w:p>
        </w:tc>
        <w:tc>
          <w:tcPr>
            <w:tcW w:w="2126"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w:t>
            </w:r>
          </w:p>
        </w:tc>
        <w:tc>
          <w:tcPr>
            <w:tcW w:w="2124"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本期减少</w:t>
            </w:r>
          </w:p>
        </w:tc>
        <w:tc>
          <w:tcPr>
            <w:tcW w:w="2124"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w:t>
            </w:r>
          </w:p>
        </w:tc>
      </w:tr>
      <w:tr>
        <w:tblPrEx>
          <w:tblCellMar>
            <w:top w:w="0" w:type="dxa"/>
            <w:left w:w="28" w:type="dxa"/>
            <w:bottom w:w="0" w:type="dxa"/>
            <w:right w:w="2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0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数量</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数量</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0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数量</w:t>
            </w:r>
          </w:p>
        </w:tc>
        <w:tc>
          <w:tcPr>
            <w:tcW w:w="10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0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数量</w:t>
            </w:r>
          </w:p>
        </w:tc>
        <w:tc>
          <w:tcPr>
            <w:tcW w:w="10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r>
    </w:tbl>
    <w:p>
      <w:pPr>
        <w:jc w:val="left"/>
        <w:rPr>
          <w:szCs w:val="24"/>
        </w:rPr>
      </w:pPr>
      <w:r>
        <w:rPr>
          <w:rFonts w:hint="eastAsia"/>
          <w:szCs w:val="24"/>
        </w:rPr>
        <w:t>其他金融工具划分为金融负债的依据说明</w:t>
      </w:r>
    </w:p>
    <w:p>
      <w:pPr>
        <w:pStyle w:val="14"/>
        <w:outlineLvl w:val="2"/>
        <w:rPr>
          <w:bCs w:val="0"/>
          <w:szCs w:val="24"/>
        </w:rPr>
      </w:pPr>
      <w:r>
        <w:rPr>
          <w:bCs w:val="0"/>
          <w:szCs w:val="24"/>
        </w:rPr>
        <w:t>47</w:t>
      </w:r>
      <w:r>
        <w:rPr>
          <w:rFonts w:hint="eastAsia"/>
          <w:bCs w:val="0"/>
          <w:szCs w:val="24"/>
        </w:rPr>
        <w:t>、租赁负债</w:t>
      </w:r>
    </w:p>
    <w:p>
      <w:pPr>
        <w:jc w:val="right"/>
        <w:rPr>
          <w:szCs w:val="24"/>
        </w:rPr>
      </w:pPr>
      <w:r>
        <w:rPr>
          <w:rFonts w:hint="eastAsia"/>
          <w:szCs w:val="24"/>
        </w:rPr>
        <w:t>单位：</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pStyle w:val="14"/>
        <w:outlineLvl w:val="2"/>
        <w:rPr>
          <w:bCs w:val="0"/>
          <w:szCs w:val="24"/>
        </w:rPr>
      </w:pPr>
      <w:r>
        <w:rPr>
          <w:bCs w:val="0"/>
          <w:szCs w:val="24"/>
        </w:rPr>
        <w:t>48</w:t>
      </w:r>
      <w:r>
        <w:rPr>
          <w:rFonts w:hint="eastAsia"/>
          <w:bCs w:val="0"/>
          <w:szCs w:val="24"/>
        </w:rPr>
        <w:t>、长期应付款</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pStyle w:val="14"/>
        <w:outlineLvl w:val="3"/>
        <w:rPr>
          <w:bCs w:val="0"/>
          <w:szCs w:val="24"/>
        </w:rPr>
      </w:pPr>
      <w:r>
        <w:rPr>
          <w:rFonts w:hint="eastAsia"/>
          <w:bCs w:val="0"/>
          <w:szCs w:val="24"/>
        </w:rPr>
        <w:t>（</w:t>
      </w:r>
      <w:r>
        <w:rPr>
          <w:bCs w:val="0"/>
          <w:szCs w:val="24"/>
        </w:rPr>
        <w:t>1</w:t>
      </w:r>
      <w:r>
        <w:rPr>
          <w:rFonts w:hint="eastAsia"/>
          <w:bCs w:val="0"/>
          <w:szCs w:val="24"/>
        </w:rPr>
        <w:t>）按款项性质列示长期应付款</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pStyle w:val="14"/>
        <w:outlineLvl w:val="3"/>
        <w:rPr>
          <w:bCs w:val="0"/>
          <w:szCs w:val="24"/>
        </w:rPr>
      </w:pPr>
      <w:r>
        <w:rPr>
          <w:rFonts w:hint="eastAsia"/>
          <w:bCs w:val="0"/>
          <w:szCs w:val="24"/>
        </w:rPr>
        <w:t>（</w:t>
      </w:r>
      <w:r>
        <w:rPr>
          <w:bCs w:val="0"/>
          <w:szCs w:val="24"/>
        </w:rPr>
        <w:t>2</w:t>
      </w:r>
      <w:r>
        <w:rPr>
          <w:rFonts w:hint="eastAsia"/>
          <w:bCs w:val="0"/>
          <w:szCs w:val="24"/>
        </w:rPr>
        <w:t>）专项应付款</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594"/>
        <w:gridCol w:w="1596"/>
        <w:gridCol w:w="1594"/>
        <w:gridCol w:w="1594"/>
        <w:gridCol w:w="1594"/>
        <w:gridCol w:w="1594"/>
      </w:tblGrid>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5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本期减少</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形成原因</w:t>
            </w:r>
          </w:p>
        </w:tc>
      </w:tr>
    </w:tbl>
    <w:p>
      <w:pPr>
        <w:pStyle w:val="14"/>
        <w:outlineLvl w:val="2"/>
        <w:rPr>
          <w:bCs w:val="0"/>
          <w:szCs w:val="24"/>
        </w:rPr>
      </w:pPr>
      <w:r>
        <w:rPr>
          <w:bCs w:val="0"/>
          <w:szCs w:val="24"/>
        </w:rPr>
        <w:t>49</w:t>
      </w:r>
      <w:r>
        <w:rPr>
          <w:rFonts w:hint="eastAsia"/>
          <w:bCs w:val="0"/>
          <w:szCs w:val="24"/>
        </w:rPr>
        <w:t>、长期应付职工薪酬</w:t>
      </w:r>
    </w:p>
    <w:p>
      <w:pPr>
        <w:pStyle w:val="14"/>
        <w:outlineLvl w:val="3"/>
        <w:rPr>
          <w:bCs w:val="0"/>
          <w:szCs w:val="24"/>
        </w:rPr>
      </w:pPr>
      <w:r>
        <w:rPr>
          <w:rFonts w:hint="eastAsia"/>
          <w:bCs w:val="0"/>
          <w:szCs w:val="24"/>
        </w:rPr>
        <w:t>（</w:t>
      </w:r>
      <w:r>
        <w:rPr>
          <w:bCs w:val="0"/>
          <w:szCs w:val="24"/>
        </w:rPr>
        <w:t>1</w:t>
      </w:r>
      <w:r>
        <w:rPr>
          <w:rFonts w:hint="eastAsia"/>
          <w:bCs w:val="0"/>
          <w:szCs w:val="24"/>
        </w:rPr>
        <w:t>）长期应付职工薪酬表</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pStyle w:val="14"/>
        <w:outlineLvl w:val="3"/>
        <w:rPr>
          <w:bCs w:val="0"/>
          <w:szCs w:val="24"/>
        </w:rPr>
      </w:pPr>
      <w:r>
        <w:rPr>
          <w:rFonts w:hint="eastAsia"/>
          <w:bCs w:val="0"/>
          <w:szCs w:val="24"/>
        </w:rPr>
        <w:t>（</w:t>
      </w:r>
      <w:r>
        <w:rPr>
          <w:bCs w:val="0"/>
          <w:szCs w:val="24"/>
        </w:rPr>
        <w:t>2</w:t>
      </w:r>
      <w:r>
        <w:rPr>
          <w:rFonts w:hint="eastAsia"/>
          <w:bCs w:val="0"/>
          <w:szCs w:val="24"/>
        </w:rPr>
        <w:t>）设定受益计划变动情况</w:t>
      </w:r>
    </w:p>
    <w:p>
      <w:pPr>
        <w:jc w:val="left"/>
        <w:rPr>
          <w:szCs w:val="24"/>
        </w:rPr>
      </w:pPr>
      <w:r>
        <w:rPr>
          <w:rFonts w:hint="eastAsia"/>
          <w:szCs w:val="24"/>
        </w:rPr>
        <w:t>设定受益计划义务现值：</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bl>
    <w:p>
      <w:pPr>
        <w:jc w:val="left"/>
        <w:rPr>
          <w:szCs w:val="24"/>
        </w:rPr>
      </w:pPr>
      <w:r>
        <w:rPr>
          <w:rFonts w:hint="eastAsia"/>
          <w:szCs w:val="24"/>
        </w:rPr>
        <w:t>计划资产：</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bl>
    <w:p>
      <w:pPr>
        <w:jc w:val="left"/>
        <w:rPr>
          <w:szCs w:val="24"/>
        </w:rPr>
      </w:pPr>
      <w:r>
        <w:rPr>
          <w:rFonts w:hint="eastAsia"/>
          <w:szCs w:val="24"/>
        </w:rPr>
        <w:t>设定受益计划净负债（净资产）</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bl>
    <w:p>
      <w:pPr>
        <w:pStyle w:val="14"/>
        <w:outlineLvl w:val="2"/>
        <w:rPr>
          <w:bCs w:val="0"/>
          <w:szCs w:val="24"/>
        </w:rPr>
      </w:pPr>
      <w:r>
        <w:rPr>
          <w:bCs w:val="0"/>
          <w:szCs w:val="24"/>
        </w:rPr>
        <w:t>50</w:t>
      </w:r>
      <w:r>
        <w:rPr>
          <w:rFonts w:hint="eastAsia"/>
          <w:bCs w:val="0"/>
          <w:szCs w:val="24"/>
        </w:rPr>
        <w:t>、预计负债</w:t>
      </w:r>
    </w:p>
    <w:p>
      <w:pPr>
        <w:jc w:val="left"/>
        <w:rPr>
          <w:szCs w:val="24"/>
        </w:rPr>
      </w:pPr>
      <w:r>
        <w:rPr>
          <w:rFonts w:hint="eastAsia"/>
          <w:szCs w:val="24"/>
        </w:rPr>
        <w:t>是否已执行新收入准则</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89"/>
        <w:gridCol w:w="2395"/>
        <w:gridCol w:w="2392"/>
        <w:gridCol w:w="2392"/>
      </w:tblGrid>
      <w:tr>
        <w:tblPrEx>
          <w:tblCellMar>
            <w:top w:w="0" w:type="dxa"/>
            <w:left w:w="28" w:type="dxa"/>
            <w:bottom w:w="0" w:type="dxa"/>
            <w:right w:w="28" w:type="dxa"/>
          </w:tblCellMar>
        </w:tblPrEx>
        <w:tc>
          <w:tcPr>
            <w:tcW w:w="23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239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形成原因</w:t>
            </w:r>
          </w:p>
        </w:tc>
      </w:tr>
    </w:tbl>
    <w:p>
      <w:pPr>
        <w:jc w:val="left"/>
        <w:rPr>
          <w:szCs w:val="24"/>
        </w:rPr>
      </w:pPr>
    </w:p>
    <w:p>
      <w:pPr>
        <w:pStyle w:val="14"/>
        <w:outlineLvl w:val="2"/>
        <w:rPr>
          <w:bCs w:val="0"/>
          <w:szCs w:val="24"/>
        </w:rPr>
      </w:pPr>
      <w:r>
        <w:rPr>
          <w:bCs w:val="0"/>
          <w:szCs w:val="24"/>
        </w:rPr>
        <w:t>51</w:t>
      </w:r>
      <w:r>
        <w:rPr>
          <w:rFonts w:hint="eastAsia"/>
          <w:bCs w:val="0"/>
          <w:szCs w:val="24"/>
        </w:rPr>
        <w:t>、递延收益</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594"/>
        <w:gridCol w:w="1596"/>
        <w:gridCol w:w="1594"/>
        <w:gridCol w:w="1594"/>
        <w:gridCol w:w="1594"/>
        <w:gridCol w:w="1594"/>
      </w:tblGrid>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5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本期减少</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形成原因</w:t>
            </w:r>
          </w:p>
        </w:tc>
      </w:tr>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政府补助</w:t>
            </w:r>
          </w:p>
        </w:tc>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21,741,300.89</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1,990,000.00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10,091,145.74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13,640,155.15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blPrEx>
          <w:tblCellMar>
            <w:top w:w="0" w:type="dxa"/>
            <w:left w:w="28" w:type="dxa"/>
            <w:bottom w:w="0" w:type="dxa"/>
            <w:right w:w="28" w:type="dxa"/>
          </w:tblCellMar>
        </w:tblPrEx>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21,741,300.89</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1,990,000.00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10,091,145.74</w:t>
            </w:r>
          </w:p>
        </w:tc>
        <w:tc>
          <w:tcPr>
            <w:tcW w:w="159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13,640,155.15</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jc w:val="left"/>
        <w:rPr>
          <w:szCs w:val="24"/>
        </w:rPr>
      </w:pPr>
      <w:r>
        <w:rPr>
          <w:rFonts w:hint="eastAsia"/>
          <w:szCs w:val="24"/>
        </w:rPr>
        <w:t>涉及政府补助的项目：</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012"/>
        <w:gridCol w:w="1249"/>
        <w:gridCol w:w="1010"/>
        <w:gridCol w:w="1010"/>
        <w:gridCol w:w="1010"/>
        <w:gridCol w:w="1010"/>
        <w:gridCol w:w="1010"/>
        <w:gridCol w:w="1248"/>
        <w:gridCol w:w="1010"/>
      </w:tblGrid>
      <w:tr>
        <w:tc>
          <w:tcPr>
            <w:tcW w:w="101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负债项目</w:t>
            </w:r>
          </w:p>
        </w:tc>
        <w:tc>
          <w:tcPr>
            <w:tcW w:w="124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101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本期新增补助金额</w:t>
            </w:r>
          </w:p>
        </w:tc>
        <w:tc>
          <w:tcPr>
            <w:tcW w:w="101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本期计入营业外收入金额</w:t>
            </w:r>
          </w:p>
        </w:tc>
        <w:tc>
          <w:tcPr>
            <w:tcW w:w="101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本期计入其他收益金额</w:t>
            </w:r>
          </w:p>
        </w:tc>
        <w:tc>
          <w:tcPr>
            <w:tcW w:w="101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本期冲减成本费用金额</w:t>
            </w:r>
          </w:p>
        </w:tc>
        <w:tc>
          <w:tcPr>
            <w:tcW w:w="101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其他变动</w:t>
            </w:r>
          </w:p>
        </w:tc>
        <w:tc>
          <w:tcPr>
            <w:tcW w:w="124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101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与资产相关</w:t>
            </w:r>
            <w:r>
              <w:rPr>
                <w:szCs w:val="24"/>
              </w:rPr>
              <w:t>/</w:t>
            </w:r>
            <w:r>
              <w:rPr>
                <w:rFonts w:hint="eastAsia"/>
                <w:szCs w:val="24"/>
              </w:rPr>
              <w:t>与收益相关</w:t>
            </w:r>
          </w:p>
        </w:tc>
      </w:tr>
      <w:tr>
        <w:tblPrEx>
          <w:tblCellMar>
            <w:top w:w="0" w:type="dxa"/>
            <w:left w:w="28" w:type="dxa"/>
            <w:bottom w:w="0" w:type="dxa"/>
            <w:right w:w="28" w:type="dxa"/>
          </w:tblCellMar>
        </w:tblPrEx>
        <w:tc>
          <w:tcPr>
            <w:tcW w:w="10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海洋经济创新发展区域示范项目补助</w:t>
            </w:r>
          </w:p>
        </w:tc>
        <w:tc>
          <w:tcPr>
            <w:tcW w:w="12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6,406,744.61</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2,261,204.04</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4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4,145,540.57</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与资产相关</w:t>
            </w:r>
          </w:p>
        </w:tc>
      </w:tr>
      <w:tr>
        <w:tblPrEx>
          <w:tblCellMar>
            <w:top w:w="0" w:type="dxa"/>
            <w:left w:w="28" w:type="dxa"/>
            <w:bottom w:w="0" w:type="dxa"/>
            <w:right w:w="28" w:type="dxa"/>
          </w:tblCellMar>
        </w:tblPrEx>
        <w:tc>
          <w:tcPr>
            <w:tcW w:w="10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战略性新兴产业补助</w:t>
            </w:r>
          </w:p>
        </w:tc>
        <w:tc>
          <w:tcPr>
            <w:tcW w:w="12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199,999.98</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199,999.98</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4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与资产相关</w:t>
            </w:r>
          </w:p>
        </w:tc>
      </w:tr>
      <w:tr>
        <w:tblPrEx>
          <w:tblCellMar>
            <w:top w:w="0" w:type="dxa"/>
            <w:left w:w="28" w:type="dxa"/>
            <w:bottom w:w="0" w:type="dxa"/>
            <w:right w:w="28" w:type="dxa"/>
          </w:tblCellMar>
        </w:tblPrEx>
        <w:tc>
          <w:tcPr>
            <w:tcW w:w="10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工业信息化应用专项资金</w:t>
            </w:r>
          </w:p>
        </w:tc>
        <w:tc>
          <w:tcPr>
            <w:tcW w:w="12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450,000.05</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233,333.38</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4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216,666.67</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与资产相关</w:t>
            </w:r>
          </w:p>
        </w:tc>
      </w:tr>
      <w:tr>
        <w:tblPrEx>
          <w:tblCellMar>
            <w:top w:w="0" w:type="dxa"/>
            <w:left w:w="28" w:type="dxa"/>
            <w:bottom w:w="0" w:type="dxa"/>
            <w:right w:w="28" w:type="dxa"/>
          </w:tblCellMar>
        </w:tblPrEx>
        <w:tc>
          <w:tcPr>
            <w:tcW w:w="10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信息化提升项目补助</w:t>
            </w:r>
          </w:p>
        </w:tc>
        <w:tc>
          <w:tcPr>
            <w:tcW w:w="12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1,049,400.00</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590,066.67</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4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459,333.33</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与资产相关</w:t>
            </w:r>
          </w:p>
        </w:tc>
      </w:tr>
      <w:tr>
        <w:tblPrEx>
          <w:tblCellMar>
            <w:top w:w="0" w:type="dxa"/>
            <w:left w:w="28" w:type="dxa"/>
            <w:bottom w:w="0" w:type="dxa"/>
            <w:right w:w="28" w:type="dxa"/>
          </w:tblCellMar>
        </w:tblPrEx>
        <w:tc>
          <w:tcPr>
            <w:tcW w:w="10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年度宁波市企业信息化提升项目补助</w:t>
            </w:r>
          </w:p>
        </w:tc>
        <w:tc>
          <w:tcPr>
            <w:tcW w:w="12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1,990,000.00</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1,127,666.67</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4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862,333.33</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与资产相关</w:t>
            </w:r>
          </w:p>
        </w:tc>
      </w:tr>
      <w:tr>
        <w:tblPrEx>
          <w:tblCellMar>
            <w:top w:w="0" w:type="dxa"/>
            <w:left w:w="28" w:type="dxa"/>
            <w:bottom w:w="0" w:type="dxa"/>
            <w:right w:w="28" w:type="dxa"/>
          </w:tblCellMar>
        </w:tblPrEx>
        <w:tc>
          <w:tcPr>
            <w:tcW w:w="10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科技项目经费</w:t>
            </w:r>
          </w:p>
        </w:tc>
        <w:tc>
          <w:tcPr>
            <w:tcW w:w="12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1,200,000.00</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4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1,200,000.00</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全自动化学发光免疫分析仪及配套心血管疾病监测</w:t>
            </w:r>
          </w:p>
        </w:tc>
        <w:tc>
          <w:tcPr>
            <w:tcW w:w="12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600,000.00</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4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600,000.00</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服务业发展引导资金</w:t>
            </w:r>
          </w:p>
        </w:tc>
        <w:tc>
          <w:tcPr>
            <w:tcW w:w="12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3,500,000.00</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3,500,000.00</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4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与资产相关</w:t>
            </w:r>
          </w:p>
        </w:tc>
      </w:tr>
      <w:tr>
        <w:tblPrEx>
          <w:tblCellMar>
            <w:top w:w="0" w:type="dxa"/>
            <w:left w:w="28" w:type="dxa"/>
            <w:bottom w:w="0" w:type="dxa"/>
            <w:right w:w="28" w:type="dxa"/>
          </w:tblCellMar>
        </w:tblPrEx>
        <w:tc>
          <w:tcPr>
            <w:tcW w:w="10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保生生物研发项目</w:t>
            </w:r>
            <w:r>
              <w:rPr>
                <w:szCs w:val="24"/>
              </w:rPr>
              <w:t>POCT</w:t>
            </w:r>
            <w:r>
              <w:rPr>
                <w:rFonts w:hint="eastAsia"/>
                <w:szCs w:val="24"/>
              </w:rPr>
              <w:t>项目补助</w:t>
            </w:r>
          </w:p>
        </w:tc>
        <w:tc>
          <w:tcPr>
            <w:tcW w:w="12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4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第四批宁海县战略性新兴产业发展专项财政补助</w:t>
            </w:r>
          </w:p>
        </w:tc>
        <w:tc>
          <w:tcPr>
            <w:tcW w:w="12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6,335,156.25</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178,875.00</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4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6,156,281.25</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与资产相关</w:t>
            </w:r>
          </w:p>
        </w:tc>
      </w:tr>
      <w:tr>
        <w:tblPrEx>
          <w:tblCellMar>
            <w:top w:w="0" w:type="dxa"/>
            <w:left w:w="28" w:type="dxa"/>
            <w:bottom w:w="0" w:type="dxa"/>
            <w:right w:w="28" w:type="dxa"/>
          </w:tblCellMar>
        </w:tblPrEx>
        <w:tc>
          <w:tcPr>
            <w:tcW w:w="10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合计</w:t>
            </w:r>
          </w:p>
        </w:tc>
        <w:tc>
          <w:tcPr>
            <w:tcW w:w="124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21,741,300.89</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1,990,000.00</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10,091,145.74</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4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13,640,155.15</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bl>
    <w:p>
      <w:pPr>
        <w:jc w:val="left"/>
        <w:rPr>
          <w:szCs w:val="24"/>
        </w:rPr>
      </w:pPr>
      <w:r>
        <w:rPr>
          <w:rFonts w:hint="eastAsia"/>
          <w:szCs w:val="24"/>
        </w:rPr>
        <w:t>其他说明：</w:t>
      </w:r>
    </w:p>
    <w:p>
      <w:pPr>
        <w:pStyle w:val="14"/>
        <w:outlineLvl w:val="2"/>
        <w:rPr>
          <w:bCs w:val="0"/>
          <w:szCs w:val="24"/>
        </w:rPr>
      </w:pPr>
      <w:r>
        <w:rPr>
          <w:bCs w:val="0"/>
          <w:szCs w:val="24"/>
        </w:rPr>
        <w:t>52</w:t>
      </w:r>
      <w:r>
        <w:rPr>
          <w:rFonts w:hint="eastAsia"/>
          <w:bCs w:val="0"/>
          <w:szCs w:val="24"/>
        </w:rPr>
        <w:t>、其他非流动负债</w:t>
      </w:r>
    </w:p>
    <w:p>
      <w:pPr>
        <w:jc w:val="left"/>
        <w:rPr>
          <w:szCs w:val="24"/>
        </w:rPr>
      </w:pPr>
      <w:r>
        <w:rPr>
          <w:rFonts w:hint="eastAsia"/>
          <w:szCs w:val="24"/>
        </w:rPr>
        <w:t>是否已执行新收入准则</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jc w:val="left"/>
        <w:rPr>
          <w:szCs w:val="24"/>
        </w:rPr>
      </w:pPr>
      <w:r>
        <w:rPr>
          <w:rFonts w:hint="eastAsia"/>
          <w:szCs w:val="24"/>
        </w:rPr>
        <w:t>其他说明：</w:t>
      </w:r>
    </w:p>
    <w:p>
      <w:pPr>
        <w:pStyle w:val="14"/>
        <w:outlineLvl w:val="2"/>
        <w:rPr>
          <w:bCs w:val="0"/>
          <w:szCs w:val="24"/>
        </w:rPr>
      </w:pPr>
      <w:r>
        <w:rPr>
          <w:bCs w:val="0"/>
          <w:szCs w:val="24"/>
        </w:rPr>
        <w:t>53</w:t>
      </w:r>
      <w:r>
        <w:rPr>
          <w:rFonts w:hint="eastAsia"/>
          <w:bCs w:val="0"/>
          <w:szCs w:val="24"/>
        </w:rPr>
        <w:t>、股本</w:t>
      </w:r>
    </w:p>
    <w:p>
      <w:pPr>
        <w:jc w:val="right"/>
        <w:rPr>
          <w:szCs w:val="24"/>
        </w:rPr>
      </w:pPr>
      <w:r>
        <w:rPr>
          <w:rFonts w:hint="eastAsia"/>
          <w:szCs w:val="24"/>
        </w:rPr>
        <w:t>单位：元</w:t>
      </w:r>
    </w:p>
    <w:tbl>
      <w:tblPr>
        <w:tblStyle w:val="9"/>
        <w:tblW w:w="0" w:type="auto"/>
        <w:tblInd w:w="28" w:type="dxa"/>
        <w:tblLayout w:type="fixed"/>
        <w:tblCellMar>
          <w:top w:w="0" w:type="dxa"/>
          <w:left w:w="28" w:type="dxa"/>
          <w:bottom w:w="0" w:type="dxa"/>
          <w:right w:w="28" w:type="dxa"/>
        </w:tblCellMar>
      </w:tblPr>
      <w:tblGrid>
        <w:gridCol w:w="1195"/>
        <w:gridCol w:w="1197"/>
        <w:gridCol w:w="1196"/>
        <w:gridCol w:w="1196"/>
        <w:gridCol w:w="1196"/>
        <w:gridCol w:w="1196"/>
        <w:gridCol w:w="1196"/>
        <w:gridCol w:w="1196"/>
      </w:tblGrid>
      <w:tr>
        <w:tblPrEx>
          <w:tblCellMar>
            <w:top w:w="0" w:type="dxa"/>
            <w:left w:w="28" w:type="dxa"/>
            <w:bottom w:w="0" w:type="dxa"/>
            <w:right w:w="28" w:type="dxa"/>
          </w:tblCellMar>
        </w:tblPrEx>
        <w:tc>
          <w:tcPr>
            <w:tcW w:w="1195"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119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5980" w:type="dxa"/>
            <w:gridSpan w:val="5"/>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本次变动增减（</w:t>
            </w:r>
            <w:r>
              <w:rPr>
                <w:szCs w:val="24"/>
              </w:rPr>
              <w:t>+</w:t>
            </w:r>
            <w:r>
              <w:rPr>
                <w:rFonts w:hint="eastAsia"/>
                <w:szCs w:val="24"/>
              </w:rPr>
              <w:t>、</w:t>
            </w:r>
            <w:r>
              <w:rPr>
                <w:szCs w:val="24"/>
              </w:rPr>
              <w:t>-</w:t>
            </w:r>
            <w:r>
              <w:rPr>
                <w:rFonts w:hint="eastAsia"/>
                <w:szCs w:val="24"/>
              </w:rPr>
              <w:t>）</w:t>
            </w:r>
          </w:p>
        </w:tc>
        <w:tc>
          <w:tcPr>
            <w:tcW w:w="119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119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19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发行新股</w:t>
            </w: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送股</w:t>
            </w: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公积金转股</w:t>
            </w: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119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小计</w:t>
            </w:r>
          </w:p>
        </w:tc>
        <w:tc>
          <w:tcPr>
            <w:tcW w:w="119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19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股份总数</w:t>
            </w:r>
          </w:p>
        </w:tc>
        <w:tc>
          <w:tcPr>
            <w:tcW w:w="11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346,397,300.00</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-1,094,680.00</w:t>
            </w:r>
          </w:p>
        </w:tc>
        <w:tc>
          <w:tcPr>
            <w:tcW w:w="119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-1,094,680.00</w:t>
            </w:r>
          </w:p>
        </w:tc>
        <w:tc>
          <w:tcPr>
            <w:tcW w:w="1196"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345,302,620.00</w:t>
            </w:r>
          </w:p>
        </w:tc>
      </w:tr>
    </w:tbl>
    <w:p>
      <w:pPr>
        <w:jc w:val="left"/>
        <w:rPr>
          <w:szCs w:val="24"/>
        </w:rPr>
      </w:pPr>
      <w:r>
        <w:rPr>
          <w:rFonts w:hint="eastAsia"/>
          <w:szCs w:val="24"/>
        </w:rPr>
        <w:t>其他说明：</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股本本期变动的说明：</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）根据公司第三届董事会第九次会议决议、第三届董事会第十一次会议决议及</w:t>
      </w:r>
      <w:r>
        <w:rPr>
          <w:rFonts w:eastAsia="Times New Roman"/>
          <w:kern w:val="0"/>
          <w:lang w:val="zh-CN"/>
        </w:rPr>
        <w:t>2018</w:t>
      </w:r>
      <w:r>
        <w:rPr>
          <w:rFonts w:hint="eastAsia" w:ascii="宋体" w:hAnsi="宋体" w:cs="宋体"/>
          <w:kern w:val="0"/>
          <w:lang w:val="zh-CN"/>
        </w:rPr>
        <w:t>年第四次临时股东大会决议通过的《关于回购注销部分激励对象已获授但尚未解锁的限制性股票的议案》和《关于回购注销部分激励对象（</w:t>
      </w:r>
      <w:r>
        <w:rPr>
          <w:rFonts w:eastAsia="Times New Roman"/>
          <w:kern w:val="0"/>
          <w:lang w:val="zh-CN"/>
        </w:rPr>
        <w:t>2018</w:t>
      </w:r>
      <w:r>
        <w:rPr>
          <w:rFonts w:hint="eastAsia" w:ascii="宋体" w:hAnsi="宋体" w:cs="宋体"/>
          <w:kern w:val="0"/>
          <w:lang w:val="zh-CN"/>
        </w:rPr>
        <w:t>年第二次）已获授但尚未解锁的限制性股票的议案》，同意公司对首次授予限制性股票部分激励对象（离职人员</w:t>
      </w:r>
      <w:r>
        <w:rPr>
          <w:rFonts w:eastAsia="Times New Roman"/>
          <w:kern w:val="0"/>
          <w:lang w:val="zh-CN"/>
        </w:rPr>
        <w:t>14</w:t>
      </w:r>
      <w:r>
        <w:rPr>
          <w:rFonts w:hint="eastAsia" w:ascii="宋体" w:hAnsi="宋体" w:cs="宋体"/>
          <w:kern w:val="0"/>
          <w:lang w:val="zh-CN"/>
        </w:rPr>
        <w:t>名）已获授但尚未解锁的</w:t>
      </w:r>
      <w:r>
        <w:rPr>
          <w:rFonts w:eastAsia="Times New Roman"/>
          <w:kern w:val="0"/>
          <w:lang w:val="zh-CN"/>
        </w:rPr>
        <w:t>259,000</w:t>
      </w:r>
      <w:r>
        <w:rPr>
          <w:rFonts w:hint="eastAsia" w:ascii="宋体" w:hAnsi="宋体" w:cs="宋体"/>
          <w:kern w:val="0"/>
          <w:lang w:val="zh-CN"/>
        </w:rPr>
        <w:t>股限制性股票进行回购注销，回购价格为</w:t>
      </w:r>
      <w:r>
        <w:rPr>
          <w:rFonts w:eastAsia="Times New Roman"/>
          <w:kern w:val="0"/>
          <w:lang w:val="zh-CN"/>
        </w:rPr>
        <w:t>13.185</w:t>
      </w:r>
      <w:r>
        <w:rPr>
          <w:rFonts w:hint="eastAsia" w:ascii="宋体" w:hAnsi="宋体" w:cs="宋体"/>
          <w:kern w:val="0"/>
          <w:lang w:val="zh-CN"/>
        </w:rPr>
        <w:t>元</w:t>
      </w:r>
      <w:r>
        <w:rPr>
          <w:rFonts w:eastAsia="Times New Roman"/>
          <w:kern w:val="0"/>
          <w:lang w:val="zh-CN"/>
        </w:rPr>
        <w:t>/</w:t>
      </w:r>
      <w:r>
        <w:rPr>
          <w:rFonts w:hint="eastAsia" w:ascii="宋体" w:hAnsi="宋体" w:cs="宋体"/>
          <w:kern w:val="0"/>
          <w:lang w:val="zh-CN"/>
        </w:rPr>
        <w:t>股。其中减少股本</w:t>
      </w:r>
      <w:r>
        <w:rPr>
          <w:rFonts w:eastAsia="Times New Roman"/>
          <w:kern w:val="0"/>
          <w:lang w:val="zh-CN"/>
        </w:rPr>
        <w:t>259,000</w:t>
      </w:r>
      <w:r>
        <w:rPr>
          <w:rFonts w:hint="eastAsia" w:ascii="宋体" w:hAnsi="宋体" w:cs="宋体"/>
          <w:kern w:val="0"/>
          <w:lang w:val="zh-CN"/>
        </w:rPr>
        <w:t>元，减少资本公积</w:t>
      </w:r>
      <w:r>
        <w:rPr>
          <w:rFonts w:eastAsia="Times New Roman"/>
          <w:kern w:val="0"/>
          <w:lang w:val="zh-CN"/>
        </w:rPr>
        <w:t>3,155,940.92</w:t>
      </w:r>
      <w:r>
        <w:rPr>
          <w:rFonts w:hint="eastAsia" w:ascii="宋体" w:hAnsi="宋体" w:cs="宋体"/>
          <w:kern w:val="0"/>
          <w:lang w:val="zh-CN"/>
        </w:rPr>
        <w:t>元，同时冲减库存股</w:t>
      </w:r>
      <w:r>
        <w:rPr>
          <w:rFonts w:eastAsia="Times New Roman"/>
          <w:kern w:val="0"/>
          <w:lang w:val="zh-CN"/>
        </w:rPr>
        <w:t>3,414,940.92</w:t>
      </w:r>
      <w:r>
        <w:rPr>
          <w:rFonts w:hint="eastAsia" w:ascii="宋体" w:hAnsi="宋体" w:cs="宋体"/>
          <w:kern w:val="0"/>
          <w:lang w:val="zh-CN"/>
        </w:rPr>
        <w:t>元。本次减资业经立信会计师事务所（特殊普通合伙）审验，并由其于</w:t>
      </w:r>
      <w:r>
        <w:rPr>
          <w:rFonts w:eastAsia="Times New Roman"/>
          <w:kern w:val="0"/>
          <w:lang w:val="zh-CN"/>
        </w:rPr>
        <w:t>2019</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23</w:t>
      </w:r>
      <w:r>
        <w:rPr>
          <w:rFonts w:hint="eastAsia" w:ascii="宋体" w:hAnsi="宋体" w:cs="宋体"/>
          <w:kern w:val="0"/>
          <w:lang w:val="zh-CN"/>
        </w:rPr>
        <w:t>日出具了信会师报字</w:t>
      </w:r>
      <w:r>
        <w:rPr>
          <w:rFonts w:eastAsia="Times New Roman"/>
          <w:kern w:val="0"/>
          <w:lang w:val="zh-CN"/>
        </w:rPr>
        <w:t>[2019]</w:t>
      </w:r>
      <w:r>
        <w:rPr>
          <w:rFonts w:hint="eastAsia" w:ascii="宋体" w:hAnsi="宋体" w:cs="宋体"/>
          <w:kern w:val="0"/>
          <w:lang w:val="zh-CN"/>
        </w:rPr>
        <w:t>第</w:t>
      </w:r>
      <w:r>
        <w:rPr>
          <w:rFonts w:eastAsia="Times New Roman"/>
          <w:kern w:val="0"/>
          <w:lang w:val="zh-CN"/>
        </w:rPr>
        <w:t>ZF10345</w:t>
      </w:r>
      <w:r>
        <w:rPr>
          <w:rFonts w:hint="eastAsia" w:ascii="宋体" w:hAnsi="宋体" w:cs="宋体"/>
          <w:kern w:val="0"/>
          <w:lang w:val="zh-CN"/>
        </w:rPr>
        <w:t>验资报告。</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）根据公司第三届董事会第十八次会议决议及</w:t>
      </w:r>
      <w:r>
        <w:rPr>
          <w:rFonts w:eastAsia="Times New Roman"/>
          <w:kern w:val="0"/>
          <w:lang w:val="zh-CN"/>
        </w:rPr>
        <w:t>2019</w:t>
      </w:r>
      <w:r>
        <w:rPr>
          <w:rFonts w:hint="eastAsia" w:ascii="宋体" w:hAnsi="宋体" w:cs="宋体"/>
          <w:kern w:val="0"/>
          <w:lang w:val="zh-CN"/>
        </w:rPr>
        <w:t>年第三次临时股东大会决议通过的《关于回购注销部分激励对象已获授但尚未解锁的限制性股票的议案》，同意公司对首次授予限制性股票部分激励对象（其中离职人员</w:t>
      </w:r>
      <w:r>
        <w:rPr>
          <w:rFonts w:eastAsia="Times New Roman"/>
          <w:kern w:val="0"/>
          <w:lang w:val="zh-CN"/>
        </w:rPr>
        <w:t>25</w:t>
      </w:r>
      <w:r>
        <w:rPr>
          <w:rFonts w:hint="eastAsia" w:ascii="宋体" w:hAnsi="宋体" w:cs="宋体"/>
          <w:kern w:val="0"/>
          <w:lang w:val="zh-CN"/>
        </w:rPr>
        <w:t>名、</w:t>
      </w:r>
      <w:r>
        <w:rPr>
          <w:rFonts w:eastAsia="Times New Roman"/>
          <w:kern w:val="0"/>
          <w:lang w:val="zh-CN"/>
        </w:rPr>
        <w:t>2018</w:t>
      </w:r>
      <w:r>
        <w:rPr>
          <w:rFonts w:hint="eastAsia" w:ascii="宋体" w:hAnsi="宋体" w:cs="宋体"/>
          <w:kern w:val="0"/>
          <w:lang w:val="zh-CN"/>
        </w:rPr>
        <w:t>年度个人考核等级为</w:t>
      </w:r>
      <w:r>
        <w:rPr>
          <w:rFonts w:eastAsia="Times New Roman"/>
          <w:kern w:val="0"/>
          <w:lang w:val="zh-CN"/>
        </w:rPr>
        <w:t>B</w:t>
      </w:r>
      <w:r>
        <w:rPr>
          <w:rFonts w:hint="eastAsia" w:ascii="宋体" w:hAnsi="宋体" w:cs="宋体"/>
          <w:kern w:val="0"/>
          <w:lang w:val="zh-CN"/>
        </w:rPr>
        <w:t>（合格）或</w:t>
      </w:r>
      <w:r>
        <w:rPr>
          <w:rFonts w:eastAsia="Times New Roman"/>
          <w:kern w:val="0"/>
          <w:lang w:val="zh-CN"/>
        </w:rPr>
        <w:t>C</w:t>
      </w:r>
      <w:r>
        <w:rPr>
          <w:rFonts w:hint="eastAsia" w:ascii="宋体" w:hAnsi="宋体" w:cs="宋体"/>
          <w:kern w:val="0"/>
          <w:lang w:val="zh-CN"/>
        </w:rPr>
        <w:t>（不合格）的</w:t>
      </w:r>
      <w:r>
        <w:rPr>
          <w:rFonts w:eastAsia="Times New Roman"/>
          <w:kern w:val="0"/>
          <w:lang w:val="zh-CN"/>
        </w:rPr>
        <w:t>3</w:t>
      </w:r>
      <w:r>
        <w:rPr>
          <w:rFonts w:hint="eastAsia" w:ascii="宋体" w:hAnsi="宋体" w:cs="宋体"/>
          <w:kern w:val="0"/>
          <w:lang w:val="zh-CN"/>
        </w:rPr>
        <w:t>名）已获授但尚未解锁的</w:t>
      </w:r>
      <w:r>
        <w:rPr>
          <w:rFonts w:eastAsia="Times New Roman"/>
          <w:kern w:val="0"/>
          <w:lang w:val="zh-CN"/>
        </w:rPr>
        <w:t>745,680</w:t>
      </w:r>
      <w:r>
        <w:rPr>
          <w:rFonts w:hint="eastAsia" w:ascii="宋体" w:hAnsi="宋体" w:cs="宋体"/>
          <w:kern w:val="0"/>
          <w:lang w:val="zh-CN"/>
        </w:rPr>
        <w:t>股限制性股票进行回购注销，回购价格为</w:t>
      </w:r>
      <w:r>
        <w:rPr>
          <w:rFonts w:eastAsia="Times New Roman"/>
          <w:kern w:val="0"/>
          <w:lang w:val="zh-CN"/>
        </w:rPr>
        <w:t>13.04</w:t>
      </w:r>
      <w:r>
        <w:rPr>
          <w:rFonts w:hint="eastAsia" w:ascii="宋体" w:hAnsi="宋体" w:cs="宋体"/>
          <w:kern w:val="0"/>
          <w:lang w:val="zh-CN"/>
        </w:rPr>
        <w:t>元</w:t>
      </w:r>
      <w:r>
        <w:rPr>
          <w:rFonts w:eastAsia="Times New Roman"/>
          <w:kern w:val="0"/>
          <w:lang w:val="zh-CN"/>
        </w:rPr>
        <w:t>/</w:t>
      </w:r>
      <w:r>
        <w:rPr>
          <w:rFonts w:hint="eastAsia" w:ascii="宋体" w:hAnsi="宋体" w:cs="宋体"/>
          <w:kern w:val="0"/>
          <w:lang w:val="zh-CN"/>
        </w:rPr>
        <w:t>股；对</w:t>
      </w:r>
      <w:r>
        <w:rPr>
          <w:rFonts w:eastAsia="Times New Roman"/>
          <w:kern w:val="0"/>
          <w:lang w:val="zh-CN"/>
        </w:rPr>
        <w:t>1</w:t>
      </w:r>
      <w:r>
        <w:rPr>
          <w:rFonts w:hint="eastAsia" w:ascii="宋体" w:hAnsi="宋体" w:cs="宋体"/>
          <w:kern w:val="0"/>
          <w:lang w:val="zh-CN"/>
        </w:rPr>
        <w:t>名已离职预留授予限制性股票激励对象已获授但尚未解锁的</w:t>
      </w:r>
      <w:r>
        <w:rPr>
          <w:rFonts w:eastAsia="Times New Roman"/>
          <w:kern w:val="0"/>
          <w:lang w:val="zh-CN"/>
        </w:rPr>
        <w:t>90,000</w:t>
      </w:r>
      <w:r>
        <w:rPr>
          <w:rFonts w:hint="eastAsia" w:ascii="宋体" w:hAnsi="宋体" w:cs="宋体"/>
          <w:kern w:val="0"/>
          <w:lang w:val="zh-CN"/>
        </w:rPr>
        <w:t>股限制性股票进行回购注销，回购价格为</w:t>
      </w:r>
      <w:r>
        <w:rPr>
          <w:rFonts w:eastAsia="Times New Roman"/>
          <w:kern w:val="0"/>
          <w:lang w:val="zh-CN"/>
        </w:rPr>
        <w:t>13.43</w:t>
      </w:r>
      <w:r>
        <w:rPr>
          <w:rFonts w:hint="eastAsia" w:ascii="宋体" w:hAnsi="宋体" w:cs="宋体"/>
          <w:kern w:val="0"/>
          <w:lang w:val="zh-CN"/>
        </w:rPr>
        <w:t>元</w:t>
      </w:r>
      <w:r>
        <w:rPr>
          <w:rFonts w:eastAsia="Times New Roman"/>
          <w:kern w:val="0"/>
          <w:lang w:val="zh-CN"/>
        </w:rPr>
        <w:t>/</w:t>
      </w:r>
      <w:r>
        <w:rPr>
          <w:rFonts w:hint="eastAsia" w:ascii="宋体" w:hAnsi="宋体" w:cs="宋体"/>
          <w:kern w:val="0"/>
          <w:lang w:val="zh-CN"/>
        </w:rPr>
        <w:t>股。其中减少股本</w:t>
      </w:r>
      <w:r>
        <w:rPr>
          <w:rFonts w:eastAsia="Times New Roman"/>
          <w:kern w:val="0"/>
          <w:lang w:val="zh-CN"/>
        </w:rPr>
        <w:t>835,680</w:t>
      </w:r>
      <w:r>
        <w:rPr>
          <w:rFonts w:hint="eastAsia" w:ascii="宋体" w:hAnsi="宋体" w:cs="宋体"/>
          <w:kern w:val="0"/>
          <w:lang w:val="zh-CN"/>
        </w:rPr>
        <w:t>元，减少资本公积</w:t>
      </w:r>
      <w:r>
        <w:rPr>
          <w:rFonts w:eastAsia="Times New Roman"/>
          <w:kern w:val="0"/>
          <w:lang w:val="zh-CN"/>
        </w:rPr>
        <w:t>10,096,687.20</w:t>
      </w:r>
      <w:r>
        <w:rPr>
          <w:rFonts w:hint="eastAsia" w:ascii="宋体" w:hAnsi="宋体" w:cs="宋体"/>
          <w:kern w:val="0"/>
          <w:lang w:val="zh-CN"/>
        </w:rPr>
        <w:t>元，同时冲减库存股</w:t>
      </w:r>
      <w:r>
        <w:rPr>
          <w:rFonts w:eastAsia="Times New Roman"/>
          <w:kern w:val="0"/>
          <w:lang w:val="zh-CN"/>
        </w:rPr>
        <w:t>10,932,367.20</w:t>
      </w:r>
      <w:r>
        <w:rPr>
          <w:rFonts w:hint="eastAsia" w:ascii="宋体" w:hAnsi="宋体" w:cs="宋体"/>
          <w:kern w:val="0"/>
          <w:lang w:val="zh-CN"/>
        </w:rPr>
        <w:t>元。本次减资业经立信会计师事务所（特殊普通合伙）审验，并由其于</w:t>
      </w:r>
      <w:r>
        <w:rPr>
          <w:rFonts w:eastAsia="Times New Roman"/>
          <w:kern w:val="0"/>
          <w:lang w:val="zh-CN"/>
        </w:rPr>
        <w:t>2019</w:t>
      </w:r>
      <w:r>
        <w:rPr>
          <w:rFonts w:hint="eastAsia" w:ascii="宋体" w:hAnsi="宋体" w:cs="宋体"/>
          <w:kern w:val="0"/>
          <w:lang w:val="zh-CN"/>
        </w:rPr>
        <w:t>年</w:t>
      </w:r>
      <w:r>
        <w:rPr>
          <w:rFonts w:eastAsia="Times New Roman"/>
          <w:kern w:val="0"/>
          <w:lang w:val="zh-CN"/>
        </w:rPr>
        <w:t>11</w:t>
      </w:r>
      <w:r>
        <w:rPr>
          <w:rFonts w:hint="eastAsia" w:ascii="宋体" w:hAnsi="宋体" w:cs="宋体"/>
          <w:kern w:val="0"/>
          <w:lang w:val="zh-CN"/>
        </w:rPr>
        <w:t>月</w:t>
      </w:r>
      <w:r>
        <w:rPr>
          <w:rFonts w:eastAsia="Times New Roman"/>
          <w:kern w:val="0"/>
          <w:lang w:val="zh-CN"/>
        </w:rPr>
        <w:t>28</w:t>
      </w:r>
      <w:r>
        <w:rPr>
          <w:rFonts w:hint="eastAsia" w:ascii="宋体" w:hAnsi="宋体" w:cs="宋体"/>
          <w:kern w:val="0"/>
          <w:lang w:val="zh-CN"/>
        </w:rPr>
        <w:t>日出具信会师报字</w:t>
      </w:r>
      <w:r>
        <w:rPr>
          <w:rFonts w:eastAsia="Times New Roman"/>
          <w:kern w:val="0"/>
          <w:lang w:val="zh-CN"/>
        </w:rPr>
        <w:t>[2019]</w:t>
      </w:r>
      <w:r>
        <w:rPr>
          <w:rFonts w:hint="eastAsia" w:ascii="宋体" w:hAnsi="宋体" w:cs="宋体"/>
          <w:kern w:val="0"/>
          <w:lang w:val="zh-CN"/>
        </w:rPr>
        <w:t>第</w:t>
      </w:r>
      <w:r>
        <w:rPr>
          <w:rFonts w:eastAsia="Times New Roman"/>
          <w:kern w:val="0"/>
          <w:lang w:val="zh-CN"/>
        </w:rPr>
        <w:t>ZF10800</w:t>
      </w:r>
      <w:r>
        <w:rPr>
          <w:rFonts w:hint="eastAsia" w:ascii="宋体" w:hAnsi="宋体" w:cs="宋体"/>
          <w:kern w:val="0"/>
          <w:lang w:val="zh-CN"/>
        </w:rPr>
        <w:t>验资报告。</w:t>
      </w:r>
    </w:p>
    <w:p>
      <w:pPr>
        <w:autoSpaceDE w:val="0"/>
        <w:autoSpaceDN w:val="0"/>
        <w:adjustRightInd w:val="0"/>
        <w:spacing w:before="0" w:after="0"/>
        <w:ind w:firstLine="360" w:firstLineChars="200"/>
        <w:jc w:val="left"/>
        <w:rPr>
          <w:rFonts w:eastAsia="Times New Roman"/>
          <w:kern w:val="0"/>
          <w:lang w:val="zh-CN"/>
        </w:rPr>
      </w:pPr>
    </w:p>
    <w:p>
      <w:pPr>
        <w:pStyle w:val="14"/>
        <w:outlineLvl w:val="2"/>
        <w:rPr>
          <w:bCs w:val="0"/>
          <w:szCs w:val="24"/>
        </w:rPr>
      </w:pPr>
      <w:r>
        <w:rPr>
          <w:bCs w:val="0"/>
          <w:szCs w:val="24"/>
        </w:rPr>
        <w:t>54</w:t>
      </w:r>
      <w:r>
        <w:rPr>
          <w:rFonts w:hint="eastAsia"/>
          <w:bCs w:val="0"/>
          <w:szCs w:val="24"/>
        </w:rPr>
        <w:t>、其他权益工具</w:t>
      </w:r>
    </w:p>
    <w:p>
      <w:pPr>
        <w:pStyle w:val="14"/>
        <w:outlineLvl w:val="3"/>
        <w:rPr>
          <w:bCs w:val="0"/>
          <w:szCs w:val="24"/>
        </w:rPr>
      </w:pPr>
      <w:r>
        <w:rPr>
          <w:rFonts w:hint="eastAsia"/>
          <w:bCs w:val="0"/>
          <w:szCs w:val="24"/>
        </w:rPr>
        <w:t>（</w:t>
      </w:r>
      <w:r>
        <w:rPr>
          <w:bCs w:val="0"/>
          <w:szCs w:val="24"/>
        </w:rPr>
        <w:t>1</w:t>
      </w:r>
      <w:r>
        <w:rPr>
          <w:rFonts w:hint="eastAsia"/>
          <w:bCs w:val="0"/>
          <w:szCs w:val="24"/>
        </w:rPr>
        <w:t>）期末发行在外的优先股、永续债等其他金融工具基本情况</w:t>
      </w:r>
    </w:p>
    <w:p>
      <w:pPr>
        <w:pStyle w:val="14"/>
        <w:outlineLvl w:val="3"/>
        <w:rPr>
          <w:bCs w:val="0"/>
          <w:szCs w:val="24"/>
        </w:rPr>
      </w:pPr>
      <w:r>
        <w:rPr>
          <w:rFonts w:hint="eastAsia"/>
          <w:bCs w:val="0"/>
          <w:szCs w:val="24"/>
        </w:rPr>
        <w:t>（</w:t>
      </w:r>
      <w:r>
        <w:rPr>
          <w:bCs w:val="0"/>
          <w:szCs w:val="24"/>
        </w:rPr>
        <w:t>2</w:t>
      </w:r>
      <w:r>
        <w:rPr>
          <w:rFonts w:hint="eastAsia"/>
          <w:bCs w:val="0"/>
          <w:szCs w:val="24"/>
        </w:rPr>
        <w:t>）期末发行在外的优先股、永续债等金融工具变动情况表</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065"/>
        <w:gridCol w:w="1067"/>
        <w:gridCol w:w="1063"/>
        <w:gridCol w:w="1063"/>
        <w:gridCol w:w="1063"/>
        <w:gridCol w:w="1062"/>
        <w:gridCol w:w="1062"/>
        <w:gridCol w:w="1062"/>
        <w:gridCol w:w="1062"/>
      </w:tblGrid>
      <w:tr>
        <w:tblPrEx>
          <w:tblCellMar>
            <w:top w:w="0" w:type="dxa"/>
            <w:left w:w="28" w:type="dxa"/>
            <w:bottom w:w="0" w:type="dxa"/>
            <w:right w:w="28" w:type="dxa"/>
          </w:tblCellMar>
        </w:tblPrEx>
        <w:tc>
          <w:tcPr>
            <w:tcW w:w="1065"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发行在外的金融工具</w:t>
            </w:r>
          </w:p>
        </w:tc>
        <w:tc>
          <w:tcPr>
            <w:tcW w:w="2130"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w:t>
            </w:r>
          </w:p>
        </w:tc>
        <w:tc>
          <w:tcPr>
            <w:tcW w:w="2126"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w:t>
            </w:r>
          </w:p>
        </w:tc>
        <w:tc>
          <w:tcPr>
            <w:tcW w:w="2124"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本期减少</w:t>
            </w:r>
          </w:p>
        </w:tc>
        <w:tc>
          <w:tcPr>
            <w:tcW w:w="2124"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w:t>
            </w:r>
          </w:p>
        </w:tc>
      </w:tr>
      <w:tr>
        <w:tblPrEx>
          <w:tblCellMar>
            <w:top w:w="0" w:type="dxa"/>
            <w:left w:w="28" w:type="dxa"/>
            <w:bottom w:w="0" w:type="dxa"/>
            <w:right w:w="2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0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数量</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数量</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0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数量</w:t>
            </w:r>
          </w:p>
        </w:tc>
        <w:tc>
          <w:tcPr>
            <w:tcW w:w="10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0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数量</w:t>
            </w:r>
          </w:p>
        </w:tc>
        <w:tc>
          <w:tcPr>
            <w:tcW w:w="10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r>
    </w:tbl>
    <w:p>
      <w:pPr>
        <w:jc w:val="left"/>
        <w:rPr>
          <w:szCs w:val="24"/>
        </w:rPr>
      </w:pPr>
      <w:r>
        <w:rPr>
          <w:rFonts w:hint="eastAsia"/>
          <w:szCs w:val="24"/>
        </w:rPr>
        <w:t>其他权益工具本期增减变动情况、变动原因说明，以及相关会计处理的依据：</w:t>
      </w:r>
    </w:p>
    <w:p>
      <w:pPr>
        <w:pStyle w:val="14"/>
        <w:outlineLvl w:val="2"/>
        <w:rPr>
          <w:bCs w:val="0"/>
          <w:szCs w:val="24"/>
        </w:rPr>
      </w:pPr>
      <w:r>
        <w:rPr>
          <w:bCs w:val="0"/>
          <w:szCs w:val="24"/>
        </w:rPr>
        <w:t>55</w:t>
      </w:r>
      <w:r>
        <w:rPr>
          <w:rFonts w:hint="eastAsia"/>
          <w:bCs w:val="0"/>
          <w:szCs w:val="24"/>
        </w:rPr>
        <w:t>、资本公积</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2"/>
        <w:gridCol w:w="1916"/>
        <w:gridCol w:w="1914"/>
        <w:gridCol w:w="1914"/>
        <w:gridCol w:w="1914"/>
      </w:tblGrid>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本期减少</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资本溢价（股本溢价）</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512,922,387.19</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51,393,501.22</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15,999,504.88</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548,316,383.53</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其他资本公积</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59,213,354.94</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12,240,071.79</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46,973,283.15</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572,135,742.13</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51,393,501.22</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28,239,576.67</w:t>
            </w:r>
          </w:p>
        </w:tc>
        <w:tc>
          <w:tcPr>
            <w:tcW w:w="191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595,289,666.68</w:t>
            </w:r>
          </w:p>
        </w:tc>
      </w:tr>
    </w:tbl>
    <w:p>
      <w:pPr>
        <w:jc w:val="left"/>
        <w:rPr>
          <w:szCs w:val="24"/>
        </w:rPr>
      </w:pPr>
      <w:r>
        <w:rPr>
          <w:rFonts w:hint="eastAsia"/>
          <w:szCs w:val="24"/>
        </w:rPr>
        <w:t>其他说明，包括本期增减变动情况、变动原因说明：</w:t>
      </w:r>
    </w:p>
    <w:p>
      <w:pPr>
        <w:autoSpaceDE w:val="0"/>
        <w:autoSpaceDN w:val="0"/>
        <w:adjustRightInd w:val="0"/>
        <w:spacing w:before="0" w:after="0"/>
        <w:ind w:left="718"/>
        <w:rPr>
          <w:rFonts w:eastAsia="Times New Roman"/>
          <w:b/>
          <w:kern w:val="0"/>
          <w:lang w:val="zh-CN"/>
        </w:rPr>
      </w:pPr>
      <w:r>
        <w:rPr>
          <w:rFonts w:hint="eastAsia" w:ascii="宋体" w:hAnsi="宋体" w:cs="宋体"/>
          <w:b/>
          <w:kern w:val="0"/>
          <w:lang w:val="zh-CN"/>
        </w:rPr>
        <w:t>资本公积的说明：</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）资本公积</w:t>
      </w:r>
      <w:r>
        <w:rPr>
          <w:rFonts w:eastAsia="Times New Roman"/>
          <w:kern w:val="0"/>
          <w:lang w:val="zh-CN"/>
        </w:rPr>
        <w:t>——</w:t>
      </w:r>
      <w:r>
        <w:rPr>
          <w:rFonts w:hint="eastAsia" w:ascii="宋体" w:hAnsi="宋体" w:cs="宋体"/>
          <w:kern w:val="0"/>
          <w:lang w:val="zh-CN"/>
        </w:rPr>
        <w:t>股本溢价减少</w:t>
      </w:r>
      <w:r>
        <w:rPr>
          <w:rFonts w:eastAsia="Times New Roman"/>
          <w:kern w:val="0"/>
          <w:lang w:val="zh-CN"/>
        </w:rPr>
        <w:t>13,252,628.12</w:t>
      </w:r>
      <w:r>
        <w:rPr>
          <w:rFonts w:hint="eastAsia" w:ascii="宋体" w:hAnsi="宋体" w:cs="宋体"/>
          <w:kern w:val="0"/>
          <w:lang w:val="zh-CN"/>
        </w:rPr>
        <w:t>元，详见本附注五（二十九）之说明。</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）宁波美康股权投资基金合伙企业</w:t>
      </w:r>
      <w:r>
        <w:rPr>
          <w:rFonts w:eastAsia="Times New Roman"/>
          <w:kern w:val="0"/>
          <w:lang w:val="zh-CN"/>
        </w:rPr>
        <w:t>(</w:t>
      </w:r>
      <w:r>
        <w:rPr>
          <w:rFonts w:hint="eastAsia" w:ascii="宋体" w:hAnsi="宋体" w:cs="宋体"/>
          <w:kern w:val="0"/>
          <w:lang w:val="zh-CN"/>
        </w:rPr>
        <w:t>有限合伙</w:t>
      </w:r>
      <w:r>
        <w:rPr>
          <w:rFonts w:eastAsia="Times New Roman"/>
          <w:kern w:val="0"/>
          <w:lang w:val="zh-CN"/>
        </w:rPr>
        <w:t>)</w:t>
      </w:r>
      <w:r>
        <w:rPr>
          <w:rFonts w:hint="eastAsia" w:ascii="宋体" w:hAnsi="宋体" w:cs="宋体"/>
          <w:kern w:val="0"/>
          <w:lang w:val="zh-CN"/>
        </w:rPr>
        <w:t>退伙及收购杭州倚天剩余股权事项，导致股本溢价增加</w:t>
      </w:r>
      <w:r>
        <w:rPr>
          <w:rFonts w:eastAsia="Times New Roman"/>
          <w:kern w:val="0"/>
          <w:lang w:val="zh-CN"/>
        </w:rPr>
        <w:t>43,704,640.22</w:t>
      </w:r>
      <w:r>
        <w:rPr>
          <w:rFonts w:hint="eastAsia" w:ascii="宋体" w:hAnsi="宋体" w:cs="宋体"/>
          <w:kern w:val="0"/>
          <w:lang w:val="zh-CN"/>
        </w:rPr>
        <w:t>元。详见本附注六（三）</w:t>
      </w:r>
      <w:r>
        <w:rPr>
          <w:rFonts w:eastAsia="Times New Roman"/>
          <w:kern w:val="0"/>
          <w:lang w:val="zh-CN"/>
        </w:rPr>
        <w:t>1</w:t>
      </w:r>
      <w:r>
        <w:rPr>
          <w:rFonts w:hint="eastAsia" w:ascii="宋体" w:hAnsi="宋体" w:cs="宋体"/>
          <w:kern w:val="0"/>
          <w:lang w:val="zh-CN"/>
        </w:rPr>
        <w:t>（</w:t>
      </w:r>
      <w:r>
        <w:rPr>
          <w:rFonts w:eastAsia="Times New Roman"/>
          <w:kern w:val="0"/>
          <w:lang w:val="zh-CN"/>
        </w:rPr>
        <w:t>4</w:t>
      </w:r>
      <w:r>
        <w:rPr>
          <w:rFonts w:hint="eastAsia" w:ascii="宋体" w:hAnsi="宋体" w:cs="宋体"/>
          <w:kern w:val="0"/>
          <w:lang w:val="zh-CN"/>
        </w:rPr>
        <w:t>）之说明。</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）公司对股限制性股票进行回购注销，产生的价差减少股本溢价</w:t>
      </w:r>
      <w:r>
        <w:rPr>
          <w:rFonts w:eastAsia="Times New Roman"/>
          <w:kern w:val="0"/>
          <w:lang w:val="zh-CN"/>
        </w:rPr>
        <w:t>2,395,949.77</w:t>
      </w:r>
      <w:r>
        <w:rPr>
          <w:rFonts w:hint="eastAsia" w:ascii="宋体" w:hAnsi="宋体" w:cs="宋体"/>
          <w:kern w:val="0"/>
          <w:lang w:val="zh-CN"/>
        </w:rPr>
        <w:t>元。</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4</w:t>
      </w:r>
      <w:r>
        <w:rPr>
          <w:rFonts w:hint="eastAsia" w:ascii="宋体" w:hAnsi="宋体" w:cs="宋体"/>
          <w:kern w:val="0"/>
          <w:lang w:val="zh-CN"/>
        </w:rPr>
        <w:t>）</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月，子公司香港美康出资购买江西美康盛德生物科技有限公司少数股东持有的</w:t>
      </w:r>
      <w:r>
        <w:rPr>
          <w:rFonts w:eastAsia="Times New Roman"/>
          <w:kern w:val="0"/>
          <w:lang w:val="zh-CN"/>
        </w:rPr>
        <w:t>8.49%</w:t>
      </w:r>
      <w:r>
        <w:rPr>
          <w:rFonts w:hint="eastAsia" w:ascii="宋体" w:hAnsi="宋体" w:cs="宋体"/>
          <w:kern w:val="0"/>
          <w:lang w:val="zh-CN"/>
        </w:rPr>
        <w:t>股权，支付的对价与新增持股比例享有的净资产份额之间的差额，减少股本溢价</w:t>
      </w:r>
      <w:r>
        <w:rPr>
          <w:rFonts w:eastAsia="Times New Roman"/>
          <w:kern w:val="0"/>
          <w:lang w:val="zh-CN"/>
        </w:rPr>
        <w:t>350,926.99</w:t>
      </w:r>
      <w:r>
        <w:rPr>
          <w:rFonts w:hint="eastAsia" w:ascii="宋体" w:hAnsi="宋体" w:cs="宋体"/>
          <w:kern w:val="0"/>
          <w:lang w:val="zh-CN"/>
        </w:rPr>
        <w:t>元。</w:t>
      </w:r>
    </w:p>
    <w:p>
      <w:pPr>
        <w:pStyle w:val="25"/>
        <w:snapToGrid/>
        <w:spacing w:line="400" w:lineRule="exact"/>
        <w:ind w:left="0" w:leftChars="0" w:firstLine="360" w:firstLineChars="200"/>
        <w:contextualSpacing/>
        <w:rPr>
          <w:rFonts w:ascii="Times New Roman" w:hAnsi="Times New Roman"/>
          <w:sz w:val="18"/>
          <w:szCs w:val="18"/>
        </w:rPr>
      </w:pPr>
      <w:r>
        <w:rPr>
          <w:rFonts w:hint="eastAsia" w:ascii="Times New Roman" w:hAnsi="Times New Roman"/>
          <w:sz w:val="18"/>
          <w:szCs w:val="18"/>
        </w:rPr>
        <w:t>（</w:t>
      </w:r>
      <w:r>
        <w:rPr>
          <w:rFonts w:ascii="Times New Roman" w:hAnsi="Times New Roman"/>
          <w:sz w:val="18"/>
          <w:szCs w:val="18"/>
        </w:rPr>
        <w:t>5</w:t>
      </w:r>
      <w:r>
        <w:rPr>
          <w:rFonts w:hint="eastAsia" w:ascii="Times New Roman" w:hAnsi="Times New Roman"/>
          <w:sz w:val="18"/>
          <w:szCs w:val="18"/>
        </w:rPr>
        <w:t>）</w:t>
      </w:r>
      <w:r>
        <w:rPr>
          <w:rFonts w:ascii="Times New Roman" w:hAnsi="Times New Roman"/>
          <w:sz w:val="18"/>
          <w:szCs w:val="18"/>
        </w:rPr>
        <w:t>2019</w:t>
      </w:r>
      <w:r>
        <w:rPr>
          <w:rFonts w:hint="eastAsia" w:ascii="Times New Roman" w:hAnsi="Times New Roman"/>
          <w:sz w:val="18"/>
          <w:szCs w:val="18"/>
        </w:rPr>
        <w:t>年度以股份支付换取职工服务的金额为</w:t>
      </w:r>
      <w:r>
        <w:rPr>
          <w:rFonts w:ascii="Times New Roman" w:hAnsi="Times New Roman"/>
          <w:sz w:val="18"/>
          <w:szCs w:val="18"/>
        </w:rPr>
        <w:t>-1,829,375.67</w:t>
      </w:r>
      <w:r>
        <w:rPr>
          <w:rFonts w:hint="eastAsia" w:ascii="Times New Roman" w:hAnsi="Times New Roman"/>
          <w:sz w:val="18"/>
          <w:szCs w:val="18"/>
        </w:rPr>
        <w:t>元，其中母公司所有者承担的金额减少其他资本公积</w:t>
      </w:r>
      <w:r>
        <w:rPr>
          <w:rFonts w:ascii="Times New Roman" w:hAnsi="Times New Roman"/>
          <w:sz w:val="18"/>
          <w:szCs w:val="18"/>
        </w:rPr>
        <w:t>1,822,067.29</w:t>
      </w:r>
      <w:r>
        <w:rPr>
          <w:rFonts w:hint="eastAsia" w:ascii="Times New Roman" w:hAnsi="Times New Roman"/>
          <w:sz w:val="18"/>
          <w:szCs w:val="18"/>
        </w:rPr>
        <w:t>元，少数股东承担的金额减少少数股东权益</w:t>
      </w:r>
      <w:r>
        <w:rPr>
          <w:rFonts w:ascii="Times New Roman" w:hAnsi="Times New Roman"/>
          <w:sz w:val="18"/>
          <w:szCs w:val="18"/>
        </w:rPr>
        <w:t>7,308.38</w:t>
      </w:r>
      <w:r>
        <w:rPr>
          <w:rFonts w:hint="eastAsia" w:ascii="Times New Roman" w:hAnsi="Times New Roman"/>
          <w:sz w:val="18"/>
          <w:szCs w:val="18"/>
        </w:rPr>
        <w:t>元。</w:t>
      </w:r>
    </w:p>
    <w:p>
      <w:pPr>
        <w:pStyle w:val="25"/>
        <w:snapToGrid/>
        <w:spacing w:line="400" w:lineRule="exact"/>
        <w:ind w:left="0" w:leftChars="0" w:firstLine="360" w:firstLineChars="200"/>
        <w:contextualSpacing/>
        <w:rPr>
          <w:rFonts w:ascii="Times New Roman" w:hAnsi="Times New Roman"/>
          <w:sz w:val="18"/>
          <w:szCs w:val="18"/>
        </w:rPr>
      </w:pPr>
      <w:r>
        <w:rPr>
          <w:rFonts w:hint="eastAsia" w:ascii="Times New Roman" w:hAnsi="Times New Roman"/>
          <w:sz w:val="18"/>
          <w:szCs w:val="18"/>
        </w:rPr>
        <w:t>（</w:t>
      </w:r>
      <w:r>
        <w:rPr>
          <w:rFonts w:ascii="Times New Roman" w:hAnsi="Times New Roman"/>
          <w:sz w:val="18"/>
          <w:szCs w:val="18"/>
        </w:rPr>
        <w:t>6</w:t>
      </w:r>
      <w:r>
        <w:rPr>
          <w:rFonts w:hint="eastAsia" w:ascii="Times New Roman" w:hAnsi="Times New Roman"/>
          <w:sz w:val="18"/>
          <w:szCs w:val="18"/>
        </w:rPr>
        <w:t>）由于公司部分股权激励解锁，增加股本溢价</w:t>
      </w:r>
      <w:r>
        <w:rPr>
          <w:rFonts w:ascii="Times New Roman" w:hAnsi="Times New Roman"/>
          <w:sz w:val="18"/>
          <w:szCs w:val="18"/>
        </w:rPr>
        <w:t>7,688,861.00</w:t>
      </w:r>
      <w:r>
        <w:rPr>
          <w:rFonts w:hint="eastAsia" w:ascii="Times New Roman" w:hAnsi="Times New Roman"/>
          <w:sz w:val="18"/>
          <w:szCs w:val="18"/>
        </w:rPr>
        <w:t>元，减少其他资本公积</w:t>
      </w:r>
      <w:r>
        <w:rPr>
          <w:rFonts w:ascii="Times New Roman" w:hAnsi="Times New Roman"/>
          <w:sz w:val="18"/>
          <w:szCs w:val="18"/>
        </w:rPr>
        <w:t>7,688,861.00</w:t>
      </w:r>
      <w:r>
        <w:rPr>
          <w:rFonts w:hint="eastAsia" w:ascii="Times New Roman" w:hAnsi="Times New Roman"/>
          <w:sz w:val="18"/>
          <w:szCs w:val="18"/>
        </w:rPr>
        <w:t>元。</w:t>
      </w:r>
    </w:p>
    <w:p>
      <w:pPr>
        <w:pStyle w:val="25"/>
        <w:snapToGrid/>
        <w:spacing w:line="400" w:lineRule="exact"/>
        <w:ind w:left="0" w:leftChars="0" w:firstLine="360" w:firstLineChars="200"/>
        <w:contextualSpacing/>
        <w:rPr>
          <w:rFonts w:ascii="Times New Roman" w:hAnsi="Times New Roman"/>
          <w:sz w:val="18"/>
          <w:szCs w:val="18"/>
        </w:rPr>
      </w:pPr>
      <w:r>
        <w:rPr>
          <w:rFonts w:hint="eastAsia" w:ascii="Times New Roman" w:hAnsi="Times New Roman"/>
          <w:sz w:val="18"/>
          <w:szCs w:val="18"/>
        </w:rPr>
        <w:t>（</w:t>
      </w:r>
      <w:r>
        <w:rPr>
          <w:rFonts w:ascii="Times New Roman" w:hAnsi="Times New Roman"/>
          <w:sz w:val="18"/>
          <w:szCs w:val="18"/>
        </w:rPr>
        <w:t>7</w:t>
      </w:r>
      <w:r>
        <w:rPr>
          <w:rFonts w:hint="eastAsia" w:ascii="Times New Roman" w:hAnsi="Times New Roman"/>
          <w:sz w:val="18"/>
          <w:szCs w:val="18"/>
        </w:rPr>
        <w:t>）本期公司处置重庆和盛医疗器械有限公司</w:t>
      </w:r>
      <w:r>
        <w:rPr>
          <w:rFonts w:ascii="Times New Roman" w:hAnsi="Times New Roman"/>
          <w:sz w:val="18"/>
          <w:szCs w:val="18"/>
        </w:rPr>
        <w:t>21%</w:t>
      </w:r>
      <w:r>
        <w:rPr>
          <w:rFonts w:hint="eastAsia" w:ascii="Times New Roman" w:hAnsi="Times New Roman"/>
          <w:sz w:val="18"/>
          <w:szCs w:val="18"/>
        </w:rPr>
        <w:t>的股权后，不再纳入合并范围，原计入资本公积累计金额本期予以转出，减少其他资本公积</w:t>
      </w:r>
      <w:r>
        <w:rPr>
          <w:rFonts w:ascii="Times New Roman" w:hAnsi="Times New Roman"/>
          <w:sz w:val="18"/>
          <w:szCs w:val="18"/>
        </w:rPr>
        <w:t>2,729,143.50</w:t>
      </w:r>
      <w:r>
        <w:rPr>
          <w:rFonts w:hint="eastAsia" w:ascii="Times New Roman" w:hAnsi="Times New Roman"/>
          <w:sz w:val="18"/>
          <w:szCs w:val="18"/>
        </w:rPr>
        <w:t>元。</w:t>
      </w:r>
    </w:p>
    <w:p>
      <w:pPr>
        <w:autoSpaceDE w:val="0"/>
        <w:autoSpaceDN w:val="0"/>
        <w:adjustRightInd w:val="0"/>
        <w:spacing w:before="0" w:after="0"/>
        <w:jc w:val="left"/>
        <w:rPr>
          <w:rFonts w:eastAsiaTheme="minorEastAsia"/>
          <w:kern w:val="0"/>
          <w:szCs w:val="24"/>
          <w:lang w:val="zh-CN"/>
        </w:rPr>
      </w:pPr>
    </w:p>
    <w:p>
      <w:pPr>
        <w:pStyle w:val="14"/>
        <w:outlineLvl w:val="2"/>
        <w:rPr>
          <w:bCs w:val="0"/>
          <w:szCs w:val="24"/>
        </w:rPr>
      </w:pPr>
      <w:r>
        <w:rPr>
          <w:bCs w:val="0"/>
          <w:szCs w:val="24"/>
        </w:rPr>
        <w:t>56</w:t>
      </w:r>
      <w:r>
        <w:rPr>
          <w:rFonts w:hint="eastAsia"/>
          <w:bCs w:val="0"/>
          <w:szCs w:val="24"/>
        </w:rPr>
        <w:t>、库存股</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2"/>
        <w:gridCol w:w="1916"/>
        <w:gridCol w:w="1914"/>
        <w:gridCol w:w="1914"/>
        <w:gridCol w:w="1914"/>
      </w:tblGrid>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本期减少</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限制性股票回购义务</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85,572,413.00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54,712,997.00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30,859,416.00</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85,572,413.00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54,712,997.00</w:t>
            </w:r>
          </w:p>
        </w:tc>
        <w:tc>
          <w:tcPr>
            <w:tcW w:w="191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30,859,416.00</w:t>
            </w:r>
          </w:p>
        </w:tc>
      </w:tr>
    </w:tbl>
    <w:p>
      <w:pPr>
        <w:jc w:val="left"/>
        <w:rPr>
          <w:szCs w:val="24"/>
        </w:rPr>
      </w:pPr>
      <w:r>
        <w:rPr>
          <w:rFonts w:hint="eastAsia"/>
          <w:szCs w:val="24"/>
        </w:rPr>
        <w:t>其他说明，包括本期增减变动情况、变动原因说明：</w:t>
      </w:r>
    </w:p>
    <w:p>
      <w:pPr>
        <w:pStyle w:val="25"/>
        <w:snapToGrid/>
        <w:spacing w:line="400" w:lineRule="exact"/>
        <w:ind w:left="0" w:leftChars="0" w:firstLine="360" w:firstLineChars="200"/>
        <w:contextualSpacing/>
        <w:rPr>
          <w:sz w:val="18"/>
          <w:szCs w:val="18"/>
        </w:rPr>
      </w:pPr>
      <w:r>
        <w:rPr>
          <w:rFonts w:hint="eastAsia" w:ascii="Times New Roman" w:hAnsi="Times New Roman"/>
          <w:sz w:val="18"/>
          <w:szCs w:val="18"/>
        </w:rPr>
        <w:t>库存股的说明：</w:t>
      </w:r>
    </w:p>
    <w:p>
      <w:pPr>
        <w:pStyle w:val="25"/>
        <w:snapToGrid/>
        <w:spacing w:line="400" w:lineRule="exact"/>
        <w:ind w:left="0" w:leftChars="0" w:firstLine="360" w:firstLineChars="200"/>
        <w:contextualSpacing/>
        <w:rPr>
          <w:sz w:val="18"/>
          <w:szCs w:val="18"/>
        </w:rPr>
      </w:pPr>
      <w:r>
        <w:rPr>
          <w:rFonts w:hint="eastAsia" w:ascii="Times New Roman" w:hAnsi="Times New Roman"/>
          <w:sz w:val="18"/>
          <w:szCs w:val="18"/>
        </w:rPr>
        <w:t>（</w:t>
      </w:r>
      <w:r>
        <w:rPr>
          <w:rFonts w:ascii="Times New Roman" w:hAnsi="Times New Roman"/>
          <w:sz w:val="18"/>
          <w:szCs w:val="18"/>
        </w:rPr>
        <w:t>1</w:t>
      </w:r>
      <w:r>
        <w:rPr>
          <w:rFonts w:hint="eastAsia" w:ascii="Times New Roman" w:hAnsi="Times New Roman"/>
          <w:sz w:val="18"/>
          <w:szCs w:val="18"/>
        </w:rPr>
        <w:t>）本期减少</w:t>
      </w:r>
      <w:r>
        <w:rPr>
          <w:rFonts w:ascii="Times New Roman" w:hAnsi="Times New Roman"/>
          <w:sz w:val="18"/>
          <w:szCs w:val="18"/>
        </w:rPr>
        <w:t>14,347,308.12</w:t>
      </w:r>
      <w:r>
        <w:rPr>
          <w:rFonts w:hint="eastAsia" w:ascii="Times New Roman" w:hAnsi="Times New Roman"/>
          <w:sz w:val="18"/>
          <w:szCs w:val="18"/>
        </w:rPr>
        <w:t>元详见本报告附注五（二十九）之说明；</w:t>
      </w:r>
    </w:p>
    <w:p>
      <w:pPr>
        <w:pStyle w:val="25"/>
        <w:snapToGrid/>
        <w:spacing w:line="400" w:lineRule="exact"/>
        <w:ind w:left="0" w:leftChars="0" w:firstLine="360" w:firstLineChars="200"/>
        <w:contextualSpacing/>
        <w:rPr>
          <w:sz w:val="18"/>
          <w:szCs w:val="18"/>
        </w:rPr>
      </w:pPr>
      <w:r>
        <w:rPr>
          <w:rFonts w:hint="eastAsia" w:ascii="Times New Roman" w:hAnsi="Times New Roman"/>
          <w:sz w:val="18"/>
          <w:szCs w:val="18"/>
        </w:rPr>
        <w:t>（</w:t>
      </w:r>
      <w:r>
        <w:rPr>
          <w:rFonts w:ascii="Times New Roman" w:hAnsi="Times New Roman"/>
          <w:sz w:val="18"/>
          <w:szCs w:val="18"/>
        </w:rPr>
        <w:t>2</w:t>
      </w:r>
      <w:r>
        <w:rPr>
          <w:rFonts w:hint="eastAsia" w:ascii="Times New Roman" w:hAnsi="Times New Roman"/>
          <w:sz w:val="18"/>
          <w:szCs w:val="18"/>
        </w:rPr>
        <w:t>）本期其他减少系限制性股票解锁所致。</w:t>
      </w:r>
    </w:p>
    <w:p>
      <w:pPr>
        <w:autoSpaceDE w:val="0"/>
        <w:autoSpaceDN w:val="0"/>
        <w:adjustRightInd w:val="0"/>
        <w:spacing w:before="0" w:after="0"/>
        <w:jc w:val="left"/>
        <w:rPr>
          <w:rFonts w:eastAsia="Times New Roman"/>
          <w:kern w:val="0"/>
          <w:szCs w:val="24"/>
          <w:lang w:val="zh-CN"/>
        </w:rPr>
      </w:pPr>
    </w:p>
    <w:p>
      <w:pPr>
        <w:pStyle w:val="14"/>
        <w:outlineLvl w:val="2"/>
        <w:rPr>
          <w:bCs w:val="0"/>
          <w:szCs w:val="24"/>
        </w:rPr>
      </w:pPr>
      <w:r>
        <w:rPr>
          <w:bCs w:val="0"/>
          <w:szCs w:val="24"/>
        </w:rPr>
        <w:t>57</w:t>
      </w:r>
      <w:r>
        <w:rPr>
          <w:rFonts w:hint="eastAsia"/>
          <w:bCs w:val="0"/>
          <w:szCs w:val="24"/>
        </w:rPr>
        <w:t>、其他综合收益</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557"/>
        <w:gridCol w:w="974"/>
        <w:gridCol w:w="852"/>
        <w:gridCol w:w="1050"/>
        <w:gridCol w:w="852"/>
        <w:gridCol w:w="852"/>
        <w:gridCol w:w="853"/>
        <w:gridCol w:w="852"/>
        <w:gridCol w:w="726"/>
      </w:tblGrid>
      <w:tr>
        <w:tblPrEx>
          <w:tblCellMar>
            <w:top w:w="0" w:type="dxa"/>
            <w:left w:w="28" w:type="dxa"/>
            <w:bottom w:w="0" w:type="dxa"/>
            <w:right w:w="28" w:type="dxa"/>
          </w:tblCellMar>
        </w:tblPrEx>
        <w:tc>
          <w:tcPr>
            <w:tcW w:w="255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97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5311" w:type="dxa"/>
            <w:gridSpan w:val="6"/>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72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255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974"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85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本期所得税前发生额</w:t>
            </w:r>
          </w:p>
        </w:tc>
        <w:tc>
          <w:tcPr>
            <w:tcW w:w="10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减：前期计入其他综合收益当期转入损益</w:t>
            </w:r>
          </w:p>
        </w:tc>
        <w:tc>
          <w:tcPr>
            <w:tcW w:w="85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减：前期计入其他综合收益当期转入留存收益</w:t>
            </w:r>
          </w:p>
        </w:tc>
        <w:tc>
          <w:tcPr>
            <w:tcW w:w="85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减：所得税费用</w:t>
            </w:r>
          </w:p>
        </w:tc>
        <w:tc>
          <w:tcPr>
            <w:tcW w:w="8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税后归属于母公司</w:t>
            </w:r>
          </w:p>
        </w:tc>
        <w:tc>
          <w:tcPr>
            <w:tcW w:w="85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税后归属于少数股东</w:t>
            </w:r>
          </w:p>
        </w:tc>
        <w:tc>
          <w:tcPr>
            <w:tcW w:w="72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255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一、不能重分类进损益的其他综合收益</w:t>
            </w:r>
          </w:p>
        </w:tc>
        <w:tc>
          <w:tcPr>
            <w:tcW w:w="9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55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其他权益工具投资公允价值变动</w:t>
            </w:r>
          </w:p>
        </w:tc>
        <w:tc>
          <w:tcPr>
            <w:tcW w:w="9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55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二、将重分类进损益的其他综合收益</w:t>
            </w:r>
          </w:p>
        </w:tc>
        <w:tc>
          <w:tcPr>
            <w:tcW w:w="9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193,149.62</w:t>
            </w: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1,822,332.91</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541,453.27</w:t>
            </w: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1,280,879.64</w:t>
            </w: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734,602.89</w:t>
            </w:r>
          </w:p>
        </w:tc>
      </w:tr>
      <w:tr>
        <w:tblPrEx>
          <w:tblCellMar>
            <w:top w:w="0" w:type="dxa"/>
            <w:left w:w="28" w:type="dxa"/>
            <w:bottom w:w="0" w:type="dxa"/>
            <w:right w:w="28" w:type="dxa"/>
          </w:tblCellMar>
        </w:tblPrEx>
        <w:tc>
          <w:tcPr>
            <w:tcW w:w="255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外币财务报表折算差额</w:t>
            </w:r>
          </w:p>
        </w:tc>
        <w:tc>
          <w:tcPr>
            <w:tcW w:w="9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193,149.62</w:t>
            </w: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1,822,332.91</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541,453.27</w:t>
            </w: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1,280,879.64</w:t>
            </w:r>
          </w:p>
        </w:tc>
        <w:tc>
          <w:tcPr>
            <w:tcW w:w="72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734,602.89</w:t>
            </w:r>
          </w:p>
        </w:tc>
      </w:tr>
      <w:tr>
        <w:tblPrEx>
          <w:tblCellMar>
            <w:top w:w="0" w:type="dxa"/>
            <w:left w:w="28" w:type="dxa"/>
            <w:bottom w:w="0" w:type="dxa"/>
            <w:right w:w="28" w:type="dxa"/>
          </w:tblCellMar>
        </w:tblPrEx>
        <w:tc>
          <w:tcPr>
            <w:tcW w:w="255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其他综合收益合计</w:t>
            </w:r>
          </w:p>
        </w:tc>
        <w:tc>
          <w:tcPr>
            <w:tcW w:w="97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193,149.62</w:t>
            </w: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1,822,332.91</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w:t>
            </w: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rFonts w:hint="eastAsia"/>
              </w:rPr>
              <w:t>5</w:t>
            </w:r>
            <w:r>
              <w:t>41,453.27</w:t>
            </w:r>
          </w:p>
        </w:tc>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1,280,879.64</w:t>
            </w:r>
          </w:p>
        </w:tc>
        <w:tc>
          <w:tcPr>
            <w:tcW w:w="726"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734,602.89</w:t>
            </w:r>
          </w:p>
        </w:tc>
      </w:tr>
    </w:tbl>
    <w:p>
      <w:pPr>
        <w:pStyle w:val="14"/>
        <w:outlineLvl w:val="2"/>
        <w:rPr>
          <w:bCs w:val="0"/>
          <w:szCs w:val="24"/>
        </w:rPr>
      </w:pPr>
      <w:r>
        <w:rPr>
          <w:bCs w:val="0"/>
          <w:szCs w:val="24"/>
        </w:rPr>
        <w:t>58</w:t>
      </w:r>
      <w:r>
        <w:rPr>
          <w:rFonts w:hint="eastAsia"/>
          <w:bCs w:val="0"/>
          <w:szCs w:val="24"/>
        </w:rPr>
        <w:t>、专项储备</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2"/>
        <w:gridCol w:w="1916"/>
        <w:gridCol w:w="1914"/>
        <w:gridCol w:w="1914"/>
        <w:gridCol w:w="1914"/>
      </w:tblGrid>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本期减少</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bl>
    <w:p>
      <w:pPr>
        <w:pStyle w:val="14"/>
        <w:outlineLvl w:val="2"/>
        <w:rPr>
          <w:bCs w:val="0"/>
          <w:szCs w:val="24"/>
        </w:rPr>
      </w:pPr>
      <w:r>
        <w:rPr>
          <w:bCs w:val="0"/>
          <w:szCs w:val="24"/>
        </w:rPr>
        <w:t>59</w:t>
      </w:r>
      <w:r>
        <w:rPr>
          <w:rFonts w:hint="eastAsia"/>
          <w:bCs w:val="0"/>
          <w:szCs w:val="24"/>
        </w:rPr>
        <w:t>、盈余公积</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2"/>
        <w:gridCol w:w="1916"/>
        <w:gridCol w:w="1914"/>
        <w:gridCol w:w="1914"/>
        <w:gridCol w:w="1914"/>
      </w:tblGrid>
      <w:tr>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本期增加</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本期减少</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法定盈余公积</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119,009,437.30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2,171,584.14</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121,181,021.44</w:t>
            </w:r>
          </w:p>
        </w:tc>
      </w:tr>
      <w:tr>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119,009,437.30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2,171,584.14</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121,181,021.44</w:t>
            </w:r>
          </w:p>
        </w:tc>
      </w:tr>
    </w:tbl>
    <w:p>
      <w:pPr>
        <w:jc w:val="left"/>
        <w:rPr>
          <w:szCs w:val="24"/>
        </w:rPr>
      </w:pPr>
      <w:r>
        <w:rPr>
          <w:rFonts w:hint="eastAsia"/>
          <w:szCs w:val="24"/>
        </w:rPr>
        <w:t>盈余公积说明，包括本期增减变动情况、变动原因说明：</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）母公司本期亏损，不计提法定盈余公积；（</w:t>
      </w:r>
      <w:r>
        <w:rPr>
          <w:rFonts w:eastAsia="Times New Roman"/>
          <w:kern w:val="0"/>
          <w:lang w:val="zh-CN"/>
        </w:rPr>
        <w:t>2</w:t>
      </w:r>
      <w:r>
        <w:rPr>
          <w:rFonts w:hint="eastAsia" w:ascii="宋体" w:hAnsi="宋体" w:cs="宋体"/>
          <w:kern w:val="0"/>
          <w:lang w:val="zh-CN"/>
        </w:rPr>
        <w:t>）本期变动系公司处置原子公司重庆和盛医疗器械有限公司和美康生物科技（舟山）有限公司的部分股权，由成本法改按权益法核算，并对该剩余股权视同自取得时即采用权益法核算进行的调整。</w:t>
      </w:r>
    </w:p>
    <w:p>
      <w:pPr>
        <w:autoSpaceDE w:val="0"/>
        <w:autoSpaceDN w:val="0"/>
        <w:adjustRightInd w:val="0"/>
        <w:spacing w:before="0" w:after="0"/>
        <w:jc w:val="left"/>
        <w:rPr>
          <w:rFonts w:eastAsia="Times New Roman"/>
          <w:kern w:val="0"/>
          <w:szCs w:val="24"/>
          <w:lang w:val="zh-CN"/>
        </w:rPr>
      </w:pPr>
    </w:p>
    <w:p>
      <w:pPr>
        <w:pStyle w:val="14"/>
        <w:outlineLvl w:val="2"/>
        <w:rPr>
          <w:bCs w:val="0"/>
          <w:szCs w:val="24"/>
        </w:rPr>
      </w:pPr>
      <w:r>
        <w:rPr>
          <w:bCs w:val="0"/>
          <w:szCs w:val="24"/>
        </w:rPr>
        <w:t>60</w:t>
      </w:r>
      <w:r>
        <w:rPr>
          <w:rFonts w:hint="eastAsia"/>
          <w:bCs w:val="0"/>
          <w:szCs w:val="24"/>
        </w:rPr>
        <w:t>、未分配利润</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725"/>
        <w:gridCol w:w="2924"/>
        <w:gridCol w:w="2918"/>
      </w:tblGrid>
      <w:tr>
        <w:tc>
          <w:tcPr>
            <w:tcW w:w="372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292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w:t>
            </w:r>
          </w:p>
        </w:tc>
        <w:tc>
          <w:tcPr>
            <w:tcW w:w="291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w:t>
            </w:r>
          </w:p>
        </w:tc>
      </w:tr>
      <w:tr>
        <w:tc>
          <w:tcPr>
            <w:tcW w:w="372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调整前上期末未分配利润</w:t>
            </w:r>
          </w:p>
        </w:tc>
        <w:tc>
          <w:tcPr>
            <w:tcW w:w="292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918,195,494.69</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741,798,133.74</w:t>
            </w:r>
          </w:p>
        </w:tc>
      </w:tr>
      <w:tr>
        <w:tc>
          <w:tcPr>
            <w:tcW w:w="372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调整后期初未分配利润</w:t>
            </w:r>
          </w:p>
        </w:tc>
        <w:tc>
          <w:tcPr>
            <w:tcW w:w="292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918,195,494.69</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741,798,133.74</w:t>
            </w:r>
          </w:p>
        </w:tc>
      </w:tr>
      <w:tr>
        <w:tc>
          <w:tcPr>
            <w:tcW w:w="372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加：本期归属于母公司所有者的净利润</w:t>
            </w:r>
          </w:p>
        </w:tc>
        <w:tc>
          <w:tcPr>
            <w:tcW w:w="292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-559</w:t>
            </w:r>
            <w:r>
              <w:rPr>
                <w:rFonts w:hint="eastAsia"/>
                <w:szCs w:val="24"/>
              </w:rPr>
              <w:t>,9</w:t>
            </w:r>
            <w:r>
              <w:rPr>
                <w:szCs w:val="24"/>
              </w:rPr>
              <w:t>12</w:t>
            </w:r>
            <w:r>
              <w:rPr>
                <w:rFonts w:hint="eastAsia"/>
                <w:szCs w:val="24"/>
              </w:rPr>
              <w:t>,1</w:t>
            </w:r>
            <w:r>
              <w:rPr>
                <w:szCs w:val="24"/>
              </w:rPr>
              <w:t>83.23</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241,172,082.63</w:t>
            </w:r>
          </w:p>
        </w:tc>
      </w:tr>
      <w:tr>
        <w:tc>
          <w:tcPr>
            <w:tcW w:w="372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减：提取法定盈余公积</w:t>
            </w:r>
          </w:p>
        </w:tc>
        <w:tc>
          <w:tcPr>
            <w:tcW w:w="292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21,417,663.29</w:t>
            </w:r>
          </w:p>
        </w:tc>
      </w:tr>
      <w:tr>
        <w:tc>
          <w:tcPr>
            <w:tcW w:w="372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应付普通股股利</w:t>
            </w:r>
          </w:p>
        </w:tc>
        <w:tc>
          <w:tcPr>
            <w:tcW w:w="292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50,214,282.54</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43,357,058.39</w:t>
            </w:r>
          </w:p>
        </w:tc>
      </w:tr>
      <w:tr>
        <w:tc>
          <w:tcPr>
            <w:tcW w:w="372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 xml:space="preserve">      </w:t>
            </w:r>
            <w:r>
              <w:rPr>
                <w:rFonts w:hint="eastAsia"/>
                <w:szCs w:val="24"/>
              </w:rPr>
              <w:t>其他</w:t>
            </w:r>
          </w:p>
        </w:tc>
        <w:tc>
          <w:tcPr>
            <w:tcW w:w="292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2,171,584.14</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372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其他综合收益转入</w:t>
            </w:r>
          </w:p>
        </w:tc>
        <w:tc>
          <w:tcPr>
            <w:tcW w:w="292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300,000.00</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372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期末未分配利润</w:t>
            </w:r>
          </w:p>
        </w:tc>
        <w:tc>
          <w:tcPr>
            <w:tcW w:w="292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305,597,444.78</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918,195,494.69</w:t>
            </w:r>
          </w:p>
        </w:tc>
      </w:tr>
    </w:tbl>
    <w:p>
      <w:pPr>
        <w:jc w:val="left"/>
        <w:rPr>
          <w:szCs w:val="24"/>
        </w:rPr>
      </w:pPr>
      <w:r>
        <w:rPr>
          <w:rFonts w:hint="eastAsia"/>
          <w:szCs w:val="24"/>
        </w:rPr>
        <w:t>调整期初未分配利润明细：</w:t>
      </w:r>
    </w:p>
    <w:p>
      <w:pPr>
        <w:jc w:val="left"/>
        <w:rPr>
          <w:szCs w:val="24"/>
        </w:rPr>
      </w:pPr>
      <w:r>
        <w:rPr>
          <w:szCs w:val="24"/>
        </w:rPr>
        <w:t>1)</w:t>
      </w:r>
      <w:r>
        <w:rPr>
          <w:rFonts w:hint="eastAsia"/>
          <w:szCs w:val="24"/>
        </w:rPr>
        <w:t>、由于《企业会计准则》及其相关新规定进行追溯调整，影响期初未分配利润</w:t>
      </w:r>
      <w:r>
        <w:rPr>
          <w:szCs w:val="24"/>
        </w:rPr>
        <w:t>0.00</w:t>
      </w:r>
      <w:r>
        <w:rPr>
          <w:rFonts w:hint="eastAsia"/>
          <w:szCs w:val="24"/>
        </w:rPr>
        <w:t>元。</w:t>
      </w:r>
    </w:p>
    <w:p>
      <w:pPr>
        <w:jc w:val="left"/>
        <w:rPr>
          <w:szCs w:val="24"/>
        </w:rPr>
      </w:pPr>
      <w:r>
        <w:rPr>
          <w:szCs w:val="24"/>
        </w:rPr>
        <w:t>2)</w:t>
      </w:r>
      <w:r>
        <w:rPr>
          <w:rFonts w:hint="eastAsia"/>
          <w:szCs w:val="24"/>
        </w:rPr>
        <w:t>、由于会计政策变更，影响期初未分配利润</w:t>
      </w:r>
      <w:r>
        <w:rPr>
          <w:szCs w:val="24"/>
        </w:rPr>
        <w:t>0.00</w:t>
      </w:r>
      <w:r>
        <w:rPr>
          <w:rFonts w:hint="eastAsia"/>
          <w:szCs w:val="24"/>
        </w:rPr>
        <w:t>元。</w:t>
      </w:r>
    </w:p>
    <w:p>
      <w:pPr>
        <w:jc w:val="left"/>
        <w:rPr>
          <w:szCs w:val="24"/>
        </w:rPr>
      </w:pPr>
      <w:r>
        <w:rPr>
          <w:szCs w:val="24"/>
        </w:rPr>
        <w:t>3)</w:t>
      </w:r>
      <w:r>
        <w:rPr>
          <w:rFonts w:hint="eastAsia"/>
          <w:szCs w:val="24"/>
        </w:rPr>
        <w:t>、由于重大会计差错更正，影响期初未分配利润</w:t>
      </w:r>
      <w:r>
        <w:rPr>
          <w:szCs w:val="24"/>
        </w:rPr>
        <w:t>0.00</w:t>
      </w:r>
      <w:r>
        <w:rPr>
          <w:rFonts w:hint="eastAsia"/>
          <w:szCs w:val="24"/>
        </w:rPr>
        <w:t>元。</w:t>
      </w:r>
    </w:p>
    <w:p>
      <w:pPr>
        <w:jc w:val="left"/>
        <w:rPr>
          <w:szCs w:val="24"/>
        </w:rPr>
      </w:pPr>
      <w:r>
        <w:rPr>
          <w:szCs w:val="24"/>
        </w:rPr>
        <w:t>4)</w:t>
      </w:r>
      <w:r>
        <w:rPr>
          <w:rFonts w:hint="eastAsia"/>
          <w:szCs w:val="24"/>
        </w:rPr>
        <w:t>、由于同一控制导致的合并范围变更，影响期初未分配利润</w:t>
      </w:r>
      <w:r>
        <w:rPr>
          <w:szCs w:val="24"/>
        </w:rPr>
        <w:t>0.00</w:t>
      </w:r>
      <w:r>
        <w:rPr>
          <w:rFonts w:hint="eastAsia"/>
          <w:szCs w:val="24"/>
        </w:rPr>
        <w:t>元。</w:t>
      </w:r>
    </w:p>
    <w:p>
      <w:pPr>
        <w:jc w:val="left"/>
        <w:rPr>
          <w:szCs w:val="24"/>
        </w:rPr>
      </w:pPr>
      <w:r>
        <w:rPr>
          <w:szCs w:val="24"/>
        </w:rPr>
        <w:t>5)</w:t>
      </w:r>
      <w:r>
        <w:rPr>
          <w:rFonts w:hint="eastAsia"/>
          <w:szCs w:val="24"/>
        </w:rPr>
        <w:t>、其他调整合计影响期初未分配利润</w:t>
      </w:r>
      <w:r>
        <w:rPr>
          <w:szCs w:val="24"/>
        </w:rPr>
        <w:t>0.00</w:t>
      </w:r>
      <w:r>
        <w:rPr>
          <w:rFonts w:hint="eastAsia"/>
          <w:szCs w:val="24"/>
        </w:rPr>
        <w:t>元。</w:t>
      </w:r>
    </w:p>
    <w:p>
      <w:pPr>
        <w:pStyle w:val="14"/>
        <w:outlineLvl w:val="2"/>
        <w:rPr>
          <w:bCs w:val="0"/>
          <w:szCs w:val="24"/>
        </w:rPr>
      </w:pPr>
      <w:r>
        <w:rPr>
          <w:bCs w:val="0"/>
          <w:szCs w:val="24"/>
        </w:rPr>
        <w:t>61</w:t>
      </w:r>
      <w:r>
        <w:rPr>
          <w:rFonts w:hint="eastAsia"/>
          <w:bCs w:val="0"/>
          <w:szCs w:val="24"/>
        </w:rPr>
        <w:t>、营业收入和营业成本</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2"/>
        <w:gridCol w:w="1916"/>
        <w:gridCol w:w="1914"/>
        <w:gridCol w:w="1914"/>
        <w:gridCol w:w="1914"/>
      </w:tblGrid>
      <w:tr>
        <w:tc>
          <w:tcPr>
            <w:tcW w:w="191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830"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82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191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收入</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成本</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收入</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成本</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主营业务</w:t>
            </w:r>
          </w:p>
        </w:tc>
        <w:tc>
          <w:tcPr>
            <w:tcW w:w="1916"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3,080,967,799.81</w:t>
            </w:r>
          </w:p>
        </w:tc>
        <w:tc>
          <w:tcPr>
            <w:tcW w:w="1914"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2,028,111,813.63</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3,089,719,147.22</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2,022,088,254.43</w:t>
            </w:r>
          </w:p>
        </w:tc>
      </w:tr>
      <w:tr>
        <w:tblPrEx>
          <w:tblCellMar>
            <w:top w:w="0" w:type="dxa"/>
            <w:left w:w="28" w:type="dxa"/>
            <w:bottom w:w="0" w:type="dxa"/>
            <w:right w:w="28" w:type="dxa"/>
          </w:tblCellMar>
        </w:tblPrEx>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其他业务</w:t>
            </w:r>
          </w:p>
        </w:tc>
        <w:tc>
          <w:tcPr>
            <w:tcW w:w="1916"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52,479,897.46</w:t>
            </w:r>
          </w:p>
        </w:tc>
        <w:tc>
          <w:tcPr>
            <w:tcW w:w="1914"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27,766,973.75</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45,403,772.60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17,677,195.28</w:t>
            </w:r>
          </w:p>
        </w:tc>
      </w:tr>
      <w:tr>
        <w:tc>
          <w:tcPr>
            <w:tcW w:w="191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3,133,447,697.27</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2,055,878,787.38</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3,135,122,919.82</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2,039,765,449.71</w:t>
            </w:r>
          </w:p>
        </w:tc>
      </w:tr>
    </w:tbl>
    <w:p>
      <w:pPr>
        <w:jc w:val="left"/>
        <w:rPr>
          <w:szCs w:val="24"/>
        </w:rPr>
      </w:pPr>
      <w:r>
        <w:rPr>
          <w:rFonts w:hint="eastAsia"/>
          <w:szCs w:val="24"/>
        </w:rPr>
        <w:t>是否已执行新收入准则</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jc w:val="left"/>
        <w:rPr>
          <w:szCs w:val="24"/>
        </w:rPr>
      </w:pPr>
      <w:r>
        <w:rPr>
          <w:rFonts w:hint="eastAsia"/>
          <w:szCs w:val="24"/>
        </w:rPr>
        <w:t>其他说明</w:t>
      </w:r>
    </w:p>
    <w:p>
      <w:pPr>
        <w:pStyle w:val="14"/>
        <w:outlineLvl w:val="2"/>
        <w:rPr>
          <w:bCs w:val="0"/>
          <w:szCs w:val="24"/>
        </w:rPr>
      </w:pPr>
      <w:r>
        <w:rPr>
          <w:bCs w:val="0"/>
          <w:szCs w:val="24"/>
        </w:rPr>
        <w:t>62</w:t>
      </w:r>
      <w:r>
        <w:rPr>
          <w:rFonts w:hint="eastAsia"/>
          <w:bCs w:val="0"/>
          <w:szCs w:val="24"/>
        </w:rPr>
        <w:t>、税金及附加</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城市维护建设税</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6,688,825.49</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8,799,366.66</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教育费附加</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4,738,925.23</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6,358,510.78</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房产税</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224,258.73</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224,258.75</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土地使用税</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502,484.70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393,957.40</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印花税</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1,549,868.27</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1,309,240.30</w:t>
            </w:r>
          </w:p>
        </w:tc>
      </w:tr>
      <w:tr>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676,859.84</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479,531.69</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14,381,222.26</w:t>
            </w:r>
          </w:p>
        </w:tc>
        <w:tc>
          <w:tcPr>
            <w:tcW w:w="3189"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17,564,865.58</w:t>
            </w:r>
          </w:p>
        </w:tc>
      </w:tr>
    </w:tbl>
    <w:p>
      <w:pPr>
        <w:pStyle w:val="14"/>
        <w:outlineLvl w:val="2"/>
        <w:rPr>
          <w:bCs w:val="0"/>
          <w:szCs w:val="24"/>
        </w:rPr>
      </w:pPr>
      <w:r>
        <w:rPr>
          <w:bCs w:val="0"/>
          <w:szCs w:val="24"/>
        </w:rPr>
        <w:t>63</w:t>
      </w:r>
      <w:r>
        <w:rPr>
          <w:rFonts w:hint="eastAsia"/>
          <w:bCs w:val="0"/>
          <w:szCs w:val="24"/>
        </w:rPr>
        <w:t>、销售费用</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职工薪酬</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152,550,665.14</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123,944,173.80</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会务及服务费</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49,993,936.32</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51,404,782.45</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维修费</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41,531,591.12</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24,896,106.45</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业务招待费</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32,573,771.45</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26,289,618.57</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差旅费</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23,653,506.41</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24,044,329.78</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运输费</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20,624,120.64</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20,327,493.55</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广告宣传费</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8,054,885.64</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9,993,353.18</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汽车费用</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5,808,946.38</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8,178,532.33</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办公费</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5,225,836.47</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5,412,238.66</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24,508,746.34</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21,363,382.78</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tcPr>
          <w:p>
            <w:pPr>
              <w:jc w:val="right"/>
              <w:rPr>
                <w:szCs w:val="24"/>
              </w:rPr>
            </w:pPr>
            <w:r>
              <w:fldChar w:fldCharType="begin"/>
            </w:r>
            <w:r>
              <w:instrText xml:space="preserve"> =SUM(ABOVE) \# "#,##0.00" </w:instrText>
            </w:r>
            <w:r>
              <w:fldChar w:fldCharType="separate"/>
            </w:r>
            <w:r>
              <w:t>364,526,005.91</w:t>
            </w:r>
            <w:r>
              <w:fldChar w:fldCharType="end"/>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315,854,011.55</w:t>
            </w:r>
          </w:p>
        </w:tc>
      </w:tr>
    </w:tbl>
    <w:p>
      <w:pPr>
        <w:pStyle w:val="14"/>
        <w:outlineLvl w:val="2"/>
        <w:rPr>
          <w:bCs w:val="0"/>
          <w:szCs w:val="24"/>
        </w:rPr>
      </w:pPr>
      <w:r>
        <w:rPr>
          <w:bCs w:val="0"/>
          <w:szCs w:val="24"/>
        </w:rPr>
        <w:t>64</w:t>
      </w:r>
      <w:r>
        <w:rPr>
          <w:rFonts w:hint="eastAsia"/>
          <w:bCs w:val="0"/>
          <w:szCs w:val="24"/>
        </w:rPr>
        <w:t>、管理费用</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职工薪酬</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78,863,695.02</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85,444,104.79</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折旧与摊销</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49,332,775.23</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41,930,061.28</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中介服务费</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25,508,204.74</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15,184,499.72</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租赁费</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13,929,951.07</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16,685,391.63</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业务招待费</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10,615,946.65</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11,634,944.65</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办公费</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6,984,457.48</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9,518,370.77</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汽车费用</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4,623,750.85</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4,273,907.67</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差旅费</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4,318,623.25</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5,733,957.32</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 24,716,328.65 </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34,912,449.70</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r>
              <w:fldChar w:fldCharType="begin"/>
            </w:r>
            <w:r>
              <w:instrText xml:space="preserve"> =SUM(ABOVE) \# "#,##0.00" </w:instrText>
            </w:r>
            <w:r>
              <w:fldChar w:fldCharType="separate"/>
            </w:r>
            <w:r>
              <w:t>218,893,732.94</w:t>
            </w:r>
            <w:r>
              <w:fldChar w:fldCharType="end"/>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225,317,687.53</w:t>
            </w:r>
          </w:p>
        </w:tc>
      </w:tr>
    </w:tbl>
    <w:p>
      <w:pPr>
        <w:pStyle w:val="14"/>
        <w:outlineLvl w:val="2"/>
        <w:rPr>
          <w:bCs w:val="0"/>
          <w:szCs w:val="24"/>
        </w:rPr>
      </w:pPr>
      <w:r>
        <w:rPr>
          <w:bCs w:val="0"/>
          <w:szCs w:val="24"/>
        </w:rPr>
        <w:t>65</w:t>
      </w:r>
      <w:r>
        <w:rPr>
          <w:rFonts w:hint="eastAsia"/>
          <w:bCs w:val="0"/>
          <w:szCs w:val="24"/>
        </w:rPr>
        <w:t>、研发费用</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职工薪酬</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64,225,863.98</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63,238,797.09</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物料消耗</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47,171,859.30</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36,572,833.63</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折旧与摊销</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8,268,777.53</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6,687,320.45</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c>
          <w:tcPr>
            <w:tcW w:w="319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8,593,649.99</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3,141,394.86</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tcPr>
          <w:p>
            <w:pPr>
              <w:jc w:val="right"/>
              <w:rPr>
                <w:szCs w:val="24"/>
              </w:rPr>
            </w:pPr>
            <w:r>
              <w:fldChar w:fldCharType="begin"/>
            </w:r>
            <w:r>
              <w:instrText xml:space="preserve"> =SUM(ABOVE) \# "#,##0.00" </w:instrText>
            </w:r>
            <w:r>
              <w:fldChar w:fldCharType="separate"/>
            </w:r>
            <w:r>
              <w:t>128,260,150.80</w:t>
            </w:r>
            <w:r>
              <w:fldChar w:fldCharType="end"/>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109,640,346.03</w:t>
            </w:r>
          </w:p>
        </w:tc>
      </w:tr>
    </w:tbl>
    <w:p>
      <w:pPr>
        <w:pStyle w:val="14"/>
        <w:outlineLvl w:val="2"/>
        <w:rPr>
          <w:bCs w:val="0"/>
          <w:szCs w:val="24"/>
        </w:rPr>
      </w:pPr>
      <w:r>
        <w:rPr>
          <w:bCs w:val="0"/>
          <w:szCs w:val="24"/>
        </w:rPr>
        <w:t>66</w:t>
      </w:r>
      <w:r>
        <w:rPr>
          <w:rFonts w:hint="eastAsia"/>
          <w:bCs w:val="0"/>
          <w:szCs w:val="24"/>
        </w:rPr>
        <w:t>、财务费用</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利息费用</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81,401,606.23</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84,176,816.76</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减：利息收入</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1,903,911.74</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2,022,025.61</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汇兑损益</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-843,587.26</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22,883.48</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634,028.13</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520,711.38</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79,288,135.36</w:t>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82,698,386.01</w:t>
            </w:r>
          </w:p>
        </w:tc>
      </w:tr>
    </w:tbl>
    <w:p>
      <w:pPr>
        <w:pStyle w:val="14"/>
        <w:outlineLvl w:val="2"/>
        <w:rPr>
          <w:bCs w:val="0"/>
          <w:szCs w:val="24"/>
        </w:rPr>
      </w:pPr>
      <w:r>
        <w:rPr>
          <w:bCs w:val="0"/>
          <w:szCs w:val="24"/>
        </w:rPr>
        <w:t>67</w:t>
      </w:r>
      <w:r>
        <w:rPr>
          <w:rFonts w:hint="eastAsia"/>
          <w:bCs w:val="0"/>
          <w:szCs w:val="24"/>
        </w:rPr>
        <w:t>、其他收益</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产生其他收益的来源</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政府补助</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26,438,238.39</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26,774,540.96</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代扣个人所得税手续费</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219,174.50</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872,595.41</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债务重组损益</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-1,136,657.97</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25,520,754.92</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27,647,136.37</w:t>
            </w:r>
          </w:p>
        </w:tc>
      </w:tr>
    </w:tbl>
    <w:p>
      <w:pPr>
        <w:pStyle w:val="14"/>
        <w:outlineLvl w:val="2"/>
        <w:rPr>
          <w:bCs w:val="0"/>
          <w:szCs w:val="24"/>
        </w:rPr>
      </w:pPr>
      <w:r>
        <w:rPr>
          <w:bCs w:val="0"/>
          <w:szCs w:val="24"/>
        </w:rPr>
        <w:t>68</w:t>
      </w:r>
      <w:r>
        <w:rPr>
          <w:rFonts w:hint="eastAsia"/>
          <w:bCs w:val="0"/>
          <w:szCs w:val="24"/>
        </w:rPr>
        <w:t>、投资收益</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460"/>
        <w:gridCol w:w="3190"/>
        <w:gridCol w:w="2918"/>
      </w:tblGrid>
      <w:tr>
        <w:tblPrEx>
          <w:tblCellMar>
            <w:top w:w="0" w:type="dxa"/>
            <w:left w:w="28" w:type="dxa"/>
            <w:bottom w:w="0" w:type="dxa"/>
            <w:right w:w="28" w:type="dxa"/>
          </w:tblCellMar>
        </w:tblPrEx>
        <w:tc>
          <w:tcPr>
            <w:tcW w:w="346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291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46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权益法核算的长期股权投资收益</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15,554,108.81</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2,441,102.84</w:t>
            </w:r>
          </w:p>
        </w:tc>
      </w:tr>
      <w:tr>
        <w:tblPrEx>
          <w:tblCellMar>
            <w:top w:w="0" w:type="dxa"/>
            <w:left w:w="28" w:type="dxa"/>
            <w:bottom w:w="0" w:type="dxa"/>
            <w:right w:w="28" w:type="dxa"/>
          </w:tblCellMar>
        </w:tblPrEx>
        <w:tc>
          <w:tcPr>
            <w:tcW w:w="346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处置长期股权投资产生的投资收益</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12,588,859.20</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378,992.45</w:t>
            </w:r>
          </w:p>
        </w:tc>
      </w:tr>
      <w:tr>
        <w:tblPrEx>
          <w:tblCellMar>
            <w:top w:w="0" w:type="dxa"/>
            <w:left w:w="28" w:type="dxa"/>
            <w:bottom w:w="0" w:type="dxa"/>
            <w:right w:w="28" w:type="dxa"/>
          </w:tblCellMar>
        </w:tblPrEx>
        <w:tc>
          <w:tcPr>
            <w:tcW w:w="346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处置其他非流动金融资产取得的投资收益</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346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理财产品投资收益</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3,073,276.68</w:t>
            </w:r>
          </w:p>
        </w:tc>
        <w:tc>
          <w:tcPr>
            <w:tcW w:w="291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7,656,110.60</w:t>
            </w:r>
          </w:p>
        </w:tc>
      </w:tr>
      <w:tr>
        <w:tblPrEx>
          <w:tblCellMar>
            <w:top w:w="0" w:type="dxa"/>
            <w:left w:w="28" w:type="dxa"/>
            <w:bottom w:w="0" w:type="dxa"/>
            <w:right w:w="28" w:type="dxa"/>
          </w:tblCellMar>
        </w:tblPrEx>
        <w:tc>
          <w:tcPr>
            <w:tcW w:w="346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31,216,244.69</w:t>
            </w:r>
          </w:p>
        </w:tc>
        <w:tc>
          <w:tcPr>
            <w:tcW w:w="2918"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10,476,205.89</w:t>
            </w:r>
          </w:p>
        </w:tc>
      </w:tr>
    </w:tbl>
    <w:p>
      <w:pPr>
        <w:pStyle w:val="14"/>
        <w:outlineLvl w:val="2"/>
        <w:rPr>
          <w:bCs w:val="0"/>
          <w:szCs w:val="24"/>
        </w:rPr>
      </w:pPr>
      <w:r>
        <w:rPr>
          <w:bCs w:val="0"/>
          <w:szCs w:val="24"/>
        </w:rPr>
        <w:t>69</w:t>
      </w:r>
      <w:r>
        <w:rPr>
          <w:rFonts w:hint="eastAsia"/>
          <w:bCs w:val="0"/>
          <w:szCs w:val="24"/>
        </w:rPr>
        <w:t>、净敞口套期收益</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bl>
    <w:p>
      <w:pPr>
        <w:pStyle w:val="14"/>
        <w:outlineLvl w:val="2"/>
        <w:rPr>
          <w:bCs w:val="0"/>
          <w:szCs w:val="24"/>
        </w:rPr>
      </w:pPr>
      <w:r>
        <w:rPr>
          <w:bCs w:val="0"/>
          <w:szCs w:val="24"/>
        </w:rPr>
        <w:t>70</w:t>
      </w:r>
      <w:r>
        <w:rPr>
          <w:rFonts w:hint="eastAsia"/>
          <w:bCs w:val="0"/>
          <w:szCs w:val="24"/>
        </w:rPr>
        <w:t>、公允价值变动收益</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产生公允价值变动收益的来源</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bl>
    <w:p>
      <w:pPr>
        <w:pStyle w:val="14"/>
        <w:outlineLvl w:val="2"/>
        <w:rPr>
          <w:bCs w:val="0"/>
          <w:szCs w:val="24"/>
        </w:rPr>
      </w:pPr>
      <w:r>
        <w:rPr>
          <w:bCs w:val="0"/>
          <w:szCs w:val="24"/>
        </w:rPr>
        <w:t>71</w:t>
      </w:r>
      <w:r>
        <w:rPr>
          <w:rFonts w:hint="eastAsia"/>
          <w:bCs w:val="0"/>
          <w:szCs w:val="24"/>
        </w:rPr>
        <w:t>、信用减值损失</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其他应收款坏账损失</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-39,328,940.73</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应收账款坏账损失</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-29,817,744.86</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应收款项融资减值损失</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25,000.00</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-69,121,685.59</w:t>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p>
        </w:tc>
      </w:tr>
    </w:tbl>
    <w:p>
      <w:pPr>
        <w:pStyle w:val="14"/>
        <w:outlineLvl w:val="2"/>
        <w:rPr>
          <w:bCs w:val="0"/>
          <w:szCs w:val="24"/>
        </w:rPr>
      </w:pPr>
      <w:r>
        <w:rPr>
          <w:bCs w:val="0"/>
          <w:szCs w:val="24"/>
        </w:rPr>
        <w:t>72</w:t>
      </w:r>
      <w:r>
        <w:rPr>
          <w:rFonts w:hint="eastAsia"/>
          <w:bCs w:val="0"/>
          <w:szCs w:val="24"/>
        </w:rPr>
        <w:t>、资产减值损失</w:t>
      </w:r>
    </w:p>
    <w:p>
      <w:pPr>
        <w:jc w:val="left"/>
        <w:rPr>
          <w:szCs w:val="24"/>
        </w:rPr>
      </w:pPr>
      <w:r>
        <w:rPr>
          <w:rFonts w:hint="eastAsia"/>
          <w:szCs w:val="24"/>
        </w:rPr>
        <w:t>是否已执行新收入准则</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一、坏账损失</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-27,296,861.52</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二、存货跌价损失</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-1,296,355.15</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-344,716.90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五、长期股权投资减值损失</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-5,306,297.97</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十二、无形资产减值损失</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-28,662,902.05</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十三、商誉减值损失</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-747,713,843.61</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-14,265,971.33</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-782,979,398.78</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-41,907,549.75</w:t>
            </w:r>
          </w:p>
        </w:tc>
      </w:tr>
    </w:tbl>
    <w:p>
      <w:pPr>
        <w:pStyle w:val="14"/>
        <w:outlineLvl w:val="2"/>
        <w:rPr>
          <w:bCs w:val="0"/>
          <w:szCs w:val="24"/>
        </w:rPr>
      </w:pPr>
      <w:r>
        <w:rPr>
          <w:bCs w:val="0"/>
          <w:szCs w:val="24"/>
        </w:rPr>
        <w:t>73</w:t>
      </w:r>
      <w:r>
        <w:rPr>
          <w:rFonts w:hint="eastAsia"/>
          <w:bCs w:val="0"/>
          <w:szCs w:val="24"/>
        </w:rPr>
        <w:t>、资产处置收益</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资产处置收益的来源</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非流动资产处置损益</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-2,284,784.78</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1,213,933.82</w:t>
            </w:r>
          </w:p>
        </w:tc>
      </w:tr>
      <w:tr>
        <w:tblPrEx>
          <w:tblCellMar>
            <w:top w:w="0" w:type="dxa"/>
            <w:left w:w="28" w:type="dxa"/>
            <w:bottom w:w="0" w:type="dxa"/>
            <w:right w:w="28" w:type="dxa"/>
          </w:tblCellMar>
        </w:tblPrEx>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-2,284,784.78</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1,213,933.82</w:t>
            </w:r>
          </w:p>
        </w:tc>
      </w:tr>
    </w:tbl>
    <w:p>
      <w:pPr>
        <w:pStyle w:val="14"/>
        <w:outlineLvl w:val="2"/>
        <w:rPr>
          <w:bCs w:val="0"/>
          <w:szCs w:val="24"/>
        </w:rPr>
      </w:pPr>
      <w:r>
        <w:rPr>
          <w:bCs w:val="0"/>
          <w:szCs w:val="24"/>
        </w:rPr>
        <w:t>74</w:t>
      </w:r>
      <w:r>
        <w:rPr>
          <w:rFonts w:hint="eastAsia"/>
          <w:bCs w:val="0"/>
          <w:szCs w:val="24"/>
        </w:rPr>
        <w:t>、营业外收入</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89"/>
        <w:gridCol w:w="2395"/>
        <w:gridCol w:w="2392"/>
        <w:gridCol w:w="2392"/>
      </w:tblGrid>
      <w:tr>
        <w:tc>
          <w:tcPr>
            <w:tcW w:w="23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239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计入当期非经常性损益的金额</w:t>
            </w:r>
          </w:p>
        </w:tc>
      </w:tr>
      <w:tr>
        <w:tc>
          <w:tcPr>
            <w:tcW w:w="23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索赔所得</w:t>
            </w:r>
          </w:p>
        </w:tc>
        <w:tc>
          <w:tcPr>
            <w:tcW w:w="23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1,201,027.37</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1,201,027.37</w:t>
            </w:r>
          </w:p>
        </w:tc>
      </w:tr>
      <w:tr>
        <w:tc>
          <w:tcPr>
            <w:tcW w:w="23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c>
          <w:tcPr>
            <w:tcW w:w="23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1,116,372.31</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226,988.10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1,116,372.31</w:t>
            </w:r>
          </w:p>
        </w:tc>
      </w:tr>
      <w:tr>
        <w:tc>
          <w:tcPr>
            <w:tcW w:w="23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2395"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2,317,399.68</w:t>
            </w:r>
          </w:p>
        </w:tc>
        <w:tc>
          <w:tcPr>
            <w:tcW w:w="239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226,988.10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2,317,399.68</w:t>
            </w:r>
          </w:p>
        </w:tc>
      </w:tr>
    </w:tbl>
    <w:p>
      <w:pPr>
        <w:jc w:val="left"/>
        <w:rPr>
          <w:szCs w:val="24"/>
        </w:rPr>
      </w:pPr>
      <w:r>
        <w:rPr>
          <w:rFonts w:hint="eastAsia"/>
          <w:szCs w:val="24"/>
        </w:rPr>
        <w:t>计入当期损益的政府补助：</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065"/>
        <w:gridCol w:w="1063"/>
        <w:gridCol w:w="1063"/>
        <w:gridCol w:w="1063"/>
        <w:gridCol w:w="1063"/>
        <w:gridCol w:w="1063"/>
        <w:gridCol w:w="1063"/>
        <w:gridCol w:w="1063"/>
        <w:gridCol w:w="1063"/>
      </w:tblGrid>
      <w:tr>
        <w:tc>
          <w:tcPr>
            <w:tcW w:w="106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补助项目</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发放主体</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发放原因</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性质类型</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补贴是否影响当年盈亏</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是否特殊补贴</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本期发生金额</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上期发生金额</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与资产相关</w:t>
            </w:r>
            <w:r>
              <w:rPr>
                <w:szCs w:val="24"/>
              </w:rPr>
              <w:t>/</w:t>
            </w: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海洋经济创新发展区域示范项目补助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2,261,204.04</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2,261,204.04</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与资产相关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战略性新兴产业补助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199,999.98</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200,000.02</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与资产相关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工业信息化应用专项资金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233,333.38</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49,999.95</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与资产相关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信息化提升项目补助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590,066.67</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10,600.00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与资产相关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年度宁波市企业信息化提升项目补助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1,127,666.67</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与资产相关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科技计划项目经费</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2,654,000.00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千人计划项目资助经费</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10,200.00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博士后工作站资助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技术创新团队资助款</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年第四季度区授权专利奖励</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年大学生实训基地资助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年企业运营类专利导航项目补助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年度</w:t>
            </w:r>
            <w:r>
              <w:rPr>
                <w:szCs w:val="24"/>
              </w:rPr>
              <w:t>*</w:t>
            </w:r>
            <w:r>
              <w:rPr>
                <w:rFonts w:hint="eastAsia"/>
                <w:szCs w:val="24"/>
              </w:rPr>
              <w:t>浙江制造精品</w:t>
            </w:r>
            <w:r>
              <w:rPr>
                <w:szCs w:val="24"/>
              </w:rPr>
              <w:t>*</w:t>
            </w:r>
            <w:r>
              <w:rPr>
                <w:rFonts w:hint="eastAsia"/>
                <w:szCs w:val="24"/>
              </w:rPr>
              <w:t>奖励</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年度下应街道企业奖励</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490,500.00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1,074,000.00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年区优势总部企业奖励资金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年度市工业标准化项目补助资金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发明专利奖励经费</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促进经济平稳增长奖励经费</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年博士后工作标杆单位一次性追加资助经费</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小微企业发展基金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2017</w:t>
            </w:r>
            <w:r>
              <w:rPr>
                <w:rFonts w:hint="eastAsia"/>
                <w:szCs w:val="24"/>
              </w:rPr>
              <w:t>年鄞州区创业之星奖励</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高校毕业生社会保险及用工补贴</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1,898,362.00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1,778,171.00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经济和信息化局补助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14,800.00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增值税退税</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4,158,022.51</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4,408,950.31</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服务业发展引导基金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与资产相关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经济发展政策奖励</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服务强区培育专项资金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148,200.00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科技服务业专项经费</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保生生物研发项目</w:t>
            </w:r>
            <w:r>
              <w:rPr>
                <w:szCs w:val="24"/>
              </w:rPr>
              <w:t>POCT</w:t>
            </w:r>
            <w:r>
              <w:rPr>
                <w:rFonts w:hint="eastAsia"/>
                <w:szCs w:val="24"/>
              </w:rPr>
              <w:t>项目补助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第四批宁海县战略性新兴产业发展专项财政补助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178,875.00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178,875.00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与资产相关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宁波梅山保税港区扶持资金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2,670,000.00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财政扶持资金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1,560,000.00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稳岗补贴</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185,099.27</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经营租房房租奖励</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109,890.00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220,800.00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纳税大户奖励</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283,018.87</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智慧城市建设补助资金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87,600.00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与资产相关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中小企业国际市场开拓项目补助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163,000.00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研发机构资金补助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中国制造</w:t>
            </w:r>
            <w:r>
              <w:rPr>
                <w:szCs w:val="24"/>
              </w:rPr>
              <w:t>2025</w:t>
            </w:r>
            <w:r>
              <w:rPr>
                <w:rFonts w:hint="eastAsia"/>
                <w:szCs w:val="24"/>
              </w:rPr>
              <w:t>专项资金项目经费补助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重大产业技术创新专项资金补助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优秀发明专利产业化项目补助经费</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品牌资金奖励</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博士后科研项目择优补助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鄞州区稳增促调专项资金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86,510.00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企业上云补助奖金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市级制造业单项冠军示范企业奖励</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外经及第二批电子商务政策项目奖励</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556,600.00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中国制造</w:t>
            </w:r>
            <w:r>
              <w:rPr>
                <w:szCs w:val="24"/>
              </w:rPr>
              <w:t>2025</w:t>
            </w:r>
            <w:r>
              <w:rPr>
                <w:rFonts w:hint="eastAsia"/>
                <w:szCs w:val="24"/>
              </w:rPr>
              <w:t>单项奖励资金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发明创新大赛奖金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行业骨干企业年度综合贡献奖励</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1,590,000.00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海外工程师引进薪资补助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知识产权运营服务体系建设资金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科技项目专项转移支付资金补助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950,000.00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第三批稳增促调资金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19,898.00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工业和信息产业发展专项基金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高层人才认定补贴</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省科技型中小企业补贴</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公共服务业专项补助</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科技服务创新示范补助经费</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税费返还</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413,532.64</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中央外经贸发展专项资金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122,800.00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宁海县经济和信息化局扶持资金</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48,000.00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与收益相关</w:t>
            </w:r>
          </w:p>
        </w:tc>
      </w:tr>
      <w:tr>
        <w:tblPrEx>
          <w:tblCellMar>
            <w:top w:w="0" w:type="dxa"/>
            <w:left w:w="28" w:type="dxa"/>
            <w:bottom w:w="0" w:type="dxa"/>
            <w:right w:w="28" w:type="dxa"/>
          </w:tblCellMar>
        </w:tblPrEx>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合计</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26,438,238.39</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26,774,540.96</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bl>
    <w:p>
      <w:pPr>
        <w:pStyle w:val="14"/>
        <w:outlineLvl w:val="2"/>
        <w:rPr>
          <w:bCs w:val="0"/>
          <w:szCs w:val="24"/>
        </w:rPr>
      </w:pPr>
      <w:r>
        <w:rPr>
          <w:bCs w:val="0"/>
          <w:szCs w:val="24"/>
        </w:rPr>
        <w:t>75</w:t>
      </w:r>
      <w:r>
        <w:rPr>
          <w:rFonts w:hint="eastAsia"/>
          <w:bCs w:val="0"/>
          <w:szCs w:val="24"/>
        </w:rPr>
        <w:t>、营业外支出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89"/>
        <w:gridCol w:w="2395"/>
        <w:gridCol w:w="2392"/>
        <w:gridCol w:w="2392"/>
      </w:tblGrid>
      <w:tr>
        <w:tblPrEx>
          <w:tblCellMar>
            <w:top w:w="0" w:type="dxa"/>
            <w:left w:w="28" w:type="dxa"/>
            <w:bottom w:w="0" w:type="dxa"/>
            <w:right w:w="28" w:type="dxa"/>
          </w:tblCellMar>
        </w:tblPrEx>
        <w:tc>
          <w:tcPr>
            <w:tcW w:w="23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239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计入当期非经常性损益的金额</w:t>
            </w:r>
          </w:p>
        </w:tc>
      </w:tr>
      <w:tr>
        <w:tblPrEx>
          <w:tblCellMar>
            <w:top w:w="0" w:type="dxa"/>
            <w:left w:w="28" w:type="dxa"/>
            <w:bottom w:w="0" w:type="dxa"/>
            <w:right w:w="28" w:type="dxa"/>
          </w:tblCellMar>
        </w:tblPrEx>
        <w:tc>
          <w:tcPr>
            <w:tcW w:w="23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对外捐赠</w:t>
            </w:r>
          </w:p>
        </w:tc>
        <w:tc>
          <w:tcPr>
            <w:tcW w:w="23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1,430,416.55</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1,335,000.00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1,430,416.55</w:t>
            </w:r>
          </w:p>
        </w:tc>
      </w:tr>
      <w:tr>
        <w:tblPrEx>
          <w:tblCellMar>
            <w:top w:w="0" w:type="dxa"/>
            <w:left w:w="28" w:type="dxa"/>
            <w:bottom w:w="0" w:type="dxa"/>
            <w:right w:w="28" w:type="dxa"/>
          </w:tblCellMar>
        </w:tblPrEx>
        <w:tc>
          <w:tcPr>
            <w:tcW w:w="23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其中：公益性捐赠支出</w:t>
            </w:r>
          </w:p>
        </w:tc>
        <w:tc>
          <w:tcPr>
            <w:tcW w:w="23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350,500.00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955,000.00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350,500.00</w:t>
            </w:r>
          </w:p>
        </w:tc>
      </w:tr>
      <w:tr>
        <w:tblPrEx>
          <w:tblCellMar>
            <w:top w:w="0" w:type="dxa"/>
            <w:left w:w="28" w:type="dxa"/>
            <w:bottom w:w="0" w:type="dxa"/>
            <w:right w:w="28" w:type="dxa"/>
          </w:tblCellMar>
        </w:tblPrEx>
        <w:tc>
          <w:tcPr>
            <w:tcW w:w="23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非流动资产处置损失合计</w:t>
            </w:r>
          </w:p>
        </w:tc>
        <w:tc>
          <w:tcPr>
            <w:tcW w:w="23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81,730.21</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81,730.21</w:t>
            </w:r>
          </w:p>
        </w:tc>
      </w:tr>
      <w:tr>
        <w:tblPrEx>
          <w:tblCellMar>
            <w:top w:w="0" w:type="dxa"/>
            <w:left w:w="28" w:type="dxa"/>
            <w:bottom w:w="0" w:type="dxa"/>
            <w:right w:w="28" w:type="dxa"/>
          </w:tblCellMar>
        </w:tblPrEx>
        <w:tc>
          <w:tcPr>
            <w:tcW w:w="23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其中：固定资产处置损失</w:t>
            </w:r>
          </w:p>
        </w:tc>
        <w:tc>
          <w:tcPr>
            <w:tcW w:w="23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81,730.21</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81,730.21</w:t>
            </w:r>
          </w:p>
        </w:tc>
      </w:tr>
      <w:tr>
        <w:tblPrEx>
          <w:tblCellMar>
            <w:top w:w="0" w:type="dxa"/>
            <w:left w:w="28" w:type="dxa"/>
            <w:bottom w:w="0" w:type="dxa"/>
            <w:right w:w="28" w:type="dxa"/>
          </w:tblCellMar>
        </w:tblPrEx>
        <w:tc>
          <w:tcPr>
            <w:tcW w:w="238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c>
          <w:tcPr>
            <w:tcW w:w="239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450,714.86</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196,129.31</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450,714.86</w:t>
            </w:r>
          </w:p>
        </w:tc>
      </w:tr>
      <w:tr>
        <w:tblPrEx>
          <w:tblCellMar>
            <w:top w:w="0" w:type="dxa"/>
            <w:left w:w="28" w:type="dxa"/>
            <w:bottom w:w="0" w:type="dxa"/>
            <w:right w:w="28" w:type="dxa"/>
          </w:tblCellMar>
        </w:tblPrEx>
        <w:tc>
          <w:tcPr>
            <w:tcW w:w="23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2395"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1,962,861.62</w:t>
            </w:r>
          </w:p>
        </w:tc>
        <w:tc>
          <w:tcPr>
            <w:tcW w:w="2392"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1,531,129.31</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1,962,861.62</w:t>
            </w:r>
          </w:p>
        </w:tc>
      </w:tr>
    </w:tbl>
    <w:p>
      <w:pPr>
        <w:pStyle w:val="14"/>
        <w:outlineLvl w:val="2"/>
        <w:rPr>
          <w:bCs w:val="0"/>
          <w:szCs w:val="24"/>
        </w:rPr>
      </w:pPr>
      <w:r>
        <w:rPr>
          <w:bCs w:val="0"/>
          <w:szCs w:val="24"/>
        </w:rPr>
        <w:t>76</w:t>
      </w:r>
      <w:r>
        <w:rPr>
          <w:rFonts w:hint="eastAsia"/>
          <w:bCs w:val="0"/>
          <w:szCs w:val="24"/>
        </w:rPr>
        <w:t>、所得税费用</w:t>
      </w:r>
    </w:p>
    <w:p>
      <w:pPr>
        <w:pStyle w:val="14"/>
        <w:outlineLvl w:val="3"/>
        <w:rPr>
          <w:bCs w:val="0"/>
          <w:szCs w:val="24"/>
        </w:rPr>
      </w:pPr>
      <w:r>
        <w:rPr>
          <w:rFonts w:hint="eastAsia"/>
          <w:bCs w:val="0"/>
          <w:szCs w:val="24"/>
        </w:rPr>
        <w:t>（</w:t>
      </w:r>
      <w:r>
        <w:rPr>
          <w:bCs w:val="0"/>
          <w:szCs w:val="24"/>
        </w:rPr>
        <w:t>1</w:t>
      </w:r>
      <w:r>
        <w:rPr>
          <w:rFonts w:hint="eastAsia"/>
          <w:bCs w:val="0"/>
          <w:szCs w:val="24"/>
        </w:rPr>
        <w:t>）所得税费用表</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当期所得税费用</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61,109,023.43</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75,540,770.25</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递延所得税费用</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-9,556,973.87</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16,186,931.10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51,552,049.56</w:t>
            </w:r>
          </w:p>
        </w:tc>
        <w:tc>
          <w:tcPr>
            <w:tcW w:w="3189"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91,727,701.35</w:t>
            </w:r>
          </w:p>
        </w:tc>
      </w:tr>
    </w:tbl>
    <w:p>
      <w:pPr>
        <w:pStyle w:val="14"/>
        <w:outlineLvl w:val="3"/>
        <w:rPr>
          <w:bCs w:val="0"/>
          <w:szCs w:val="24"/>
        </w:rPr>
      </w:pPr>
      <w:r>
        <w:rPr>
          <w:rFonts w:hint="eastAsia"/>
          <w:bCs w:val="0"/>
          <w:szCs w:val="24"/>
        </w:rPr>
        <w:t>（</w:t>
      </w:r>
      <w:r>
        <w:rPr>
          <w:bCs w:val="0"/>
          <w:szCs w:val="24"/>
        </w:rPr>
        <w:t>2</w:t>
      </w:r>
      <w:r>
        <w:rPr>
          <w:rFonts w:hint="eastAsia"/>
          <w:bCs w:val="0"/>
          <w:szCs w:val="24"/>
        </w:rPr>
        <w:t>）会计利润与所得税费用调整过程</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79"/>
        <w:gridCol w:w="4789"/>
      </w:tblGrid>
      <w:tr>
        <w:tc>
          <w:tcPr>
            <w:tcW w:w="477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47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r>
      <w:tr>
        <w:tblPrEx>
          <w:tblCellMar>
            <w:top w:w="0" w:type="dxa"/>
            <w:left w:w="28" w:type="dxa"/>
            <w:bottom w:w="0" w:type="dxa"/>
            <w:right w:w="28" w:type="dxa"/>
          </w:tblCellMar>
        </w:tblPrEx>
        <w:tc>
          <w:tcPr>
            <w:tcW w:w="477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利润总额</w:t>
            </w:r>
          </w:p>
        </w:tc>
        <w:tc>
          <w:tcPr>
            <w:tcW w:w="4789"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-525,074,668.86</w:t>
            </w:r>
          </w:p>
        </w:tc>
      </w:tr>
      <w:tr>
        <w:tblPrEx>
          <w:tblCellMar>
            <w:top w:w="0" w:type="dxa"/>
            <w:left w:w="28" w:type="dxa"/>
            <w:bottom w:w="0" w:type="dxa"/>
            <w:right w:w="28" w:type="dxa"/>
          </w:tblCellMar>
        </w:tblPrEx>
        <w:tc>
          <w:tcPr>
            <w:tcW w:w="477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按法定</w:t>
            </w:r>
            <w:r>
              <w:rPr>
                <w:szCs w:val="24"/>
              </w:rPr>
              <w:t>/</w:t>
            </w:r>
            <w:r>
              <w:rPr>
                <w:rFonts w:hint="eastAsia"/>
                <w:szCs w:val="24"/>
              </w:rPr>
              <w:t>适用税率计算的所得税费用</w:t>
            </w:r>
          </w:p>
        </w:tc>
        <w:tc>
          <w:tcPr>
            <w:tcW w:w="4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-78,761,200.33</w:t>
            </w:r>
          </w:p>
        </w:tc>
      </w:tr>
      <w:tr>
        <w:tblPrEx>
          <w:tblCellMar>
            <w:top w:w="0" w:type="dxa"/>
            <w:left w:w="28" w:type="dxa"/>
            <w:bottom w:w="0" w:type="dxa"/>
            <w:right w:w="28" w:type="dxa"/>
          </w:tblCellMar>
        </w:tblPrEx>
        <w:tc>
          <w:tcPr>
            <w:tcW w:w="477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子公司适用不同税率的影响</w:t>
            </w:r>
          </w:p>
        </w:tc>
        <w:tc>
          <w:tcPr>
            <w:tcW w:w="4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13,471,837.78</w:t>
            </w:r>
          </w:p>
        </w:tc>
      </w:tr>
      <w:tr>
        <w:tblPrEx>
          <w:tblCellMar>
            <w:top w:w="0" w:type="dxa"/>
            <w:left w:w="28" w:type="dxa"/>
            <w:bottom w:w="0" w:type="dxa"/>
            <w:right w:w="28" w:type="dxa"/>
          </w:tblCellMar>
        </w:tblPrEx>
        <w:tc>
          <w:tcPr>
            <w:tcW w:w="477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调整以前期间所得税的影响</w:t>
            </w:r>
          </w:p>
        </w:tc>
        <w:tc>
          <w:tcPr>
            <w:tcW w:w="4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450,498.94</w:t>
            </w:r>
          </w:p>
        </w:tc>
      </w:tr>
      <w:tr>
        <w:tc>
          <w:tcPr>
            <w:tcW w:w="477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非应税收入的影响</w:t>
            </w:r>
          </w:p>
        </w:tc>
        <w:tc>
          <w:tcPr>
            <w:tcW w:w="4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-5,541,078.57</w:t>
            </w:r>
          </w:p>
        </w:tc>
      </w:tr>
      <w:tr>
        <w:tc>
          <w:tcPr>
            <w:tcW w:w="477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不可抵扣的成本、费用和损失的影响</w:t>
            </w:r>
          </w:p>
        </w:tc>
        <w:tc>
          <w:tcPr>
            <w:tcW w:w="4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6,164,358.40</w:t>
            </w:r>
          </w:p>
        </w:tc>
      </w:tr>
      <w:tr>
        <w:tc>
          <w:tcPr>
            <w:tcW w:w="477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使用前期未确认递延所得税资产的可抵扣亏损的影响</w:t>
            </w:r>
          </w:p>
        </w:tc>
        <w:tc>
          <w:tcPr>
            <w:tcW w:w="4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-2,803,109.84</w:t>
            </w:r>
          </w:p>
        </w:tc>
      </w:tr>
      <w:tr>
        <w:tc>
          <w:tcPr>
            <w:tcW w:w="477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本期未确认递延所得税资产的可抵扣暂时性差异或可抵扣亏损的影响</w:t>
            </w:r>
          </w:p>
        </w:tc>
        <w:tc>
          <w:tcPr>
            <w:tcW w:w="4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20,999,957.25</w:t>
            </w:r>
          </w:p>
        </w:tc>
      </w:tr>
      <w:tr>
        <w:tc>
          <w:tcPr>
            <w:tcW w:w="477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研发费加计扣除的影响</w:t>
            </w:r>
          </w:p>
        </w:tc>
        <w:tc>
          <w:tcPr>
            <w:tcW w:w="4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-13,469,436.39</w:t>
            </w:r>
          </w:p>
        </w:tc>
      </w:tr>
      <w:tr>
        <w:tc>
          <w:tcPr>
            <w:tcW w:w="477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商誉减值的影响</w:t>
            </w:r>
          </w:p>
        </w:tc>
        <w:tc>
          <w:tcPr>
            <w:tcW w:w="4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112,157,076.54</w:t>
            </w:r>
          </w:p>
        </w:tc>
      </w:tr>
      <w:tr>
        <w:tc>
          <w:tcPr>
            <w:tcW w:w="477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c>
          <w:tcPr>
            <w:tcW w:w="4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-1,116,854.22</w:t>
            </w:r>
          </w:p>
        </w:tc>
      </w:tr>
      <w:tr>
        <w:tc>
          <w:tcPr>
            <w:tcW w:w="477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所得税费用</w:t>
            </w:r>
          </w:p>
        </w:tc>
        <w:tc>
          <w:tcPr>
            <w:tcW w:w="4789"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51,552,049.56</w:t>
            </w:r>
          </w:p>
        </w:tc>
      </w:tr>
    </w:tbl>
    <w:p>
      <w:pPr>
        <w:pStyle w:val="14"/>
        <w:outlineLvl w:val="2"/>
        <w:rPr>
          <w:bCs w:val="0"/>
          <w:szCs w:val="24"/>
        </w:rPr>
      </w:pPr>
      <w:r>
        <w:rPr>
          <w:bCs w:val="0"/>
          <w:szCs w:val="24"/>
        </w:rPr>
        <w:t>77</w:t>
      </w:r>
      <w:r>
        <w:rPr>
          <w:rFonts w:hint="eastAsia"/>
          <w:bCs w:val="0"/>
          <w:szCs w:val="24"/>
        </w:rPr>
        <w:t>、其他综合收益</w:t>
      </w:r>
    </w:p>
    <w:p>
      <w:pPr>
        <w:jc w:val="left"/>
        <w:rPr>
          <w:szCs w:val="24"/>
        </w:rPr>
      </w:pPr>
      <w:r>
        <w:rPr>
          <w:rFonts w:hint="eastAsia"/>
          <w:szCs w:val="24"/>
        </w:rPr>
        <w:t>详见附注。</w:t>
      </w:r>
    </w:p>
    <w:p>
      <w:pPr>
        <w:pStyle w:val="14"/>
        <w:outlineLvl w:val="2"/>
        <w:rPr>
          <w:bCs w:val="0"/>
          <w:szCs w:val="24"/>
        </w:rPr>
      </w:pPr>
      <w:r>
        <w:rPr>
          <w:bCs w:val="0"/>
          <w:szCs w:val="24"/>
        </w:rPr>
        <w:t>78</w:t>
      </w:r>
      <w:r>
        <w:rPr>
          <w:rFonts w:hint="eastAsia"/>
          <w:bCs w:val="0"/>
          <w:szCs w:val="24"/>
        </w:rPr>
        <w:t>、现金流量表项目</w:t>
      </w:r>
    </w:p>
    <w:p>
      <w:pPr>
        <w:pStyle w:val="14"/>
        <w:outlineLvl w:val="3"/>
        <w:rPr>
          <w:bCs w:val="0"/>
          <w:szCs w:val="24"/>
        </w:rPr>
      </w:pPr>
      <w:r>
        <w:rPr>
          <w:rFonts w:hint="eastAsia"/>
          <w:bCs w:val="0"/>
          <w:szCs w:val="24"/>
        </w:rPr>
        <w:t>（</w:t>
      </w:r>
      <w:r>
        <w:rPr>
          <w:bCs w:val="0"/>
          <w:szCs w:val="24"/>
        </w:rPr>
        <w:t>1</w:t>
      </w:r>
      <w:r>
        <w:rPr>
          <w:rFonts w:hint="eastAsia"/>
          <w:bCs w:val="0"/>
          <w:szCs w:val="24"/>
        </w:rPr>
        <w:t>）收到的其他与经营活动有关的现金</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暂收款及收回暂付款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37,744,819.16</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15,858,017.50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政府补助</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18,556,267.15</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27,018,857.38</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利息收入</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1,903,911.74</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2,022,025.61</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2,486,404.91</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238,013.50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60,691,402.96</w:t>
            </w:r>
          </w:p>
        </w:tc>
        <w:tc>
          <w:tcPr>
            <w:tcW w:w="3189"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45,136,913.99</w:t>
            </w:r>
          </w:p>
        </w:tc>
      </w:tr>
    </w:tbl>
    <w:p>
      <w:pPr>
        <w:pStyle w:val="14"/>
        <w:outlineLvl w:val="3"/>
        <w:rPr>
          <w:bCs w:val="0"/>
          <w:szCs w:val="24"/>
        </w:rPr>
      </w:pPr>
      <w:r>
        <w:rPr>
          <w:rFonts w:hint="eastAsia"/>
          <w:bCs w:val="0"/>
          <w:szCs w:val="24"/>
        </w:rPr>
        <w:t>（</w:t>
      </w:r>
      <w:r>
        <w:rPr>
          <w:bCs w:val="0"/>
          <w:szCs w:val="24"/>
        </w:rPr>
        <w:t>2</w:t>
      </w:r>
      <w:r>
        <w:rPr>
          <w:rFonts w:hint="eastAsia"/>
          <w:bCs w:val="0"/>
          <w:szCs w:val="24"/>
        </w:rPr>
        <w:t>）支付的其他与经营活动有关的现金</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暂付款与偿还暂收款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34,392,905.79</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62,390,917.58</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研发费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55,765,509.29</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39,714,228.49</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差旅费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27,972,129.66</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29,778,287.10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业务招待费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43,189,718.10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37,924,563.22</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会务及服务费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52,013,565.74</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51,404,782.45</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租赁费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14,046,187.19</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19,243,261.51</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维修费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41,633,866.23</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25,586,099.61</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办公费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12,210,293.95</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17,719,529.43</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中介服务费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25,508,204.74</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15,184,499.72</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运输费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20,624,120.64</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20,327,493.55</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广告宣传费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8,054,885.64</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9,993,353.18</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汽车使用费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10,432,697.23</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12,452,440.00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基金管理费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1,170,000.00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4,066,035.07</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46,479,916.47</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37,564,962.62</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393,494,000.67</w:t>
            </w:r>
          </w:p>
        </w:tc>
        <w:tc>
          <w:tcPr>
            <w:tcW w:w="3189"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383,350,453.53</w:t>
            </w:r>
          </w:p>
        </w:tc>
      </w:tr>
    </w:tbl>
    <w:p>
      <w:pPr>
        <w:pStyle w:val="14"/>
        <w:outlineLvl w:val="3"/>
        <w:rPr>
          <w:bCs w:val="0"/>
          <w:szCs w:val="24"/>
        </w:rPr>
      </w:pPr>
      <w:r>
        <w:rPr>
          <w:rFonts w:hint="eastAsia"/>
          <w:bCs w:val="0"/>
          <w:szCs w:val="24"/>
        </w:rPr>
        <w:t>（</w:t>
      </w:r>
      <w:r>
        <w:rPr>
          <w:bCs w:val="0"/>
          <w:szCs w:val="24"/>
        </w:rPr>
        <w:t>3</w:t>
      </w:r>
      <w:r>
        <w:rPr>
          <w:rFonts w:hint="eastAsia"/>
          <w:bCs w:val="0"/>
          <w:szCs w:val="24"/>
        </w:rPr>
        <w:t>）收到的其他与投资活动有关的现金</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取得子公司收到的现金净额</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2,052,834.56</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收回关联方款项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17,000,000.00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收回非关联方款项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26,898,465.00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27,499,436.50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43,898,465.00</w:t>
            </w:r>
          </w:p>
        </w:tc>
        <w:tc>
          <w:tcPr>
            <w:tcW w:w="3189"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29,552,271.06</w:t>
            </w:r>
          </w:p>
        </w:tc>
      </w:tr>
    </w:tbl>
    <w:p>
      <w:pPr>
        <w:pStyle w:val="14"/>
        <w:outlineLvl w:val="3"/>
        <w:rPr>
          <w:bCs w:val="0"/>
          <w:szCs w:val="24"/>
        </w:rPr>
      </w:pPr>
      <w:r>
        <w:rPr>
          <w:rFonts w:hint="eastAsia"/>
          <w:bCs w:val="0"/>
          <w:szCs w:val="24"/>
        </w:rPr>
        <w:t>（</w:t>
      </w:r>
      <w:r>
        <w:rPr>
          <w:bCs w:val="0"/>
          <w:szCs w:val="24"/>
        </w:rPr>
        <w:t>4</w:t>
      </w:r>
      <w:r>
        <w:rPr>
          <w:rFonts w:hint="eastAsia"/>
          <w:bCs w:val="0"/>
          <w:szCs w:val="24"/>
        </w:rPr>
        <w:t>）支付的其他与投资活动有关的现金</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支付非关联方款项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18,646,336.50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44,382,160.00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处置子公司期末现金余额</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798,206.21</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18,646,336.50</w:t>
            </w:r>
          </w:p>
        </w:tc>
        <w:tc>
          <w:tcPr>
            <w:tcW w:w="3189"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45,180,366.21</w:t>
            </w:r>
          </w:p>
        </w:tc>
      </w:tr>
    </w:tbl>
    <w:p>
      <w:pPr>
        <w:pStyle w:val="14"/>
        <w:outlineLvl w:val="3"/>
        <w:rPr>
          <w:bCs w:val="0"/>
          <w:szCs w:val="24"/>
        </w:rPr>
      </w:pPr>
      <w:r>
        <w:rPr>
          <w:rFonts w:hint="eastAsia"/>
          <w:bCs w:val="0"/>
          <w:szCs w:val="24"/>
        </w:rPr>
        <w:t>（</w:t>
      </w:r>
      <w:r>
        <w:rPr>
          <w:bCs w:val="0"/>
          <w:szCs w:val="24"/>
        </w:rPr>
        <w:t>5</w:t>
      </w:r>
      <w:r>
        <w:rPr>
          <w:rFonts w:hint="eastAsia"/>
          <w:bCs w:val="0"/>
          <w:szCs w:val="24"/>
        </w:rPr>
        <w:t>）收到的其他与筹资活动有关的现金</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收到长期应付款抵押借款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130,000,000.00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收到关联方款项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11,800,000.00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253,747,737.78</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收到非关联方款项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28,226,650.00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375,268,662.15</w:t>
            </w:r>
          </w:p>
        </w:tc>
      </w:tr>
      <w:tr>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控股子公司收到少数股东借款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216,888.45</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13,900,000.00</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40,243,538.45</w:t>
            </w:r>
          </w:p>
        </w:tc>
        <w:tc>
          <w:tcPr>
            <w:tcW w:w="3189"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772,916,399.93</w:t>
            </w:r>
          </w:p>
        </w:tc>
      </w:tr>
    </w:tbl>
    <w:p>
      <w:pPr>
        <w:pStyle w:val="14"/>
        <w:outlineLvl w:val="3"/>
        <w:rPr>
          <w:bCs w:val="0"/>
          <w:szCs w:val="24"/>
        </w:rPr>
      </w:pPr>
      <w:r>
        <w:rPr>
          <w:rFonts w:hint="eastAsia"/>
          <w:bCs w:val="0"/>
          <w:szCs w:val="24"/>
        </w:rPr>
        <w:t>（</w:t>
      </w:r>
      <w:r>
        <w:rPr>
          <w:bCs w:val="0"/>
          <w:szCs w:val="24"/>
        </w:rPr>
        <w:t>6</w:t>
      </w:r>
      <w:r>
        <w:rPr>
          <w:rFonts w:hint="eastAsia"/>
          <w:bCs w:val="0"/>
          <w:szCs w:val="24"/>
        </w:rPr>
        <w:t>）支付的其他与筹资活动有关的现金</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3"/>
        <w:gridCol w:w="3189"/>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限制性股票回购款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13,459,129.39</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6,137,885.50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长期应付款保证金</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7,800,000.00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归还长期应付款抵押借款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101,582,263.19</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20,617,736.81</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支付非关联方款项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49,029,611.46</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337,222,552.56</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购买子公司少数股东股权支付的现金</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222,593,214.19</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36,800,000.00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同一控制下企业合并支付的对价</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200,000,000.00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支付关联方款项</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25,914,137.78</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236,833,600.00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控股子公司偿还少数股东借款</w:t>
            </w:r>
          </w:p>
        </w:tc>
        <w:tc>
          <w:tcPr>
            <w:tcW w:w="31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8,600,000.00</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13,441,716.67</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421,178,356.01</w:t>
            </w:r>
          </w:p>
        </w:tc>
        <w:tc>
          <w:tcPr>
            <w:tcW w:w="3189"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858,853,491.54</w:t>
            </w:r>
          </w:p>
        </w:tc>
      </w:tr>
    </w:tbl>
    <w:p>
      <w:pPr>
        <w:pStyle w:val="14"/>
        <w:outlineLvl w:val="2"/>
        <w:rPr>
          <w:bCs w:val="0"/>
          <w:szCs w:val="24"/>
        </w:rPr>
      </w:pPr>
      <w:r>
        <w:rPr>
          <w:bCs w:val="0"/>
          <w:szCs w:val="24"/>
        </w:rPr>
        <w:t>79</w:t>
      </w:r>
      <w:r>
        <w:rPr>
          <w:rFonts w:hint="eastAsia"/>
          <w:bCs w:val="0"/>
          <w:szCs w:val="24"/>
        </w:rPr>
        <w:t>、现金流量表补充资料</w:t>
      </w:r>
    </w:p>
    <w:p>
      <w:pPr>
        <w:pStyle w:val="14"/>
        <w:outlineLvl w:val="3"/>
        <w:rPr>
          <w:bCs w:val="0"/>
          <w:szCs w:val="24"/>
        </w:rPr>
      </w:pPr>
      <w:r>
        <w:rPr>
          <w:rFonts w:hint="eastAsia"/>
          <w:bCs w:val="0"/>
          <w:szCs w:val="24"/>
        </w:rPr>
        <w:t>（</w:t>
      </w:r>
      <w:r>
        <w:rPr>
          <w:bCs w:val="0"/>
          <w:szCs w:val="24"/>
        </w:rPr>
        <w:t>1</w:t>
      </w:r>
      <w:r>
        <w:rPr>
          <w:rFonts w:hint="eastAsia"/>
          <w:bCs w:val="0"/>
          <w:szCs w:val="24"/>
        </w:rPr>
        <w:t>）现金流量表补充资料</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327"/>
        <w:gridCol w:w="3057"/>
        <w:gridCol w:w="3184"/>
      </w:tblGrid>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补充资料</w:t>
            </w:r>
          </w:p>
        </w:tc>
        <w:tc>
          <w:tcPr>
            <w:tcW w:w="30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本期金额</w:t>
            </w:r>
          </w:p>
        </w:tc>
        <w:tc>
          <w:tcPr>
            <w:tcW w:w="31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上期金额</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．将净利润调节为经营活动现金流量：</w:t>
            </w:r>
          </w:p>
        </w:tc>
        <w:tc>
          <w:tcPr>
            <w:tcW w:w="30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31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净利润</w:t>
            </w:r>
          </w:p>
        </w:tc>
        <w:tc>
          <w:tcPr>
            <w:tcW w:w="3057"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-576,626,718.42</w:t>
            </w:r>
          </w:p>
        </w:tc>
        <w:tc>
          <w:tcPr>
            <w:tcW w:w="318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248,680,057.18</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加：资产减值准备</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852,101,084.37</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41,907,549.75</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固定资产折旧、油气资产折耗、生产性生物资产折旧</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134,859,049.92</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122,011,385.50</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无形资产摊销</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26,624,724.23</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28,313,564.34</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长期待摊费用摊销</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34,079,919.23</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16,988,091.08</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处置固定资产、无形资产和其他长期资产的损失（收益以</w:t>
            </w:r>
            <w:r>
              <w:rPr>
                <w:szCs w:val="24"/>
              </w:rPr>
              <w:t>“</w:t>
            </w:r>
            <w:r>
              <w:rPr>
                <w:rFonts w:hint="eastAsia"/>
                <w:szCs w:val="24"/>
              </w:rPr>
              <w:t>－</w:t>
            </w:r>
            <w:r>
              <w:rPr>
                <w:szCs w:val="24"/>
              </w:rPr>
              <w:t>”</w:t>
            </w:r>
            <w:r>
              <w:rPr>
                <w:rFonts w:hint="eastAsia"/>
                <w:szCs w:val="24"/>
              </w:rPr>
              <w:t>号填列）</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2,284,784.78</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-1,213,933.82</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固定资产报废损失（收益以</w:t>
            </w:r>
            <w:r>
              <w:rPr>
                <w:szCs w:val="24"/>
              </w:rPr>
              <w:t>“</w:t>
            </w:r>
            <w:r>
              <w:rPr>
                <w:rFonts w:hint="eastAsia"/>
                <w:szCs w:val="24"/>
              </w:rPr>
              <w:t>－</w:t>
            </w:r>
            <w:r>
              <w:rPr>
                <w:szCs w:val="24"/>
              </w:rPr>
              <w:t>”</w:t>
            </w:r>
            <w:r>
              <w:rPr>
                <w:rFonts w:hint="eastAsia"/>
                <w:szCs w:val="24"/>
              </w:rPr>
              <w:t>号填列）</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81,730.21</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财务费用（收益以</w:t>
            </w:r>
            <w:r>
              <w:rPr>
                <w:szCs w:val="24"/>
              </w:rPr>
              <w:t>“</w:t>
            </w:r>
            <w:r>
              <w:rPr>
                <w:rFonts w:hint="eastAsia"/>
                <w:szCs w:val="24"/>
              </w:rPr>
              <w:t>－</w:t>
            </w:r>
            <w:r>
              <w:rPr>
                <w:szCs w:val="24"/>
              </w:rPr>
              <w:t>”</w:t>
            </w:r>
            <w:r>
              <w:rPr>
                <w:rFonts w:hint="eastAsia"/>
                <w:szCs w:val="24"/>
              </w:rPr>
              <w:t>号填列）</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81,401,606.23</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84,256,884.05</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投资损失（收益以</w:t>
            </w:r>
            <w:r>
              <w:rPr>
                <w:szCs w:val="24"/>
              </w:rPr>
              <w:t>“</w:t>
            </w:r>
            <w:r>
              <w:rPr>
                <w:rFonts w:hint="eastAsia"/>
                <w:szCs w:val="24"/>
              </w:rPr>
              <w:t>－</w:t>
            </w:r>
            <w:r>
              <w:rPr>
                <w:szCs w:val="24"/>
              </w:rPr>
              <w:t>”</w:t>
            </w:r>
            <w:r>
              <w:rPr>
                <w:rFonts w:hint="eastAsia"/>
                <w:szCs w:val="24"/>
              </w:rPr>
              <w:t>号填列）</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-31,216,244.69</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-10,476,205.89</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递延所得税资产减少（增加以</w:t>
            </w:r>
            <w:r>
              <w:rPr>
                <w:szCs w:val="24"/>
              </w:rPr>
              <w:t>“</w:t>
            </w:r>
            <w:r>
              <w:rPr>
                <w:rFonts w:hint="eastAsia"/>
                <w:szCs w:val="24"/>
              </w:rPr>
              <w:t>－</w:t>
            </w:r>
            <w:r>
              <w:rPr>
                <w:szCs w:val="24"/>
              </w:rPr>
              <w:t>”</w:t>
            </w:r>
            <w:r>
              <w:rPr>
                <w:rFonts w:hint="eastAsia"/>
                <w:szCs w:val="24"/>
              </w:rPr>
              <w:t>号填列）</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-20,636,781.58</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-5,818,622.22</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递延所得税负债增加（减少以</w:t>
            </w:r>
            <w:r>
              <w:rPr>
                <w:szCs w:val="24"/>
              </w:rPr>
              <w:t>“</w:t>
            </w:r>
            <w:r>
              <w:rPr>
                <w:rFonts w:hint="eastAsia"/>
                <w:szCs w:val="24"/>
              </w:rPr>
              <w:t>－</w:t>
            </w:r>
            <w:r>
              <w:rPr>
                <w:szCs w:val="24"/>
              </w:rPr>
              <w:t>”</w:t>
            </w:r>
            <w:r>
              <w:rPr>
                <w:rFonts w:hint="eastAsia"/>
                <w:szCs w:val="24"/>
              </w:rPr>
              <w:t>号填列）</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9,032,466.08</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22,005,553.32</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存货的减少（增加以</w:t>
            </w:r>
            <w:r>
              <w:rPr>
                <w:szCs w:val="24"/>
              </w:rPr>
              <w:t>“</w:t>
            </w:r>
            <w:r>
              <w:rPr>
                <w:rFonts w:hint="eastAsia"/>
                <w:szCs w:val="24"/>
              </w:rPr>
              <w:t>－</w:t>
            </w:r>
            <w:r>
              <w:rPr>
                <w:szCs w:val="24"/>
              </w:rPr>
              <w:t>”</w:t>
            </w:r>
            <w:r>
              <w:rPr>
                <w:rFonts w:hint="eastAsia"/>
                <w:szCs w:val="24"/>
              </w:rPr>
              <w:t>号填列）</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-44,559,036.59</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53,862,890.94</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经营性应收项目的减少（增加以</w:t>
            </w:r>
            <w:r>
              <w:rPr>
                <w:szCs w:val="24"/>
              </w:rPr>
              <w:t>“</w:t>
            </w:r>
            <w:r>
              <w:rPr>
                <w:rFonts w:hint="eastAsia"/>
                <w:szCs w:val="24"/>
              </w:rPr>
              <w:t>－</w:t>
            </w:r>
            <w:r>
              <w:rPr>
                <w:szCs w:val="24"/>
              </w:rPr>
              <w:t>”</w:t>
            </w:r>
            <w:r>
              <w:rPr>
                <w:rFonts w:hint="eastAsia"/>
                <w:szCs w:val="24"/>
              </w:rPr>
              <w:t>号填列）</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125,270,375.00</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-265,508,465.62</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经营性应付项目的增加（减少以</w:t>
            </w:r>
            <w:r>
              <w:rPr>
                <w:szCs w:val="24"/>
              </w:rPr>
              <w:t>“</w:t>
            </w:r>
            <w:r>
              <w:rPr>
                <w:rFonts w:hint="eastAsia"/>
                <w:szCs w:val="24"/>
              </w:rPr>
              <w:t>－</w:t>
            </w:r>
            <w:r>
              <w:rPr>
                <w:szCs w:val="24"/>
              </w:rPr>
              <w:t>”</w:t>
            </w:r>
            <w:r>
              <w:rPr>
                <w:rFonts w:hint="eastAsia"/>
                <w:szCs w:val="24"/>
              </w:rPr>
              <w:t>号填列）</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14,364,557.14</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85,824,595.75</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其他</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-5,890,795.08</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-2,030,112.64</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经营活动产生的现金流量净额</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601,170,720.83</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418,803,231.72</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．不涉及现金收支的重大投资和筹资活动：</w:t>
            </w:r>
          </w:p>
        </w:tc>
        <w:tc>
          <w:tcPr>
            <w:tcW w:w="30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31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r>
              <w:rPr>
                <w:rFonts w:hint="eastAsia"/>
                <w:szCs w:val="24"/>
              </w:rPr>
              <w:t>．现金及现金等价物净变动情况：</w:t>
            </w:r>
          </w:p>
        </w:tc>
        <w:tc>
          <w:tcPr>
            <w:tcW w:w="30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31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现金的期末余额</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436,585,439.19</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415,519,412.93</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减：现金的期初余额</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415,519,412.93</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378,844,875.63</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现金及现金等价物净增加额</w:t>
            </w:r>
          </w:p>
        </w:tc>
        <w:tc>
          <w:tcPr>
            <w:tcW w:w="3057"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21,066,026.26</w:t>
            </w:r>
          </w:p>
        </w:tc>
        <w:tc>
          <w:tcPr>
            <w:tcW w:w="318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36,674,537.30</w:t>
            </w:r>
          </w:p>
        </w:tc>
      </w:tr>
    </w:tbl>
    <w:p>
      <w:pPr>
        <w:pStyle w:val="14"/>
        <w:outlineLvl w:val="3"/>
        <w:rPr>
          <w:bCs w:val="0"/>
          <w:szCs w:val="24"/>
        </w:rPr>
      </w:pPr>
      <w:r>
        <w:rPr>
          <w:rFonts w:hint="eastAsia"/>
          <w:bCs w:val="0"/>
          <w:szCs w:val="24"/>
        </w:rPr>
        <w:t>（</w:t>
      </w:r>
      <w:r>
        <w:rPr>
          <w:bCs w:val="0"/>
          <w:szCs w:val="24"/>
        </w:rPr>
        <w:t>2</w:t>
      </w:r>
      <w:r>
        <w:rPr>
          <w:rFonts w:hint="eastAsia"/>
          <w:bCs w:val="0"/>
          <w:szCs w:val="24"/>
        </w:rPr>
        <w:t>）本期支付的取得子公司的现金净额</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988"/>
        <w:gridCol w:w="4580"/>
      </w:tblGrid>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45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r>
    </w:tbl>
    <w:p>
      <w:pPr>
        <w:pStyle w:val="14"/>
        <w:outlineLvl w:val="3"/>
        <w:rPr>
          <w:bCs w:val="0"/>
          <w:szCs w:val="24"/>
        </w:rPr>
      </w:pPr>
      <w:r>
        <w:rPr>
          <w:rFonts w:hint="eastAsia"/>
          <w:bCs w:val="0"/>
          <w:szCs w:val="24"/>
        </w:rPr>
        <w:t>（</w:t>
      </w:r>
      <w:r>
        <w:rPr>
          <w:bCs w:val="0"/>
          <w:szCs w:val="24"/>
        </w:rPr>
        <w:t>3</w:t>
      </w:r>
      <w:r>
        <w:rPr>
          <w:rFonts w:hint="eastAsia"/>
          <w:bCs w:val="0"/>
          <w:szCs w:val="24"/>
        </w:rPr>
        <w:t>）本期收到的处置子公司的现金净额</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988"/>
        <w:gridCol w:w="4580"/>
      </w:tblGrid>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45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本期处置子公司于本期收到的现金或现金等价物</w:t>
            </w:r>
          </w:p>
        </w:tc>
        <w:tc>
          <w:tcPr>
            <w:tcW w:w="4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32,640,000.00</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其中：</w:t>
            </w:r>
          </w:p>
        </w:tc>
        <w:tc>
          <w:tcPr>
            <w:tcW w:w="45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重庆和盛医疗器械有限公司</w:t>
            </w:r>
          </w:p>
        </w:tc>
        <w:tc>
          <w:tcPr>
            <w:tcW w:w="4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11,340,000.00</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江西省美康医疗器械有限公司</w:t>
            </w:r>
          </w:p>
        </w:tc>
        <w:tc>
          <w:tcPr>
            <w:tcW w:w="4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6,000,000.00</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金华市美康盛德医学检验所有限公司</w:t>
            </w:r>
          </w:p>
        </w:tc>
        <w:tc>
          <w:tcPr>
            <w:tcW w:w="4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300,000.00</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上饶美康盛德医学检验所有限公司</w:t>
            </w:r>
          </w:p>
        </w:tc>
        <w:tc>
          <w:tcPr>
            <w:tcW w:w="4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11,000,000.00</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w:t>
            </w:r>
            <w:r>
              <w:rPr>
                <w:szCs w:val="24"/>
              </w:rPr>
              <w:t>(</w:t>
            </w:r>
            <w:r>
              <w:rPr>
                <w:rFonts w:hint="eastAsia"/>
                <w:szCs w:val="24"/>
              </w:rPr>
              <w:t>陕西</w:t>
            </w:r>
            <w:r>
              <w:rPr>
                <w:szCs w:val="24"/>
              </w:rPr>
              <w:t>)</w:t>
            </w:r>
            <w:r>
              <w:rPr>
                <w:rFonts w:hint="eastAsia"/>
                <w:szCs w:val="24"/>
              </w:rPr>
              <w:t>有限公司</w:t>
            </w:r>
          </w:p>
        </w:tc>
        <w:tc>
          <w:tcPr>
            <w:tcW w:w="4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4,000,000.00</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减：丧失控制权日子公司持有的现金及现金等价物</w:t>
            </w:r>
          </w:p>
        </w:tc>
        <w:tc>
          <w:tcPr>
            <w:tcW w:w="4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24,621,622.94</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其中：</w:t>
            </w:r>
          </w:p>
        </w:tc>
        <w:tc>
          <w:tcPr>
            <w:tcW w:w="45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重庆和盛医疗器械有限公司</w:t>
            </w:r>
          </w:p>
        </w:tc>
        <w:tc>
          <w:tcPr>
            <w:tcW w:w="4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6,830,391.37</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江西省美康医疗器械有限公司</w:t>
            </w:r>
          </w:p>
        </w:tc>
        <w:tc>
          <w:tcPr>
            <w:tcW w:w="4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2,699,489.18</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金华市美康盛德医学检验所有限公司</w:t>
            </w:r>
          </w:p>
        </w:tc>
        <w:tc>
          <w:tcPr>
            <w:tcW w:w="4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6,980,809.31</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上饶美康盛德医学检验所有限公司</w:t>
            </w:r>
          </w:p>
        </w:tc>
        <w:tc>
          <w:tcPr>
            <w:tcW w:w="4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7,436,947.46</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美康生物科技（舟山）有限公司</w:t>
            </w:r>
          </w:p>
        </w:tc>
        <w:tc>
          <w:tcPr>
            <w:tcW w:w="4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533,726.29</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w:t>
            </w:r>
            <w:r>
              <w:rPr>
                <w:szCs w:val="24"/>
              </w:rPr>
              <w:t>(</w:t>
            </w:r>
            <w:r>
              <w:rPr>
                <w:rFonts w:hint="eastAsia"/>
                <w:szCs w:val="24"/>
              </w:rPr>
              <w:t>陕西</w:t>
            </w:r>
            <w:r>
              <w:rPr>
                <w:szCs w:val="24"/>
              </w:rPr>
              <w:t>)</w:t>
            </w:r>
            <w:r>
              <w:rPr>
                <w:rFonts w:hint="eastAsia"/>
                <w:szCs w:val="24"/>
              </w:rPr>
              <w:t>有限公司</w:t>
            </w:r>
          </w:p>
        </w:tc>
        <w:tc>
          <w:tcPr>
            <w:tcW w:w="4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140,259.33</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加：以前期间处置子公司于本期收到的现金或现金等价物</w:t>
            </w:r>
          </w:p>
        </w:tc>
        <w:tc>
          <w:tcPr>
            <w:tcW w:w="4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9,000,000.00</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其中：</w:t>
            </w:r>
          </w:p>
        </w:tc>
        <w:tc>
          <w:tcPr>
            <w:tcW w:w="45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blPrEx>
          <w:tblCellMar>
            <w:top w:w="0" w:type="dxa"/>
            <w:left w:w="28" w:type="dxa"/>
            <w:bottom w:w="0" w:type="dxa"/>
            <w:right w:w="28" w:type="dxa"/>
          </w:tblCellMar>
        </w:tblPrEx>
        <w:tc>
          <w:tcPr>
            <w:tcW w:w="498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处置子公司收到的现金净额</w:t>
            </w:r>
          </w:p>
        </w:tc>
        <w:tc>
          <w:tcPr>
            <w:tcW w:w="4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17,018,377.06</w:t>
            </w:r>
          </w:p>
        </w:tc>
      </w:tr>
    </w:tbl>
    <w:p>
      <w:pPr>
        <w:pStyle w:val="14"/>
        <w:outlineLvl w:val="3"/>
        <w:rPr>
          <w:bCs w:val="0"/>
          <w:szCs w:val="24"/>
        </w:rPr>
      </w:pPr>
      <w:r>
        <w:rPr>
          <w:rFonts w:hint="eastAsia"/>
          <w:bCs w:val="0"/>
          <w:szCs w:val="24"/>
        </w:rPr>
        <w:t>（</w:t>
      </w:r>
      <w:r>
        <w:rPr>
          <w:bCs w:val="0"/>
          <w:szCs w:val="24"/>
        </w:rPr>
        <w:t>4</w:t>
      </w:r>
      <w:r>
        <w:rPr>
          <w:rFonts w:hint="eastAsia"/>
          <w:bCs w:val="0"/>
          <w:szCs w:val="24"/>
        </w:rPr>
        <w:t>）现金和现金等价物的构成</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327"/>
        <w:gridCol w:w="3057"/>
        <w:gridCol w:w="3184"/>
      </w:tblGrid>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0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一、现金</w:t>
            </w:r>
          </w:p>
        </w:tc>
        <w:tc>
          <w:tcPr>
            <w:tcW w:w="3057"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436,585,439.19</w:t>
            </w:r>
          </w:p>
        </w:tc>
        <w:tc>
          <w:tcPr>
            <w:tcW w:w="318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415,519,412.93</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其中：库存现金</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17,953.30</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57,959.70</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可随时用于支付的银行存款</w:t>
            </w:r>
          </w:p>
        </w:tc>
        <w:tc>
          <w:tcPr>
            <w:tcW w:w="305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436,567,485.89</w:t>
            </w:r>
          </w:p>
        </w:tc>
        <w:tc>
          <w:tcPr>
            <w:tcW w:w="31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415,461,453.23</w:t>
            </w:r>
          </w:p>
        </w:tc>
      </w:tr>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三、期末现金及现金等价物余额</w:t>
            </w:r>
          </w:p>
        </w:tc>
        <w:tc>
          <w:tcPr>
            <w:tcW w:w="3057"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436,585,439.19</w:t>
            </w:r>
          </w:p>
        </w:tc>
        <w:tc>
          <w:tcPr>
            <w:tcW w:w="318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415,519,412.93</w:t>
            </w:r>
          </w:p>
        </w:tc>
      </w:tr>
    </w:tbl>
    <w:p>
      <w:pPr>
        <w:pStyle w:val="14"/>
        <w:outlineLvl w:val="2"/>
        <w:rPr>
          <w:bCs w:val="0"/>
          <w:szCs w:val="24"/>
        </w:rPr>
      </w:pPr>
      <w:r>
        <w:rPr>
          <w:bCs w:val="0"/>
          <w:szCs w:val="24"/>
        </w:rPr>
        <w:t>80</w:t>
      </w:r>
      <w:r>
        <w:rPr>
          <w:rFonts w:hint="eastAsia"/>
          <w:bCs w:val="0"/>
          <w:szCs w:val="24"/>
        </w:rPr>
        <w:t>、所有者权益变动表项目注释</w:t>
      </w:r>
    </w:p>
    <w:p>
      <w:pPr>
        <w:jc w:val="left"/>
        <w:rPr>
          <w:szCs w:val="24"/>
        </w:rPr>
      </w:pPr>
      <w:r>
        <w:rPr>
          <w:rFonts w:hint="eastAsia"/>
          <w:szCs w:val="24"/>
        </w:rPr>
        <w:t>说明对上年期末余额进行调整的</w:t>
      </w:r>
      <w:r>
        <w:rPr>
          <w:szCs w:val="24"/>
        </w:rPr>
        <w:t>“</w:t>
      </w:r>
      <w:r>
        <w:rPr>
          <w:rFonts w:hint="eastAsia"/>
          <w:szCs w:val="24"/>
        </w:rPr>
        <w:t>其他</w:t>
      </w:r>
      <w:r>
        <w:rPr>
          <w:szCs w:val="24"/>
        </w:rPr>
        <w:t>”</w:t>
      </w:r>
      <w:r>
        <w:rPr>
          <w:rFonts w:hint="eastAsia"/>
          <w:szCs w:val="24"/>
        </w:rPr>
        <w:t>项目名称及调整金额等事项：</w:t>
      </w:r>
    </w:p>
    <w:p>
      <w:pPr>
        <w:pStyle w:val="14"/>
        <w:outlineLvl w:val="2"/>
        <w:rPr>
          <w:bCs w:val="0"/>
          <w:szCs w:val="24"/>
        </w:rPr>
      </w:pPr>
      <w:r>
        <w:rPr>
          <w:bCs w:val="0"/>
          <w:szCs w:val="24"/>
        </w:rPr>
        <w:t>81</w:t>
      </w:r>
      <w:r>
        <w:rPr>
          <w:rFonts w:hint="eastAsia"/>
          <w:bCs w:val="0"/>
          <w:szCs w:val="24"/>
        </w:rPr>
        <w:t>、所有权或使用权受到限制的资产</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327"/>
        <w:gridCol w:w="3057"/>
        <w:gridCol w:w="3184"/>
      </w:tblGrid>
      <w:tr>
        <w:tblPrEx>
          <w:tblCellMar>
            <w:top w:w="0" w:type="dxa"/>
            <w:left w:w="28" w:type="dxa"/>
            <w:bottom w:w="0" w:type="dxa"/>
            <w:right w:w="28" w:type="dxa"/>
          </w:tblCellMar>
        </w:tblPrEx>
        <w:tc>
          <w:tcPr>
            <w:tcW w:w="332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05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期末账面价值</w:t>
            </w:r>
          </w:p>
        </w:tc>
        <w:tc>
          <w:tcPr>
            <w:tcW w:w="31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受限原因</w:t>
            </w:r>
          </w:p>
        </w:tc>
      </w:tr>
    </w:tbl>
    <w:p>
      <w:pPr>
        <w:pStyle w:val="14"/>
        <w:outlineLvl w:val="2"/>
        <w:rPr>
          <w:bCs w:val="0"/>
          <w:szCs w:val="24"/>
        </w:rPr>
      </w:pPr>
      <w:r>
        <w:rPr>
          <w:bCs w:val="0"/>
          <w:szCs w:val="24"/>
        </w:rPr>
        <w:t>82</w:t>
      </w:r>
      <w:r>
        <w:rPr>
          <w:rFonts w:hint="eastAsia"/>
          <w:bCs w:val="0"/>
          <w:szCs w:val="24"/>
        </w:rPr>
        <w:t>、外币货币性项目</w:t>
      </w:r>
    </w:p>
    <w:p>
      <w:pPr>
        <w:pStyle w:val="14"/>
        <w:outlineLvl w:val="3"/>
        <w:rPr>
          <w:bCs w:val="0"/>
          <w:szCs w:val="24"/>
        </w:rPr>
      </w:pPr>
      <w:r>
        <w:rPr>
          <w:rFonts w:hint="eastAsia"/>
          <w:bCs w:val="0"/>
          <w:szCs w:val="24"/>
        </w:rPr>
        <w:t>（</w:t>
      </w:r>
      <w:r>
        <w:rPr>
          <w:bCs w:val="0"/>
          <w:szCs w:val="24"/>
        </w:rPr>
        <w:t>1</w:t>
      </w:r>
      <w:r>
        <w:rPr>
          <w:rFonts w:hint="eastAsia"/>
          <w:bCs w:val="0"/>
          <w:szCs w:val="24"/>
        </w:rPr>
        <w:t>）外币货币性项目</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495"/>
        <w:gridCol w:w="2293"/>
        <w:gridCol w:w="2390"/>
        <w:gridCol w:w="2390"/>
      </w:tblGrid>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22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期末外币余额</w:t>
            </w:r>
          </w:p>
        </w:tc>
        <w:tc>
          <w:tcPr>
            <w:tcW w:w="23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折算汇率</w:t>
            </w:r>
          </w:p>
        </w:tc>
        <w:tc>
          <w:tcPr>
            <w:tcW w:w="23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期末折算人民币余额</w:t>
            </w: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货币资金</w:t>
            </w:r>
          </w:p>
        </w:tc>
        <w:tc>
          <w:tcPr>
            <w:tcW w:w="22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3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其中：美元</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1,556,545.69</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6.9762</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10,858,774.04</w:t>
            </w: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欧元</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11,405.35</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7.8155</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89,138.51</w:t>
            </w: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港币</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480,012.83</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0.89578</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429,985.89</w:t>
            </w: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 xml:space="preserve">          </w:t>
            </w:r>
            <w:r>
              <w:rPr>
                <w:rFonts w:hint="eastAsia"/>
                <w:szCs w:val="24"/>
              </w:rPr>
              <w:t>日元</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24,538,863.00</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0.064086</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1,572,597.57</w:t>
            </w: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应收账款</w:t>
            </w:r>
          </w:p>
        </w:tc>
        <w:tc>
          <w:tcPr>
            <w:tcW w:w="22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3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其中：美元</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328,218.64</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6.9762</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2,289,718.88</w:t>
            </w: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欧元</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港币</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其他应收款</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其中：美元</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2,127,979.84</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6.9762</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14,845,212.96</w:t>
            </w: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应付账款</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其中：美元</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1,069,513.49</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6.9762</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7,461,140.01</w:t>
            </w: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欧元</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1,950.00</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7.8155</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15,240.23</w:t>
            </w: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日元</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8,168,000.00</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0.064086</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523,454.45</w:t>
            </w: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其他应付款</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其中：美元</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320,312.96</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6.9762</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2,234,567.27</w:t>
            </w: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长期借款</w:t>
            </w:r>
          </w:p>
        </w:tc>
        <w:tc>
          <w:tcPr>
            <w:tcW w:w="22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3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其中：美元</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欧元</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港币</w:t>
            </w: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4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2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bl>
    <w:p>
      <w:pPr>
        <w:pStyle w:val="14"/>
        <w:outlineLvl w:val="3"/>
        <w:rPr>
          <w:bCs w:val="0"/>
          <w:szCs w:val="24"/>
        </w:rPr>
      </w:pPr>
      <w:r>
        <w:rPr>
          <w:rFonts w:hint="eastAsia"/>
          <w:bCs w:val="0"/>
          <w:szCs w:val="24"/>
        </w:rPr>
        <w:t>（</w:t>
      </w:r>
      <w:r>
        <w:rPr>
          <w:bCs w:val="0"/>
          <w:szCs w:val="24"/>
        </w:rPr>
        <w:t>2</w:t>
      </w:r>
      <w:r>
        <w:rPr>
          <w:rFonts w:hint="eastAsia"/>
          <w:bCs w:val="0"/>
          <w:szCs w:val="24"/>
        </w:rPr>
        <w:t>）境外经营实体说明，包括对于重要的境外经营实体，应披露其境外主要经营地、记账本位币及选择依据，记账本位币发生变化的还应披露原因。</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tbl>
      <w:tblPr>
        <w:tblStyle w:val="9"/>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 w:type="dxa"/>
          <w:left w:w="10" w:type="dxa"/>
          <w:bottom w:w="10" w:type="dxa"/>
          <w:right w:w="10" w:type="dxa"/>
        </w:tblCellMar>
      </w:tblPr>
      <w:tblGrid>
        <w:gridCol w:w="2840"/>
        <w:gridCol w:w="2844"/>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rPr>
          <w:trHeight w:val="312" w:hRule="atLeast"/>
        </w:trPr>
        <w:tc>
          <w:tcPr>
            <w:tcW w:w="2840" w:type="dxa"/>
            <w:vMerge w:val="restart"/>
          </w:tcPr>
          <w:p>
            <w:pPr>
              <w:autoSpaceDE w:val="0"/>
              <w:autoSpaceDN w:val="0"/>
              <w:adjustRightInd w:val="0"/>
              <w:spacing w:before="0" w:after="0"/>
              <w:ind w:firstLine="2"/>
              <w:jc w:val="center"/>
              <w:rPr>
                <w:rFonts w:eastAsia="Times New Roman"/>
                <w:kern w:val="0"/>
                <w:szCs w:val="24"/>
                <w:lang w:val="zh-CN"/>
              </w:rPr>
            </w:pPr>
            <w:r>
              <w:rPr>
                <w:rFonts w:hint="eastAsia" w:ascii="宋体" w:hAnsi="宋体" w:cs="宋体"/>
                <w:kern w:val="0"/>
                <w:szCs w:val="24"/>
                <w:lang w:val="zh-CN"/>
              </w:rPr>
              <w:t>项目</w:t>
            </w:r>
          </w:p>
        </w:tc>
        <w:tc>
          <w:tcPr>
            <w:tcW w:w="5689" w:type="dxa"/>
            <w:gridSpan w:val="2"/>
          </w:tcPr>
          <w:p>
            <w:pPr>
              <w:autoSpaceDE w:val="0"/>
              <w:autoSpaceDN w:val="0"/>
              <w:adjustRightInd w:val="0"/>
              <w:spacing w:before="0" w:after="0"/>
              <w:ind w:firstLine="2"/>
              <w:jc w:val="center"/>
              <w:rPr>
                <w:rFonts w:eastAsia="Times New Roman"/>
                <w:kern w:val="0"/>
                <w:szCs w:val="24"/>
                <w:lang w:val="zh-CN"/>
              </w:rPr>
            </w:pPr>
            <w:r>
              <w:rPr>
                <w:rFonts w:hint="eastAsia" w:ascii="宋体" w:hAnsi="宋体" w:cs="宋体"/>
                <w:kern w:val="0"/>
                <w:szCs w:val="24"/>
                <w:lang w:val="zh-CN"/>
              </w:rPr>
              <w:t>圣地亚哥美康及伯明翰美康（美元兑人民币）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rPr>
          <w:trHeight w:val="312" w:hRule="atLeast"/>
        </w:trPr>
        <w:tc>
          <w:tcPr>
            <w:tcW w:w="2840" w:type="dxa"/>
            <w:vMerge w:val="continue"/>
          </w:tcPr>
          <w:p>
            <w:pPr>
              <w:autoSpaceDE w:val="0"/>
              <w:autoSpaceDN w:val="0"/>
              <w:adjustRightInd w:val="0"/>
              <w:spacing w:before="0" w:after="0"/>
              <w:jc w:val="left"/>
              <w:rPr>
                <w:rFonts w:eastAsia="Times New Roman"/>
                <w:kern w:val="0"/>
                <w:szCs w:val="24"/>
                <w:lang w:val="zh-CN"/>
              </w:rPr>
            </w:pPr>
          </w:p>
        </w:tc>
        <w:tc>
          <w:tcPr>
            <w:tcW w:w="2844" w:type="dxa"/>
          </w:tcPr>
          <w:p>
            <w:pPr>
              <w:autoSpaceDE w:val="0"/>
              <w:autoSpaceDN w:val="0"/>
              <w:adjustRightInd w:val="0"/>
              <w:spacing w:before="0" w:after="0"/>
              <w:ind w:firstLine="2"/>
              <w:jc w:val="center"/>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年度</w:t>
            </w:r>
          </w:p>
        </w:tc>
        <w:tc>
          <w:tcPr>
            <w:tcW w:w="2845" w:type="dxa"/>
          </w:tcPr>
          <w:p>
            <w:pPr>
              <w:autoSpaceDE w:val="0"/>
              <w:autoSpaceDN w:val="0"/>
              <w:adjustRightInd w:val="0"/>
              <w:spacing w:before="0" w:after="0"/>
              <w:ind w:firstLine="2"/>
              <w:jc w:val="center"/>
              <w:rPr>
                <w:rFonts w:eastAsia="Times New Roman"/>
                <w:kern w:val="0"/>
                <w:szCs w:val="24"/>
                <w:lang w:val="zh-CN"/>
              </w:rPr>
            </w:pPr>
            <w:r>
              <w:rPr>
                <w:rFonts w:eastAsia="Times New Roman"/>
                <w:kern w:val="0"/>
                <w:szCs w:val="24"/>
                <w:lang w:val="zh-CN"/>
              </w:rPr>
              <w:t>2018</w:t>
            </w:r>
            <w:r>
              <w:rPr>
                <w:rFonts w:hint="eastAsia" w:ascii="宋体" w:hAnsi="宋体" w:cs="宋体"/>
                <w:kern w:val="0"/>
                <w:szCs w:val="24"/>
                <w:lang w:val="zh-CN"/>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2840" w:type="dxa"/>
          </w:tcPr>
          <w:p>
            <w:pPr>
              <w:autoSpaceDE w:val="0"/>
              <w:autoSpaceDN w:val="0"/>
              <w:adjustRightInd w:val="0"/>
              <w:spacing w:before="0" w:after="0"/>
              <w:ind w:firstLine="2"/>
              <w:jc w:val="left"/>
              <w:rPr>
                <w:rFonts w:eastAsia="Times New Roman"/>
                <w:kern w:val="0"/>
                <w:szCs w:val="24"/>
                <w:lang w:val="zh-CN"/>
              </w:rPr>
            </w:pPr>
            <w:r>
              <w:rPr>
                <w:rFonts w:hint="eastAsia" w:ascii="宋体" w:hAnsi="宋体" w:cs="宋体"/>
                <w:kern w:val="0"/>
                <w:szCs w:val="24"/>
                <w:lang w:val="zh-CN"/>
              </w:rPr>
              <w:t>资产和负债项目</w:t>
            </w:r>
          </w:p>
        </w:tc>
        <w:tc>
          <w:tcPr>
            <w:tcW w:w="2844" w:type="dxa"/>
          </w:tcPr>
          <w:p>
            <w:pPr>
              <w:autoSpaceDE w:val="0"/>
              <w:autoSpaceDN w:val="0"/>
              <w:adjustRightInd w:val="0"/>
              <w:spacing w:before="0" w:after="0"/>
              <w:jc w:val="right"/>
              <w:rPr>
                <w:rFonts w:eastAsia="Times New Roman"/>
                <w:kern w:val="0"/>
                <w:szCs w:val="24"/>
                <w:lang w:val="zh-CN"/>
              </w:rPr>
            </w:pPr>
            <w:r>
              <w:rPr>
                <w:rFonts w:eastAsia="Times New Roman"/>
                <w:kern w:val="0"/>
                <w:szCs w:val="24"/>
                <w:lang w:val="zh-CN"/>
              </w:rPr>
              <w:t>6.9762</w:t>
            </w:r>
          </w:p>
        </w:tc>
        <w:tc>
          <w:tcPr>
            <w:tcW w:w="2845" w:type="dxa"/>
          </w:tcPr>
          <w:p>
            <w:pPr>
              <w:autoSpaceDE w:val="0"/>
              <w:autoSpaceDN w:val="0"/>
              <w:adjustRightInd w:val="0"/>
              <w:spacing w:before="0" w:after="0"/>
              <w:jc w:val="right"/>
              <w:rPr>
                <w:rFonts w:eastAsia="Times New Roman"/>
                <w:kern w:val="0"/>
                <w:szCs w:val="24"/>
                <w:lang w:val="zh-CN"/>
              </w:rPr>
            </w:pPr>
            <w:r>
              <w:rPr>
                <w:rFonts w:eastAsia="Times New Roman"/>
                <w:kern w:val="0"/>
                <w:szCs w:val="24"/>
                <w:lang w:val="zh-CN"/>
              </w:rPr>
              <w:t>6.8632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2840" w:type="dxa"/>
          </w:tcPr>
          <w:p>
            <w:pPr>
              <w:autoSpaceDE w:val="0"/>
              <w:autoSpaceDN w:val="0"/>
              <w:adjustRightInd w:val="0"/>
              <w:spacing w:before="0" w:after="0"/>
              <w:ind w:firstLine="2"/>
              <w:jc w:val="left"/>
              <w:rPr>
                <w:rFonts w:eastAsia="Times New Roman"/>
                <w:kern w:val="0"/>
                <w:szCs w:val="24"/>
                <w:lang w:val="zh-CN"/>
              </w:rPr>
            </w:pPr>
            <w:r>
              <w:rPr>
                <w:rFonts w:hint="eastAsia" w:ascii="宋体" w:hAnsi="宋体" w:cs="宋体"/>
                <w:kern w:val="0"/>
                <w:szCs w:val="24"/>
                <w:lang w:val="zh-CN"/>
              </w:rPr>
              <w:t>收入和费用项目</w:t>
            </w:r>
          </w:p>
        </w:tc>
        <w:tc>
          <w:tcPr>
            <w:tcW w:w="2844" w:type="dxa"/>
          </w:tcPr>
          <w:p>
            <w:pPr>
              <w:autoSpaceDE w:val="0"/>
              <w:autoSpaceDN w:val="0"/>
              <w:adjustRightInd w:val="0"/>
              <w:spacing w:before="0" w:after="0"/>
              <w:jc w:val="right"/>
              <w:rPr>
                <w:rFonts w:eastAsia="Times New Roman"/>
                <w:kern w:val="0"/>
                <w:szCs w:val="24"/>
                <w:lang w:val="zh-CN"/>
              </w:rPr>
            </w:pPr>
            <w:r>
              <w:rPr>
                <w:rFonts w:eastAsia="Times New Roman"/>
                <w:kern w:val="0"/>
                <w:szCs w:val="24"/>
                <w:lang w:val="zh-CN"/>
              </w:rPr>
              <w:t>6.9197</w:t>
            </w:r>
          </w:p>
        </w:tc>
        <w:tc>
          <w:tcPr>
            <w:tcW w:w="2845" w:type="dxa"/>
          </w:tcPr>
          <w:p>
            <w:pPr>
              <w:autoSpaceDE w:val="0"/>
              <w:autoSpaceDN w:val="0"/>
              <w:adjustRightInd w:val="0"/>
              <w:spacing w:before="0" w:after="0"/>
              <w:jc w:val="right"/>
              <w:rPr>
                <w:rFonts w:eastAsia="Times New Roman"/>
                <w:kern w:val="0"/>
                <w:szCs w:val="24"/>
                <w:lang w:val="zh-CN"/>
              </w:rPr>
            </w:pPr>
            <w:r>
              <w:rPr>
                <w:rFonts w:eastAsia="Times New Roman"/>
                <w:kern w:val="0"/>
                <w:szCs w:val="24"/>
                <w:lang w:val="zh-CN"/>
              </w:rPr>
              <w:t>6.6201</w:t>
            </w:r>
          </w:p>
        </w:tc>
      </w:tr>
    </w:tbl>
    <w:p>
      <w:pPr>
        <w:autoSpaceDE w:val="0"/>
        <w:autoSpaceDN w:val="0"/>
        <w:adjustRightInd w:val="0"/>
        <w:spacing w:before="0" w:after="0"/>
        <w:jc w:val="left"/>
        <w:rPr>
          <w:rFonts w:eastAsia="Times New Roman"/>
          <w:kern w:val="0"/>
          <w:szCs w:val="24"/>
          <w:lang w:val="zh-CN"/>
        </w:rPr>
      </w:pPr>
    </w:p>
    <w:tbl>
      <w:tblPr>
        <w:tblStyle w:val="9"/>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 w:type="dxa"/>
          <w:left w:w="10" w:type="dxa"/>
          <w:bottom w:w="10" w:type="dxa"/>
          <w:right w:w="10" w:type="dxa"/>
        </w:tblCellMar>
      </w:tblPr>
      <w:tblGrid>
        <w:gridCol w:w="2840"/>
        <w:gridCol w:w="2844"/>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rPr>
          <w:trHeight w:val="312" w:hRule="atLeast"/>
        </w:trPr>
        <w:tc>
          <w:tcPr>
            <w:tcW w:w="2840" w:type="dxa"/>
            <w:vMerge w:val="restart"/>
          </w:tcPr>
          <w:p>
            <w:pPr>
              <w:autoSpaceDE w:val="0"/>
              <w:autoSpaceDN w:val="0"/>
              <w:adjustRightInd w:val="0"/>
              <w:spacing w:before="0" w:after="0"/>
              <w:ind w:firstLine="2"/>
              <w:jc w:val="center"/>
              <w:rPr>
                <w:rFonts w:eastAsia="Times New Roman"/>
                <w:kern w:val="0"/>
                <w:szCs w:val="24"/>
                <w:lang w:val="zh-CN"/>
              </w:rPr>
            </w:pPr>
            <w:r>
              <w:rPr>
                <w:rFonts w:hint="eastAsia" w:ascii="宋体" w:hAnsi="宋体" w:cs="宋体"/>
                <w:kern w:val="0"/>
                <w:szCs w:val="24"/>
                <w:lang w:val="zh-CN"/>
              </w:rPr>
              <w:t>项目</w:t>
            </w:r>
          </w:p>
        </w:tc>
        <w:tc>
          <w:tcPr>
            <w:tcW w:w="5689" w:type="dxa"/>
            <w:gridSpan w:val="2"/>
          </w:tcPr>
          <w:p>
            <w:pPr>
              <w:autoSpaceDE w:val="0"/>
              <w:autoSpaceDN w:val="0"/>
              <w:adjustRightInd w:val="0"/>
              <w:spacing w:before="0" w:after="0"/>
              <w:ind w:firstLine="2"/>
              <w:jc w:val="center"/>
              <w:rPr>
                <w:rFonts w:eastAsia="Times New Roman"/>
                <w:kern w:val="0"/>
                <w:szCs w:val="24"/>
                <w:lang w:val="zh-CN"/>
              </w:rPr>
            </w:pPr>
            <w:r>
              <w:rPr>
                <w:rFonts w:hint="eastAsia" w:ascii="宋体" w:hAnsi="宋体" w:cs="宋体"/>
                <w:kern w:val="0"/>
                <w:szCs w:val="24"/>
                <w:lang w:val="zh-CN"/>
              </w:rPr>
              <w:t>京都生命（日元兑人民币）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rPr>
          <w:trHeight w:val="312" w:hRule="atLeast"/>
        </w:trPr>
        <w:tc>
          <w:tcPr>
            <w:tcW w:w="2840" w:type="dxa"/>
            <w:vMerge w:val="continue"/>
          </w:tcPr>
          <w:p>
            <w:pPr>
              <w:autoSpaceDE w:val="0"/>
              <w:autoSpaceDN w:val="0"/>
              <w:adjustRightInd w:val="0"/>
              <w:spacing w:before="0" w:after="0"/>
              <w:jc w:val="left"/>
              <w:rPr>
                <w:rFonts w:eastAsia="Times New Roman"/>
                <w:kern w:val="0"/>
                <w:szCs w:val="24"/>
                <w:lang w:val="zh-CN"/>
              </w:rPr>
            </w:pPr>
          </w:p>
        </w:tc>
        <w:tc>
          <w:tcPr>
            <w:tcW w:w="2844" w:type="dxa"/>
          </w:tcPr>
          <w:p>
            <w:pPr>
              <w:autoSpaceDE w:val="0"/>
              <w:autoSpaceDN w:val="0"/>
              <w:adjustRightInd w:val="0"/>
              <w:spacing w:before="0" w:after="0"/>
              <w:ind w:firstLine="2"/>
              <w:jc w:val="center"/>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年度</w:t>
            </w:r>
          </w:p>
        </w:tc>
        <w:tc>
          <w:tcPr>
            <w:tcW w:w="2845" w:type="dxa"/>
          </w:tcPr>
          <w:p>
            <w:pPr>
              <w:autoSpaceDE w:val="0"/>
              <w:autoSpaceDN w:val="0"/>
              <w:adjustRightInd w:val="0"/>
              <w:spacing w:before="0" w:after="0"/>
              <w:ind w:firstLine="2"/>
              <w:jc w:val="center"/>
              <w:rPr>
                <w:rFonts w:eastAsia="Times New Roman"/>
                <w:kern w:val="0"/>
                <w:szCs w:val="24"/>
                <w:lang w:val="zh-CN"/>
              </w:rPr>
            </w:pPr>
            <w:r>
              <w:rPr>
                <w:rFonts w:eastAsia="Times New Roman"/>
                <w:kern w:val="0"/>
                <w:szCs w:val="24"/>
                <w:lang w:val="zh-CN"/>
              </w:rPr>
              <w:t>2018</w:t>
            </w:r>
            <w:r>
              <w:rPr>
                <w:rFonts w:hint="eastAsia" w:ascii="宋体" w:hAnsi="宋体" w:cs="宋体"/>
                <w:kern w:val="0"/>
                <w:szCs w:val="24"/>
                <w:lang w:val="zh-CN"/>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rPr>
          <w:trHeight w:val="312" w:hRule="atLeast"/>
        </w:trPr>
        <w:tc>
          <w:tcPr>
            <w:tcW w:w="2840" w:type="dxa"/>
          </w:tcPr>
          <w:p>
            <w:pPr>
              <w:autoSpaceDE w:val="0"/>
              <w:autoSpaceDN w:val="0"/>
              <w:adjustRightInd w:val="0"/>
              <w:spacing w:before="0" w:after="0"/>
              <w:ind w:firstLine="2"/>
              <w:jc w:val="left"/>
              <w:rPr>
                <w:rFonts w:eastAsia="Times New Roman"/>
                <w:kern w:val="0"/>
                <w:szCs w:val="24"/>
                <w:lang w:val="zh-CN"/>
              </w:rPr>
            </w:pPr>
            <w:r>
              <w:rPr>
                <w:rFonts w:hint="eastAsia" w:ascii="宋体" w:hAnsi="宋体" w:cs="宋体"/>
                <w:kern w:val="0"/>
                <w:szCs w:val="24"/>
                <w:lang w:val="zh-CN"/>
              </w:rPr>
              <w:t>资产和负债项目</w:t>
            </w:r>
          </w:p>
        </w:tc>
        <w:tc>
          <w:tcPr>
            <w:tcW w:w="2844" w:type="dxa"/>
          </w:tcPr>
          <w:p>
            <w:pPr>
              <w:autoSpaceDE w:val="0"/>
              <w:autoSpaceDN w:val="0"/>
              <w:adjustRightInd w:val="0"/>
              <w:spacing w:before="0" w:after="0"/>
              <w:ind w:firstLine="2"/>
              <w:jc w:val="right"/>
              <w:rPr>
                <w:rFonts w:eastAsia="Times New Roman"/>
                <w:kern w:val="0"/>
                <w:szCs w:val="24"/>
                <w:lang w:val="zh-CN"/>
              </w:rPr>
            </w:pPr>
            <w:r>
              <w:rPr>
                <w:rFonts w:eastAsia="Times New Roman"/>
                <w:kern w:val="0"/>
                <w:szCs w:val="24"/>
                <w:lang w:val="zh-CN"/>
              </w:rPr>
              <w:t>0.064086</w:t>
            </w:r>
          </w:p>
        </w:tc>
        <w:tc>
          <w:tcPr>
            <w:tcW w:w="2845" w:type="dxa"/>
          </w:tcPr>
          <w:p>
            <w:pPr>
              <w:autoSpaceDE w:val="0"/>
              <w:autoSpaceDN w:val="0"/>
              <w:adjustRightInd w:val="0"/>
              <w:spacing w:before="0" w:after="0"/>
              <w:ind w:firstLine="2"/>
              <w:jc w:val="right"/>
              <w:rPr>
                <w:rFonts w:eastAsia="Times New Roman"/>
                <w:kern w:val="0"/>
                <w:szCs w:val="24"/>
                <w:lang w:val="zh-CN"/>
              </w:rPr>
            </w:pPr>
            <w:r>
              <w:rPr>
                <w:rFonts w:eastAsia="Times New Roman"/>
                <w:kern w:val="0"/>
                <w:szCs w:val="24"/>
                <w:lang w:val="zh-CN"/>
              </w:rPr>
              <w:t>0.061887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rPr>
          <w:trHeight w:val="312" w:hRule="atLeast"/>
        </w:trPr>
        <w:tc>
          <w:tcPr>
            <w:tcW w:w="2840" w:type="dxa"/>
          </w:tcPr>
          <w:p>
            <w:pPr>
              <w:autoSpaceDE w:val="0"/>
              <w:autoSpaceDN w:val="0"/>
              <w:adjustRightInd w:val="0"/>
              <w:spacing w:before="0" w:after="0"/>
              <w:ind w:firstLine="2"/>
              <w:jc w:val="left"/>
              <w:rPr>
                <w:rFonts w:eastAsia="Times New Roman"/>
                <w:kern w:val="0"/>
                <w:szCs w:val="24"/>
                <w:lang w:val="zh-CN"/>
              </w:rPr>
            </w:pPr>
            <w:r>
              <w:rPr>
                <w:rFonts w:hint="eastAsia" w:ascii="宋体" w:hAnsi="宋体" w:cs="宋体"/>
                <w:kern w:val="0"/>
                <w:szCs w:val="24"/>
                <w:lang w:val="zh-CN"/>
              </w:rPr>
              <w:t>收入和费用项目</w:t>
            </w:r>
          </w:p>
        </w:tc>
        <w:tc>
          <w:tcPr>
            <w:tcW w:w="2844" w:type="dxa"/>
          </w:tcPr>
          <w:p>
            <w:pPr>
              <w:autoSpaceDE w:val="0"/>
              <w:autoSpaceDN w:val="0"/>
              <w:adjustRightInd w:val="0"/>
              <w:spacing w:before="0" w:after="0"/>
              <w:ind w:firstLine="2"/>
              <w:jc w:val="right"/>
              <w:rPr>
                <w:rFonts w:eastAsia="Times New Roman"/>
                <w:kern w:val="0"/>
                <w:szCs w:val="24"/>
                <w:lang w:val="zh-CN"/>
              </w:rPr>
            </w:pPr>
            <w:r>
              <w:rPr>
                <w:rFonts w:eastAsia="Times New Roman"/>
                <w:kern w:val="0"/>
                <w:szCs w:val="24"/>
                <w:lang w:val="zh-CN"/>
              </w:rPr>
              <w:t>0.062987</w:t>
            </w:r>
          </w:p>
        </w:tc>
        <w:tc>
          <w:tcPr>
            <w:tcW w:w="2845" w:type="dxa"/>
          </w:tcPr>
          <w:p>
            <w:pPr>
              <w:autoSpaceDE w:val="0"/>
              <w:autoSpaceDN w:val="0"/>
              <w:adjustRightInd w:val="0"/>
              <w:spacing w:before="0" w:after="0"/>
              <w:ind w:firstLine="2"/>
              <w:jc w:val="right"/>
              <w:rPr>
                <w:rFonts w:eastAsia="Times New Roman"/>
                <w:kern w:val="0"/>
                <w:szCs w:val="24"/>
                <w:lang w:val="zh-CN"/>
              </w:rPr>
            </w:pPr>
            <w:r>
              <w:rPr>
                <w:rFonts w:eastAsia="Times New Roman"/>
                <w:kern w:val="0"/>
                <w:szCs w:val="24"/>
                <w:lang w:val="zh-CN"/>
              </w:rPr>
              <w:t>0.059940</w:t>
            </w:r>
          </w:p>
        </w:tc>
      </w:tr>
    </w:tbl>
    <w:p>
      <w:pPr>
        <w:autoSpaceDE w:val="0"/>
        <w:autoSpaceDN w:val="0"/>
        <w:adjustRightInd w:val="0"/>
        <w:spacing w:before="0" w:after="0"/>
        <w:jc w:val="left"/>
        <w:rPr>
          <w:rFonts w:eastAsia="Times New Roman"/>
          <w:kern w:val="0"/>
          <w:szCs w:val="24"/>
          <w:lang w:val="zh-CN"/>
        </w:rPr>
      </w:pPr>
    </w:p>
    <w:tbl>
      <w:tblPr>
        <w:tblStyle w:val="9"/>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 w:type="dxa"/>
          <w:left w:w="10" w:type="dxa"/>
          <w:bottom w:w="10" w:type="dxa"/>
          <w:right w:w="10" w:type="dxa"/>
        </w:tblCellMar>
      </w:tblPr>
      <w:tblGrid>
        <w:gridCol w:w="2840"/>
        <w:gridCol w:w="2844"/>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rPr>
          <w:trHeight w:val="312" w:hRule="atLeast"/>
        </w:trPr>
        <w:tc>
          <w:tcPr>
            <w:tcW w:w="2840" w:type="dxa"/>
            <w:vMerge w:val="restart"/>
          </w:tcPr>
          <w:p>
            <w:pPr>
              <w:autoSpaceDE w:val="0"/>
              <w:autoSpaceDN w:val="0"/>
              <w:adjustRightInd w:val="0"/>
              <w:spacing w:before="0" w:after="0"/>
              <w:ind w:firstLine="2"/>
              <w:jc w:val="center"/>
              <w:rPr>
                <w:rFonts w:eastAsia="Times New Roman"/>
                <w:kern w:val="0"/>
                <w:szCs w:val="24"/>
                <w:lang w:val="zh-CN"/>
              </w:rPr>
            </w:pPr>
            <w:r>
              <w:rPr>
                <w:rFonts w:hint="eastAsia" w:ascii="宋体" w:hAnsi="宋体" w:cs="宋体"/>
                <w:kern w:val="0"/>
                <w:szCs w:val="24"/>
                <w:lang w:val="zh-CN"/>
              </w:rPr>
              <w:t>项目</w:t>
            </w:r>
          </w:p>
        </w:tc>
        <w:tc>
          <w:tcPr>
            <w:tcW w:w="5689" w:type="dxa"/>
            <w:gridSpan w:val="2"/>
          </w:tcPr>
          <w:p>
            <w:pPr>
              <w:autoSpaceDE w:val="0"/>
              <w:autoSpaceDN w:val="0"/>
              <w:adjustRightInd w:val="0"/>
              <w:spacing w:before="0" w:after="0"/>
              <w:ind w:firstLine="2"/>
              <w:jc w:val="center"/>
              <w:rPr>
                <w:rFonts w:eastAsia="Times New Roman"/>
                <w:kern w:val="0"/>
                <w:szCs w:val="24"/>
                <w:lang w:val="zh-CN"/>
              </w:rPr>
            </w:pPr>
            <w:r>
              <w:rPr>
                <w:rFonts w:hint="eastAsia" w:ascii="宋体" w:hAnsi="宋体" w:cs="宋体"/>
                <w:kern w:val="0"/>
                <w:szCs w:val="24"/>
                <w:lang w:val="zh-CN"/>
              </w:rPr>
              <w:t>香港美康（港元兑人民币）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rPr>
          <w:trHeight w:val="312" w:hRule="atLeast"/>
        </w:trPr>
        <w:tc>
          <w:tcPr>
            <w:tcW w:w="2840" w:type="dxa"/>
            <w:vMerge w:val="continue"/>
          </w:tcPr>
          <w:p>
            <w:pPr>
              <w:autoSpaceDE w:val="0"/>
              <w:autoSpaceDN w:val="0"/>
              <w:adjustRightInd w:val="0"/>
              <w:spacing w:before="0" w:after="0"/>
              <w:jc w:val="left"/>
              <w:rPr>
                <w:rFonts w:eastAsia="Times New Roman"/>
                <w:kern w:val="0"/>
                <w:szCs w:val="24"/>
                <w:lang w:val="zh-CN"/>
              </w:rPr>
            </w:pPr>
          </w:p>
        </w:tc>
        <w:tc>
          <w:tcPr>
            <w:tcW w:w="2844" w:type="dxa"/>
          </w:tcPr>
          <w:p>
            <w:pPr>
              <w:autoSpaceDE w:val="0"/>
              <w:autoSpaceDN w:val="0"/>
              <w:adjustRightInd w:val="0"/>
              <w:spacing w:before="0" w:after="0"/>
              <w:ind w:firstLine="2"/>
              <w:jc w:val="center"/>
              <w:rPr>
                <w:rFonts w:eastAsia="Times New Roman"/>
                <w:kern w:val="0"/>
                <w:szCs w:val="24"/>
                <w:lang w:val="zh-CN"/>
              </w:rPr>
            </w:pPr>
            <w:r>
              <w:rPr>
                <w:rFonts w:eastAsia="Times New Roman"/>
                <w:kern w:val="0"/>
                <w:szCs w:val="24"/>
                <w:lang w:val="zh-CN"/>
              </w:rPr>
              <w:t>2019</w:t>
            </w:r>
            <w:r>
              <w:rPr>
                <w:rFonts w:hint="eastAsia" w:ascii="宋体" w:hAnsi="宋体" w:cs="宋体"/>
                <w:kern w:val="0"/>
                <w:szCs w:val="24"/>
                <w:lang w:val="zh-CN"/>
              </w:rPr>
              <w:t>年度</w:t>
            </w:r>
          </w:p>
        </w:tc>
        <w:tc>
          <w:tcPr>
            <w:tcW w:w="2845" w:type="dxa"/>
          </w:tcPr>
          <w:p>
            <w:pPr>
              <w:autoSpaceDE w:val="0"/>
              <w:autoSpaceDN w:val="0"/>
              <w:adjustRightInd w:val="0"/>
              <w:spacing w:before="0" w:after="0"/>
              <w:ind w:firstLine="2"/>
              <w:jc w:val="center"/>
              <w:rPr>
                <w:rFonts w:eastAsia="Times New Roman"/>
                <w:kern w:val="0"/>
                <w:szCs w:val="24"/>
                <w:lang w:val="zh-CN"/>
              </w:rPr>
            </w:pPr>
            <w:r>
              <w:rPr>
                <w:rFonts w:eastAsia="Times New Roman"/>
                <w:kern w:val="0"/>
                <w:szCs w:val="24"/>
                <w:lang w:val="zh-CN"/>
              </w:rPr>
              <w:t>2018</w:t>
            </w:r>
            <w:r>
              <w:rPr>
                <w:rFonts w:hint="eastAsia" w:ascii="宋体" w:hAnsi="宋体" w:cs="宋体"/>
                <w:kern w:val="0"/>
                <w:szCs w:val="24"/>
                <w:lang w:val="zh-CN"/>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rPr>
          <w:trHeight w:val="312" w:hRule="atLeast"/>
        </w:trPr>
        <w:tc>
          <w:tcPr>
            <w:tcW w:w="2840" w:type="dxa"/>
          </w:tcPr>
          <w:p>
            <w:pPr>
              <w:autoSpaceDE w:val="0"/>
              <w:autoSpaceDN w:val="0"/>
              <w:adjustRightInd w:val="0"/>
              <w:spacing w:before="0" w:after="0"/>
              <w:ind w:firstLine="2"/>
              <w:jc w:val="left"/>
              <w:rPr>
                <w:rFonts w:eastAsia="Times New Roman"/>
                <w:kern w:val="0"/>
                <w:szCs w:val="24"/>
                <w:lang w:val="zh-CN"/>
              </w:rPr>
            </w:pPr>
            <w:r>
              <w:rPr>
                <w:rFonts w:hint="eastAsia" w:ascii="宋体" w:hAnsi="宋体" w:cs="宋体"/>
                <w:kern w:val="0"/>
                <w:szCs w:val="24"/>
                <w:lang w:val="zh-CN"/>
              </w:rPr>
              <w:t>资产和负债项目</w:t>
            </w:r>
          </w:p>
        </w:tc>
        <w:tc>
          <w:tcPr>
            <w:tcW w:w="2844" w:type="dxa"/>
          </w:tcPr>
          <w:p>
            <w:pPr>
              <w:autoSpaceDE w:val="0"/>
              <w:autoSpaceDN w:val="0"/>
              <w:adjustRightInd w:val="0"/>
              <w:spacing w:before="0" w:after="0"/>
              <w:ind w:firstLine="2"/>
              <w:jc w:val="right"/>
              <w:rPr>
                <w:rFonts w:eastAsia="Times New Roman"/>
                <w:kern w:val="0"/>
                <w:szCs w:val="24"/>
                <w:lang w:val="zh-CN"/>
              </w:rPr>
            </w:pPr>
            <w:r>
              <w:rPr>
                <w:rFonts w:eastAsia="Times New Roman"/>
                <w:kern w:val="0"/>
                <w:szCs w:val="24"/>
                <w:lang w:val="zh-CN"/>
              </w:rPr>
              <w:t>0.89578</w:t>
            </w:r>
          </w:p>
        </w:tc>
        <w:tc>
          <w:tcPr>
            <w:tcW w:w="2845" w:type="dxa"/>
          </w:tcPr>
          <w:p>
            <w:pPr>
              <w:autoSpaceDE w:val="0"/>
              <w:autoSpaceDN w:val="0"/>
              <w:adjustRightInd w:val="0"/>
              <w:spacing w:before="0" w:after="0"/>
              <w:ind w:firstLine="2"/>
              <w:jc w:val="right"/>
              <w:rPr>
                <w:rFonts w:eastAsia="Times New Roman"/>
                <w:kern w:val="0"/>
                <w:szCs w:val="24"/>
                <w:lang w:val="zh-CN"/>
              </w:rPr>
            </w:pPr>
            <w:r>
              <w:rPr>
                <w:rFonts w:eastAsia="Times New Roman"/>
                <w:kern w:val="0"/>
                <w:szCs w:val="24"/>
                <w:lang w:val="zh-CN"/>
              </w:rPr>
              <w:t>0.87620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rPr>
          <w:trHeight w:val="312" w:hRule="atLeast"/>
        </w:trPr>
        <w:tc>
          <w:tcPr>
            <w:tcW w:w="2840" w:type="dxa"/>
          </w:tcPr>
          <w:p>
            <w:pPr>
              <w:autoSpaceDE w:val="0"/>
              <w:autoSpaceDN w:val="0"/>
              <w:adjustRightInd w:val="0"/>
              <w:spacing w:before="0" w:after="0"/>
              <w:ind w:firstLine="2"/>
              <w:jc w:val="left"/>
              <w:rPr>
                <w:rFonts w:eastAsia="Times New Roman"/>
                <w:kern w:val="0"/>
                <w:szCs w:val="24"/>
                <w:lang w:val="zh-CN"/>
              </w:rPr>
            </w:pPr>
            <w:r>
              <w:rPr>
                <w:rFonts w:hint="eastAsia" w:ascii="宋体" w:hAnsi="宋体" w:cs="宋体"/>
                <w:kern w:val="0"/>
                <w:szCs w:val="24"/>
                <w:lang w:val="zh-CN"/>
              </w:rPr>
              <w:t>收入和费用项目</w:t>
            </w:r>
          </w:p>
        </w:tc>
        <w:tc>
          <w:tcPr>
            <w:tcW w:w="2844" w:type="dxa"/>
          </w:tcPr>
          <w:p>
            <w:pPr>
              <w:autoSpaceDE w:val="0"/>
              <w:autoSpaceDN w:val="0"/>
              <w:adjustRightInd w:val="0"/>
              <w:spacing w:before="0" w:after="0"/>
              <w:ind w:firstLine="2"/>
              <w:jc w:val="right"/>
              <w:rPr>
                <w:rFonts w:eastAsia="Times New Roman"/>
                <w:kern w:val="0"/>
                <w:szCs w:val="24"/>
                <w:lang w:val="zh-CN"/>
              </w:rPr>
            </w:pPr>
            <w:r>
              <w:rPr>
                <w:rFonts w:eastAsia="Times New Roman"/>
                <w:kern w:val="0"/>
                <w:szCs w:val="24"/>
                <w:lang w:val="zh-CN"/>
              </w:rPr>
              <w:t>0.88599</w:t>
            </w:r>
          </w:p>
        </w:tc>
        <w:tc>
          <w:tcPr>
            <w:tcW w:w="2845" w:type="dxa"/>
          </w:tcPr>
          <w:p>
            <w:pPr>
              <w:autoSpaceDE w:val="0"/>
              <w:autoSpaceDN w:val="0"/>
              <w:adjustRightInd w:val="0"/>
              <w:spacing w:before="0" w:after="0"/>
              <w:ind w:firstLine="2"/>
              <w:jc w:val="right"/>
              <w:rPr>
                <w:rFonts w:eastAsia="Times New Roman"/>
                <w:kern w:val="0"/>
                <w:szCs w:val="24"/>
                <w:lang w:val="zh-CN"/>
              </w:rPr>
            </w:pPr>
            <w:r>
              <w:rPr>
                <w:rFonts w:eastAsia="Times New Roman"/>
                <w:kern w:val="0"/>
                <w:szCs w:val="24"/>
                <w:lang w:val="zh-CN"/>
              </w:rPr>
              <w:t>0.84473</w:t>
            </w:r>
          </w:p>
        </w:tc>
      </w:tr>
    </w:tbl>
    <w:p>
      <w:pPr>
        <w:autoSpaceDE w:val="0"/>
        <w:autoSpaceDN w:val="0"/>
        <w:adjustRightInd w:val="0"/>
        <w:spacing w:before="0" w:after="0"/>
        <w:jc w:val="left"/>
        <w:rPr>
          <w:rFonts w:eastAsia="Times New Roman"/>
          <w:kern w:val="0"/>
          <w:szCs w:val="24"/>
          <w:lang w:val="zh-CN"/>
        </w:rPr>
      </w:pPr>
    </w:p>
    <w:p>
      <w:pPr>
        <w:pStyle w:val="14"/>
        <w:outlineLvl w:val="2"/>
        <w:rPr>
          <w:bCs w:val="0"/>
          <w:szCs w:val="24"/>
        </w:rPr>
      </w:pPr>
      <w:r>
        <w:rPr>
          <w:bCs w:val="0"/>
          <w:szCs w:val="24"/>
        </w:rPr>
        <w:t>83</w:t>
      </w:r>
      <w:r>
        <w:rPr>
          <w:rFonts w:hint="eastAsia"/>
          <w:bCs w:val="0"/>
          <w:szCs w:val="24"/>
        </w:rPr>
        <w:t>、套期</w:t>
      </w:r>
    </w:p>
    <w:p>
      <w:pPr>
        <w:jc w:val="left"/>
        <w:rPr>
          <w:szCs w:val="24"/>
        </w:rPr>
      </w:pPr>
      <w:r>
        <w:rPr>
          <w:rFonts w:hint="eastAsia"/>
          <w:szCs w:val="24"/>
        </w:rPr>
        <w:t>按照套期类别披露套期项目及相关套期工具、被套期风险的定性和定量信息：</w:t>
      </w:r>
    </w:p>
    <w:p>
      <w:pPr>
        <w:pStyle w:val="14"/>
        <w:outlineLvl w:val="2"/>
        <w:rPr>
          <w:bCs w:val="0"/>
          <w:szCs w:val="24"/>
        </w:rPr>
      </w:pPr>
      <w:r>
        <w:rPr>
          <w:bCs w:val="0"/>
          <w:szCs w:val="24"/>
        </w:rPr>
        <w:t>84</w:t>
      </w:r>
      <w:r>
        <w:rPr>
          <w:rFonts w:hint="eastAsia"/>
          <w:bCs w:val="0"/>
          <w:szCs w:val="24"/>
        </w:rPr>
        <w:t>、政府补助</w:t>
      </w:r>
    </w:p>
    <w:p>
      <w:pPr>
        <w:pStyle w:val="14"/>
        <w:outlineLvl w:val="3"/>
        <w:rPr>
          <w:bCs w:val="0"/>
          <w:szCs w:val="24"/>
        </w:rPr>
      </w:pPr>
      <w:r>
        <w:rPr>
          <w:rFonts w:hint="eastAsia"/>
          <w:bCs w:val="0"/>
          <w:szCs w:val="24"/>
        </w:rPr>
        <w:t>（</w:t>
      </w:r>
      <w:r>
        <w:rPr>
          <w:bCs w:val="0"/>
          <w:szCs w:val="24"/>
        </w:rPr>
        <w:t>1</w:t>
      </w:r>
      <w:r>
        <w:rPr>
          <w:rFonts w:hint="eastAsia"/>
          <w:bCs w:val="0"/>
          <w:szCs w:val="24"/>
        </w:rPr>
        <w:t>）政府补助基本情况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92"/>
        <w:gridCol w:w="2392"/>
        <w:gridCol w:w="2392"/>
        <w:gridCol w:w="2392"/>
      </w:tblGrid>
      <w:tr>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种类</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列报项目</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计入当期损益的金额</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海洋经济创新发展区域示范项目补助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14,390,000.00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递延收益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2,261,204.04</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战略性新兴产业补助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递延收益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199,999.98</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工业信息化应用专项资金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递延收益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233,333.38</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信息化提升项目补助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1,060,000.00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递延收益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590,066.67</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年度宁波市企业信息化提升项目补助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1,990,000.00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递延收益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1,127,666.67</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服务业发展引导基金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递延收益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3,500,000.00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第四批宁海县战略性新兴产业发展专项财政补助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7,155,000.00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递延收益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178,875.00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智慧城市建设补助资金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707,000.00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递延收益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科技计划项目经费</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3,464,000.00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2,654,000.00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千人计划项目资助经费</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10,200.00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10,200.00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博士后工作站资助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580,000.00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技术创新团队资助款</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年第四季度区授权专利奖励</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年大学生实训基地资助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年企业运营类专利导航项目补助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年度</w:t>
            </w:r>
            <w:r>
              <w:rPr>
                <w:szCs w:val="24"/>
              </w:rPr>
              <w:t>*</w:t>
            </w:r>
            <w:r>
              <w:rPr>
                <w:rFonts w:hint="eastAsia"/>
                <w:szCs w:val="24"/>
              </w:rPr>
              <w:t>浙江制造精品</w:t>
            </w:r>
            <w:r>
              <w:rPr>
                <w:szCs w:val="24"/>
              </w:rPr>
              <w:t>*</w:t>
            </w:r>
            <w:r>
              <w:rPr>
                <w:rFonts w:hint="eastAsia"/>
                <w:szCs w:val="24"/>
              </w:rPr>
              <w:t>奖励</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年度下应街道企业奖励</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1,564,500.00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490,500.00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年区优势总部企业奖励资金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490,500.00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年度市工业标准化项目补助资金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发明专利奖励经费</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促进经济平稳增长奖励经费</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年博士后工作标杆单位一次性追加资助经费</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小微企业发展基金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2017</w:t>
            </w:r>
            <w:r>
              <w:rPr>
                <w:rFonts w:hint="eastAsia"/>
                <w:szCs w:val="24"/>
              </w:rPr>
              <w:t>年鄞州区创业之星奖励</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230,000.00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高校毕业生社会保险及用工补贴</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3,676,533.00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经济和信息化局补助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14,800.00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1,898,362.00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增值税退税</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8,566,972.82</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14,800.00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经济发展政策奖励</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4,158,022.51</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服务强区培育专项资金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148,200.00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科技服务业专项经费</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148,200.00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保生生物研发项目</w:t>
            </w:r>
            <w:r>
              <w:rPr>
                <w:szCs w:val="24"/>
              </w:rPr>
              <w:t>POCT</w:t>
            </w:r>
            <w:r>
              <w:rPr>
                <w:rFonts w:hint="eastAsia"/>
                <w:szCs w:val="24"/>
              </w:rPr>
              <w:t>项目</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宁波梅山保税港区扶持资金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5,670,000.00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财政扶持资金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1,560,000.00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2,670,000.00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稳岗补贴</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185,099.27</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1,560,000.00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经营租房房租奖励</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330,690.00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185,099.27</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纳税大户奖励</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283,018.87</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109,890.00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中小企业国际市场开拓项目补助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163,000.00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283,018.87</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研发机构资金补助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中国制造</w:t>
            </w:r>
            <w:r>
              <w:rPr>
                <w:szCs w:val="24"/>
              </w:rPr>
              <w:t>2025</w:t>
            </w:r>
            <w:r>
              <w:rPr>
                <w:rFonts w:hint="eastAsia"/>
                <w:szCs w:val="24"/>
              </w:rPr>
              <w:t>专项资金项目经费补助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重大产业技术创新专项资金补助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优秀发明专利产业化项目补助经费</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品牌资金奖励</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博士后科研项目择优补助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150,000.00</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鄞州区稳增促调专项资金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86,510.00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企业上云补助奖金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市级制造业单项冠军示范企业奖励</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外经及第二批电子商务政策项目奖励</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556,600.00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中国制造</w:t>
            </w:r>
            <w:r>
              <w:rPr>
                <w:szCs w:val="24"/>
              </w:rPr>
              <w:t>2025</w:t>
            </w:r>
            <w:r>
              <w:rPr>
                <w:rFonts w:hint="eastAsia"/>
                <w:szCs w:val="24"/>
              </w:rPr>
              <w:t>单项奖励资金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发明创新大赛奖金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行业骨干企业年度综合贡献奖励</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1,590,000.00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海外工程师引进薪资补助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知识产权运营服务体系建设资金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科技项目专项转移支付资金补助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950,000.00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第三批稳增促调资金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19,898.00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工业和信息产业发展专项基金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高层人才认定补贴</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省科技型中小企业补贴</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公共服务业专项补助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科技服务创新示范补助经费</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税费返还</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413,532.66</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中央外经贸发展专项资金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122,800.00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宁海县经济和信息化局扶持资金</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科技项目经费</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全自动化学发光免疫分析仪及配套心血管疾病监测补助</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其他收益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bl>
    <w:p>
      <w:pPr>
        <w:pStyle w:val="14"/>
        <w:outlineLvl w:val="3"/>
        <w:rPr>
          <w:bCs w:val="0"/>
          <w:szCs w:val="24"/>
        </w:rPr>
      </w:pPr>
      <w:r>
        <w:rPr>
          <w:rFonts w:hint="eastAsia"/>
          <w:bCs w:val="0"/>
          <w:szCs w:val="24"/>
        </w:rPr>
        <w:t>（</w:t>
      </w:r>
      <w:r>
        <w:rPr>
          <w:bCs w:val="0"/>
          <w:szCs w:val="24"/>
        </w:rPr>
        <w:t>2</w:t>
      </w:r>
      <w:r>
        <w:rPr>
          <w:rFonts w:hint="eastAsia"/>
          <w:bCs w:val="0"/>
          <w:szCs w:val="24"/>
        </w:rPr>
        <w:t>）政府补助退回情况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其他说明：</w:t>
      </w:r>
    </w:p>
    <w:p>
      <w:pPr>
        <w:pStyle w:val="14"/>
        <w:outlineLvl w:val="2"/>
        <w:rPr>
          <w:bCs w:val="0"/>
          <w:szCs w:val="24"/>
        </w:rPr>
      </w:pPr>
      <w:r>
        <w:rPr>
          <w:bCs w:val="0"/>
          <w:szCs w:val="24"/>
        </w:rPr>
        <w:t>85</w:t>
      </w:r>
      <w:r>
        <w:rPr>
          <w:rFonts w:hint="eastAsia"/>
          <w:bCs w:val="0"/>
          <w:szCs w:val="24"/>
        </w:rPr>
        <w:t>、其他</w:t>
      </w:r>
    </w:p>
    <w:p>
      <w:pPr>
        <w:pStyle w:val="13"/>
        <w:outlineLvl w:val="1"/>
        <w:rPr>
          <w:bCs w:val="0"/>
        </w:rPr>
      </w:pPr>
      <w:r>
        <w:rPr>
          <w:rFonts w:hint="eastAsia"/>
          <w:bCs w:val="0"/>
        </w:rPr>
        <w:t>八、合并范围的变更</w:t>
      </w:r>
    </w:p>
    <w:p>
      <w:pPr>
        <w:pStyle w:val="14"/>
        <w:outlineLvl w:val="2"/>
        <w:rPr>
          <w:bCs w:val="0"/>
          <w:szCs w:val="24"/>
        </w:rPr>
      </w:pPr>
      <w:r>
        <w:rPr>
          <w:bCs w:val="0"/>
          <w:szCs w:val="24"/>
        </w:rPr>
        <w:t>1</w:t>
      </w:r>
      <w:r>
        <w:rPr>
          <w:rFonts w:hint="eastAsia"/>
          <w:bCs w:val="0"/>
          <w:szCs w:val="24"/>
        </w:rPr>
        <w:t>、非同一控制下企业合并</w:t>
      </w:r>
    </w:p>
    <w:p>
      <w:pPr>
        <w:pStyle w:val="14"/>
        <w:outlineLvl w:val="3"/>
        <w:rPr>
          <w:bCs w:val="0"/>
          <w:szCs w:val="24"/>
        </w:rPr>
      </w:pPr>
      <w:r>
        <w:rPr>
          <w:rFonts w:hint="eastAsia"/>
          <w:bCs w:val="0"/>
          <w:szCs w:val="24"/>
        </w:rPr>
        <w:t>（</w:t>
      </w:r>
      <w:r>
        <w:rPr>
          <w:bCs w:val="0"/>
          <w:szCs w:val="24"/>
        </w:rPr>
        <w:t>1</w:t>
      </w:r>
      <w:r>
        <w:rPr>
          <w:rFonts w:hint="eastAsia"/>
          <w:bCs w:val="0"/>
          <w:szCs w:val="24"/>
        </w:rPr>
        <w:t>）本期发生的非同一控制下企业合并</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063"/>
        <w:gridCol w:w="1064"/>
        <w:gridCol w:w="1064"/>
        <w:gridCol w:w="1064"/>
        <w:gridCol w:w="1064"/>
        <w:gridCol w:w="1064"/>
        <w:gridCol w:w="1062"/>
        <w:gridCol w:w="1062"/>
        <w:gridCol w:w="1062"/>
      </w:tblGrid>
      <w:tr>
        <w:tblPrEx>
          <w:tblCellMar>
            <w:top w:w="0" w:type="dxa"/>
            <w:left w:w="28" w:type="dxa"/>
            <w:bottom w:w="0" w:type="dxa"/>
            <w:right w:w="28" w:type="dxa"/>
          </w:tblCellMar>
        </w:tblPrEx>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被购买方名称</w:t>
            </w:r>
          </w:p>
        </w:tc>
        <w:tc>
          <w:tcPr>
            <w:tcW w:w="106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股权取得时点</w:t>
            </w:r>
          </w:p>
        </w:tc>
        <w:tc>
          <w:tcPr>
            <w:tcW w:w="106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股权取得成本</w:t>
            </w:r>
          </w:p>
        </w:tc>
        <w:tc>
          <w:tcPr>
            <w:tcW w:w="106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股权取得比例</w:t>
            </w:r>
          </w:p>
        </w:tc>
        <w:tc>
          <w:tcPr>
            <w:tcW w:w="106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股权取得方式</w:t>
            </w:r>
          </w:p>
        </w:tc>
        <w:tc>
          <w:tcPr>
            <w:tcW w:w="106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购买日</w:t>
            </w:r>
          </w:p>
        </w:tc>
        <w:tc>
          <w:tcPr>
            <w:tcW w:w="10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购买日的确定依据</w:t>
            </w:r>
          </w:p>
        </w:tc>
        <w:tc>
          <w:tcPr>
            <w:tcW w:w="10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购买日至期末被购买方的收入</w:t>
            </w:r>
          </w:p>
        </w:tc>
        <w:tc>
          <w:tcPr>
            <w:tcW w:w="10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购买日至期末被购买方的净利润</w:t>
            </w:r>
          </w:p>
        </w:tc>
      </w:tr>
    </w:tbl>
    <w:p>
      <w:pPr>
        <w:pStyle w:val="14"/>
        <w:outlineLvl w:val="3"/>
        <w:rPr>
          <w:bCs w:val="0"/>
          <w:szCs w:val="24"/>
        </w:rPr>
      </w:pPr>
      <w:r>
        <w:rPr>
          <w:rFonts w:hint="eastAsia"/>
          <w:bCs w:val="0"/>
          <w:szCs w:val="24"/>
        </w:rPr>
        <w:t>（</w:t>
      </w:r>
      <w:r>
        <w:rPr>
          <w:bCs w:val="0"/>
          <w:szCs w:val="24"/>
        </w:rPr>
        <w:t>2</w:t>
      </w:r>
      <w:r>
        <w:rPr>
          <w:rFonts w:hint="eastAsia"/>
          <w:bCs w:val="0"/>
          <w:szCs w:val="24"/>
        </w:rPr>
        <w:t>）合并成本及商誉</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84"/>
        <w:gridCol w:w="4784"/>
      </w:tblGrid>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合并成本</w:t>
            </w:r>
          </w:p>
        </w:tc>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r>
    </w:tbl>
    <w:p>
      <w:pPr>
        <w:pStyle w:val="14"/>
        <w:outlineLvl w:val="3"/>
        <w:rPr>
          <w:bCs w:val="0"/>
          <w:szCs w:val="24"/>
        </w:rPr>
      </w:pPr>
      <w:r>
        <w:rPr>
          <w:rFonts w:hint="eastAsia"/>
          <w:bCs w:val="0"/>
          <w:szCs w:val="24"/>
        </w:rPr>
        <w:t>（</w:t>
      </w:r>
      <w:r>
        <w:rPr>
          <w:bCs w:val="0"/>
          <w:szCs w:val="24"/>
        </w:rPr>
        <w:t>3</w:t>
      </w:r>
      <w:r>
        <w:rPr>
          <w:rFonts w:hint="eastAsia"/>
          <w:bCs w:val="0"/>
          <w:szCs w:val="24"/>
        </w:rPr>
        <w:t>）被购买方于购买日可辨认资产、负债</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90"/>
        <w:gridCol w:w="3190"/>
        <w:gridCol w:w="3190"/>
      </w:tblGrid>
      <w:tr>
        <w:tblPrEx>
          <w:tblCellMar>
            <w:top w:w="0" w:type="dxa"/>
            <w:left w:w="28" w:type="dxa"/>
            <w:bottom w:w="0" w:type="dxa"/>
            <w:right w:w="28" w:type="dxa"/>
          </w:tblCellMar>
        </w:tblPrEx>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6380"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r>
      <w:tr>
        <w:tblPrEx>
          <w:tblCellMar>
            <w:top w:w="0" w:type="dxa"/>
            <w:left w:w="28" w:type="dxa"/>
            <w:bottom w:w="0" w:type="dxa"/>
            <w:right w:w="28" w:type="dxa"/>
          </w:tblCellMar>
        </w:tblPrEx>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购买日公允价值</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购买日账面价值</w:t>
            </w:r>
          </w:p>
        </w:tc>
      </w:tr>
    </w:tbl>
    <w:p>
      <w:pPr>
        <w:pStyle w:val="14"/>
        <w:outlineLvl w:val="3"/>
        <w:rPr>
          <w:bCs w:val="0"/>
          <w:szCs w:val="24"/>
        </w:rPr>
      </w:pPr>
      <w:r>
        <w:rPr>
          <w:rFonts w:hint="eastAsia"/>
          <w:bCs w:val="0"/>
          <w:szCs w:val="24"/>
        </w:rPr>
        <w:t>（</w:t>
      </w:r>
      <w:r>
        <w:rPr>
          <w:bCs w:val="0"/>
          <w:szCs w:val="24"/>
        </w:rPr>
        <w:t>4</w:t>
      </w:r>
      <w:r>
        <w:rPr>
          <w:rFonts w:hint="eastAsia"/>
          <w:bCs w:val="0"/>
          <w:szCs w:val="24"/>
        </w:rPr>
        <w:t>）购买日之前持有的股权按照公允价值重新计量产生的利得或损失</w:t>
      </w:r>
    </w:p>
    <w:p>
      <w:pPr>
        <w:jc w:val="left"/>
        <w:rPr>
          <w:szCs w:val="24"/>
        </w:rPr>
      </w:pPr>
      <w:r>
        <w:rPr>
          <w:rFonts w:hint="eastAsia"/>
          <w:szCs w:val="24"/>
        </w:rPr>
        <w:t>是否存在通过多次交易分步实现企业合并且在报告期内取得控制权的交易</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pStyle w:val="14"/>
        <w:outlineLvl w:val="3"/>
        <w:rPr>
          <w:bCs w:val="0"/>
          <w:szCs w:val="24"/>
        </w:rPr>
      </w:pPr>
      <w:r>
        <w:rPr>
          <w:rFonts w:hint="eastAsia"/>
          <w:bCs w:val="0"/>
          <w:szCs w:val="24"/>
        </w:rPr>
        <w:t>（</w:t>
      </w:r>
      <w:r>
        <w:rPr>
          <w:bCs w:val="0"/>
          <w:szCs w:val="24"/>
        </w:rPr>
        <w:t>5</w:t>
      </w:r>
      <w:r>
        <w:rPr>
          <w:rFonts w:hint="eastAsia"/>
          <w:bCs w:val="0"/>
          <w:szCs w:val="24"/>
        </w:rPr>
        <w:t>）购买日或合并当期期末无法合理确定合并对价或被购买方可辨认资产、负债公允价值的相关说明</w:t>
      </w:r>
    </w:p>
    <w:p>
      <w:pPr>
        <w:pStyle w:val="14"/>
        <w:outlineLvl w:val="3"/>
        <w:rPr>
          <w:bCs w:val="0"/>
          <w:szCs w:val="24"/>
        </w:rPr>
      </w:pPr>
      <w:r>
        <w:rPr>
          <w:rFonts w:hint="eastAsia"/>
          <w:bCs w:val="0"/>
          <w:szCs w:val="24"/>
        </w:rPr>
        <w:t>（</w:t>
      </w:r>
      <w:r>
        <w:rPr>
          <w:bCs w:val="0"/>
          <w:szCs w:val="24"/>
        </w:rPr>
        <w:t>6</w:t>
      </w:r>
      <w:r>
        <w:rPr>
          <w:rFonts w:hint="eastAsia"/>
          <w:bCs w:val="0"/>
          <w:szCs w:val="24"/>
        </w:rPr>
        <w:t>）其他说明</w:t>
      </w:r>
    </w:p>
    <w:p>
      <w:pPr>
        <w:pStyle w:val="14"/>
        <w:outlineLvl w:val="2"/>
        <w:rPr>
          <w:bCs w:val="0"/>
          <w:szCs w:val="24"/>
        </w:rPr>
      </w:pPr>
      <w:r>
        <w:rPr>
          <w:bCs w:val="0"/>
          <w:szCs w:val="24"/>
        </w:rPr>
        <w:t>2</w:t>
      </w:r>
      <w:r>
        <w:rPr>
          <w:rFonts w:hint="eastAsia"/>
          <w:bCs w:val="0"/>
          <w:szCs w:val="24"/>
        </w:rPr>
        <w:t>、同一控制下企业合并</w:t>
      </w:r>
    </w:p>
    <w:p>
      <w:pPr>
        <w:pStyle w:val="14"/>
        <w:outlineLvl w:val="3"/>
        <w:rPr>
          <w:bCs w:val="0"/>
          <w:szCs w:val="24"/>
        </w:rPr>
      </w:pPr>
      <w:r>
        <w:rPr>
          <w:rFonts w:hint="eastAsia"/>
          <w:bCs w:val="0"/>
          <w:szCs w:val="24"/>
        </w:rPr>
        <w:t>（</w:t>
      </w:r>
      <w:r>
        <w:rPr>
          <w:bCs w:val="0"/>
          <w:szCs w:val="24"/>
        </w:rPr>
        <w:t>1</w:t>
      </w:r>
      <w:r>
        <w:rPr>
          <w:rFonts w:hint="eastAsia"/>
          <w:bCs w:val="0"/>
          <w:szCs w:val="24"/>
        </w:rPr>
        <w:t>）本期发生的同一控制下企业合并</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061"/>
        <w:gridCol w:w="1061"/>
        <w:gridCol w:w="1063"/>
        <w:gridCol w:w="1064"/>
        <w:gridCol w:w="1064"/>
        <w:gridCol w:w="1064"/>
        <w:gridCol w:w="1064"/>
        <w:gridCol w:w="1064"/>
        <w:gridCol w:w="1064"/>
      </w:tblGrid>
      <w:tr>
        <w:tc>
          <w:tcPr>
            <w:tcW w:w="106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被合并方名称</w:t>
            </w:r>
          </w:p>
        </w:tc>
        <w:tc>
          <w:tcPr>
            <w:tcW w:w="106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企业合并中取得的权益比例</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构成同一控制下企业合并的依据</w:t>
            </w:r>
          </w:p>
        </w:tc>
        <w:tc>
          <w:tcPr>
            <w:tcW w:w="106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合并日</w:t>
            </w:r>
          </w:p>
        </w:tc>
        <w:tc>
          <w:tcPr>
            <w:tcW w:w="106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合并日的确定依据</w:t>
            </w:r>
          </w:p>
        </w:tc>
        <w:tc>
          <w:tcPr>
            <w:tcW w:w="106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合并当期期初至合并日被合并方的收入</w:t>
            </w:r>
          </w:p>
        </w:tc>
        <w:tc>
          <w:tcPr>
            <w:tcW w:w="106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合并当期期初至合并日被合并方的净利润</w:t>
            </w:r>
          </w:p>
        </w:tc>
        <w:tc>
          <w:tcPr>
            <w:tcW w:w="106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比较期间被合并方的收入</w:t>
            </w:r>
          </w:p>
        </w:tc>
        <w:tc>
          <w:tcPr>
            <w:tcW w:w="106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比较期间被合并方的净利润</w:t>
            </w:r>
          </w:p>
        </w:tc>
      </w:tr>
    </w:tbl>
    <w:p>
      <w:pPr>
        <w:pStyle w:val="14"/>
        <w:outlineLvl w:val="3"/>
        <w:rPr>
          <w:bCs w:val="0"/>
          <w:szCs w:val="24"/>
        </w:rPr>
      </w:pPr>
      <w:r>
        <w:rPr>
          <w:rFonts w:hint="eastAsia"/>
          <w:bCs w:val="0"/>
          <w:szCs w:val="24"/>
        </w:rPr>
        <w:t>（</w:t>
      </w:r>
      <w:r>
        <w:rPr>
          <w:bCs w:val="0"/>
          <w:szCs w:val="24"/>
        </w:rPr>
        <w:t>2</w:t>
      </w:r>
      <w:r>
        <w:rPr>
          <w:rFonts w:hint="eastAsia"/>
          <w:bCs w:val="0"/>
          <w:szCs w:val="24"/>
        </w:rPr>
        <w:t>）合并成本</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84"/>
        <w:gridCol w:w="4784"/>
      </w:tblGrid>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合并成本</w:t>
            </w:r>
          </w:p>
        </w:tc>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r>
    </w:tbl>
    <w:p>
      <w:pPr>
        <w:pStyle w:val="14"/>
        <w:outlineLvl w:val="3"/>
        <w:rPr>
          <w:bCs w:val="0"/>
          <w:szCs w:val="24"/>
        </w:rPr>
      </w:pPr>
      <w:r>
        <w:rPr>
          <w:rFonts w:hint="eastAsia"/>
          <w:bCs w:val="0"/>
          <w:szCs w:val="24"/>
        </w:rPr>
        <w:t>（</w:t>
      </w:r>
      <w:r>
        <w:rPr>
          <w:bCs w:val="0"/>
          <w:szCs w:val="24"/>
        </w:rPr>
        <w:t>3</w:t>
      </w:r>
      <w:r>
        <w:rPr>
          <w:rFonts w:hint="eastAsia"/>
          <w:bCs w:val="0"/>
          <w:szCs w:val="24"/>
        </w:rPr>
        <w:t>）合并日被合并方资产、负债的账面价值</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90"/>
        <w:gridCol w:w="3190"/>
        <w:gridCol w:w="3190"/>
      </w:tblGrid>
      <w:tr>
        <w:tblPrEx>
          <w:tblCellMar>
            <w:top w:w="0" w:type="dxa"/>
            <w:left w:w="28" w:type="dxa"/>
            <w:bottom w:w="0" w:type="dxa"/>
            <w:right w:w="28" w:type="dxa"/>
          </w:tblCellMar>
        </w:tblPrEx>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6380"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r>
      <w:tr>
        <w:tblPrEx>
          <w:tblCellMar>
            <w:top w:w="0" w:type="dxa"/>
            <w:left w:w="28" w:type="dxa"/>
            <w:bottom w:w="0" w:type="dxa"/>
            <w:right w:w="28" w:type="dxa"/>
          </w:tblCellMar>
        </w:tblPrEx>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合并日</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上期期末</w:t>
            </w:r>
          </w:p>
        </w:tc>
      </w:tr>
    </w:tbl>
    <w:p>
      <w:pPr>
        <w:pStyle w:val="14"/>
        <w:outlineLvl w:val="2"/>
        <w:rPr>
          <w:bCs w:val="0"/>
          <w:szCs w:val="24"/>
        </w:rPr>
      </w:pPr>
      <w:r>
        <w:rPr>
          <w:bCs w:val="0"/>
          <w:szCs w:val="24"/>
        </w:rPr>
        <w:t>3</w:t>
      </w:r>
      <w:r>
        <w:rPr>
          <w:rFonts w:hint="eastAsia"/>
          <w:bCs w:val="0"/>
          <w:szCs w:val="24"/>
        </w:rPr>
        <w:t>、反向购买</w:t>
      </w:r>
    </w:p>
    <w:p>
      <w:pPr>
        <w:pStyle w:val="14"/>
        <w:outlineLvl w:val="2"/>
        <w:rPr>
          <w:bCs w:val="0"/>
          <w:szCs w:val="24"/>
        </w:rPr>
      </w:pPr>
      <w:r>
        <w:rPr>
          <w:bCs w:val="0"/>
          <w:szCs w:val="24"/>
        </w:rPr>
        <w:t>4</w:t>
      </w:r>
      <w:r>
        <w:rPr>
          <w:rFonts w:hint="eastAsia"/>
          <w:bCs w:val="0"/>
          <w:szCs w:val="24"/>
        </w:rPr>
        <w:t>、处置子公司</w:t>
      </w:r>
    </w:p>
    <w:p>
      <w:pPr>
        <w:jc w:val="left"/>
        <w:rPr>
          <w:szCs w:val="24"/>
        </w:rPr>
      </w:pPr>
      <w:r>
        <w:rPr>
          <w:rFonts w:hint="eastAsia"/>
          <w:szCs w:val="24"/>
        </w:rPr>
        <w:t>是否存在单次处置对子公司投资即丧失控制权的情形</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736"/>
        <w:gridCol w:w="736"/>
        <w:gridCol w:w="736"/>
        <w:gridCol w:w="735"/>
        <w:gridCol w:w="735"/>
        <w:gridCol w:w="735"/>
        <w:gridCol w:w="735"/>
        <w:gridCol w:w="735"/>
        <w:gridCol w:w="737"/>
        <w:gridCol w:w="736"/>
        <w:gridCol w:w="736"/>
        <w:gridCol w:w="736"/>
        <w:gridCol w:w="736"/>
      </w:tblGrid>
      <w:tr>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子公司名称</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股权处置价款</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股权处置比例</w:t>
            </w:r>
          </w:p>
        </w:tc>
        <w:tc>
          <w:tcPr>
            <w:tcW w:w="73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股权处置方式</w:t>
            </w:r>
          </w:p>
        </w:tc>
        <w:tc>
          <w:tcPr>
            <w:tcW w:w="73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丧失控制权的时点</w:t>
            </w:r>
          </w:p>
        </w:tc>
        <w:tc>
          <w:tcPr>
            <w:tcW w:w="73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丧失控制权时点的确定依据</w:t>
            </w:r>
          </w:p>
        </w:tc>
        <w:tc>
          <w:tcPr>
            <w:tcW w:w="73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处置价款与处置投资对应的合并财务报表层面享有该子公司净资产份额的差额</w:t>
            </w:r>
          </w:p>
        </w:tc>
        <w:tc>
          <w:tcPr>
            <w:tcW w:w="73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丧失控制权之日剩余股权的比例</w:t>
            </w:r>
          </w:p>
        </w:tc>
        <w:tc>
          <w:tcPr>
            <w:tcW w:w="73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丧失控制权之日剩余股权的账面价值</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丧失控制权之日剩余股权的公允价值</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按照公允价值重新计量剩余股权产生的利得或损失</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丧失控制权之日剩余股权公允价值的确定方法及主要假设</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与原子公司股权投资相关的其他综合收益转入投资损益的金额</w:t>
            </w:r>
          </w:p>
        </w:tc>
      </w:tr>
      <w:tr>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赣州美康盛德医学检验所有限公司</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35.00%</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转让</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04</w:t>
            </w:r>
            <w:r>
              <w:rPr>
                <w:rFonts w:hint="eastAsia"/>
                <w:szCs w:val="24"/>
              </w:rPr>
              <w:t>月</w:t>
            </w:r>
            <w:r>
              <w:rPr>
                <w:szCs w:val="24"/>
              </w:rPr>
              <w:t>16</w:t>
            </w:r>
            <w:r>
              <w:rPr>
                <w:rFonts w:hint="eastAsia"/>
                <w:szCs w:val="24"/>
              </w:rPr>
              <w:t>日</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办妥工商变更</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w:t>
            </w:r>
          </w:p>
        </w:tc>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江西省美康医疗器械有限公司</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6,000,000.00</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52.00%</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转让</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02</w:t>
            </w:r>
            <w:r>
              <w:rPr>
                <w:rFonts w:hint="eastAsia"/>
                <w:szCs w:val="24"/>
              </w:rPr>
              <w:t>月</w:t>
            </w:r>
            <w:r>
              <w:rPr>
                <w:szCs w:val="24"/>
              </w:rPr>
              <w:t>21</w:t>
            </w:r>
            <w:r>
              <w:rPr>
                <w:rFonts w:hint="eastAsia"/>
                <w:szCs w:val="24"/>
              </w:rPr>
              <w:t>日</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办妥工商变更</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2,228,540.32</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上饶美康盛德医学检验所有限公司</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11,000,000.00</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52.00%</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转让</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02</w:t>
            </w:r>
            <w:r>
              <w:rPr>
                <w:rFonts w:hint="eastAsia"/>
                <w:szCs w:val="24"/>
              </w:rPr>
              <w:t>月</w:t>
            </w:r>
            <w:r>
              <w:rPr>
                <w:szCs w:val="24"/>
              </w:rPr>
              <w:t>21</w:t>
            </w:r>
            <w:r>
              <w:rPr>
                <w:rFonts w:hint="eastAsia"/>
                <w:szCs w:val="24"/>
              </w:rPr>
              <w:t>日</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办妥工商变更</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3,088,645.14</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w:t>
            </w:r>
            <w:r>
              <w:rPr>
                <w:szCs w:val="24"/>
              </w:rPr>
              <w:t>(</w:t>
            </w:r>
            <w:r>
              <w:rPr>
                <w:rFonts w:hint="eastAsia"/>
                <w:szCs w:val="24"/>
              </w:rPr>
              <w:t>陕西</w:t>
            </w:r>
            <w:r>
              <w:rPr>
                <w:szCs w:val="24"/>
              </w:rPr>
              <w:t>)</w:t>
            </w:r>
            <w:r>
              <w:rPr>
                <w:rFonts w:hint="eastAsia"/>
                <w:szCs w:val="24"/>
              </w:rPr>
              <w:t>有限公司</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6,720,000.00</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转让</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04</w:t>
            </w:r>
            <w:r>
              <w:rPr>
                <w:rFonts w:hint="eastAsia"/>
                <w:szCs w:val="24"/>
              </w:rPr>
              <w:t>月</w:t>
            </w:r>
            <w:r>
              <w:rPr>
                <w:szCs w:val="24"/>
              </w:rPr>
              <w:t>28</w:t>
            </w:r>
            <w:r>
              <w:rPr>
                <w:rFonts w:hint="eastAsia"/>
                <w:szCs w:val="24"/>
              </w:rPr>
              <w:t>日</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办妥工商变更</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-4,013,981.30</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宁波美康股权投资基金合伙企业</w:t>
            </w:r>
            <w:r>
              <w:rPr>
                <w:szCs w:val="24"/>
              </w:rPr>
              <w:t>(</w:t>
            </w:r>
            <w:r>
              <w:rPr>
                <w:rFonts w:hint="eastAsia"/>
                <w:szCs w:val="24"/>
              </w:rPr>
              <w:t>有限合伙</w:t>
            </w:r>
            <w:r>
              <w:rPr>
                <w:szCs w:val="24"/>
              </w:rPr>
              <w:t>)</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472,374,889.27</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67.56%</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退伙</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03</w:t>
            </w:r>
            <w:r>
              <w:rPr>
                <w:rFonts w:hint="eastAsia"/>
                <w:szCs w:val="24"/>
              </w:rPr>
              <w:t>月</w:t>
            </w:r>
            <w:r>
              <w:rPr>
                <w:szCs w:val="24"/>
              </w:rPr>
              <w:t>22</w:t>
            </w:r>
            <w:r>
              <w:rPr>
                <w:rFonts w:hint="eastAsia"/>
                <w:szCs w:val="24"/>
              </w:rPr>
              <w:t>日</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办妥工商变更</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金华市美康盛德医学检验所有限公司</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300,000.00</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转让</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07</w:t>
            </w:r>
            <w:r>
              <w:rPr>
                <w:rFonts w:hint="eastAsia"/>
                <w:szCs w:val="24"/>
              </w:rPr>
              <w:t>月</w:t>
            </w:r>
            <w:r>
              <w:rPr>
                <w:szCs w:val="24"/>
              </w:rPr>
              <w:t>25</w:t>
            </w:r>
            <w:r>
              <w:rPr>
                <w:rFonts w:hint="eastAsia"/>
                <w:szCs w:val="24"/>
              </w:rPr>
              <w:t>日</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办妥工商变更</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10,664,661.72</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w:t>
            </w:r>
          </w:p>
        </w:tc>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-207,293.23</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6,000.00</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213,293.23</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重庆和盛医疗器械有限公司</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37,800,000.00</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21.00%</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转让</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09</w:t>
            </w:r>
            <w:r>
              <w:rPr>
                <w:rFonts w:hint="eastAsia"/>
                <w:szCs w:val="24"/>
              </w:rPr>
              <w:t>月</w:t>
            </w:r>
            <w:r>
              <w:rPr>
                <w:szCs w:val="24"/>
              </w:rPr>
              <w:t>11</w:t>
            </w:r>
            <w:r>
              <w:rPr>
                <w:rFonts w:hint="eastAsia"/>
                <w:szCs w:val="24"/>
              </w:rPr>
              <w:t>日</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办妥工商变更</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-680,756.28</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w:t>
            </w:r>
          </w:p>
        </w:tc>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54,972,508.98</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54,000,000.00</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-972,508.98</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美康生物科技（舟山）有限公司</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35,500,000.00</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71.00%</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转让</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10</w:t>
            </w:r>
            <w:r>
              <w:rPr>
                <w:rFonts w:hint="eastAsia"/>
                <w:szCs w:val="24"/>
              </w:rPr>
              <w:t>月</w:t>
            </w:r>
            <w:r>
              <w:rPr>
                <w:szCs w:val="24"/>
              </w:rPr>
              <w:t>18</w:t>
            </w:r>
            <w:r>
              <w:rPr>
                <w:rFonts w:hint="eastAsia"/>
                <w:szCs w:val="24"/>
              </w:rPr>
              <w:t>日</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办妥工商变更</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2,613,288.79</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29.00%</w:t>
            </w:r>
          </w:p>
        </w:tc>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13,432,600.36</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14,500,000.00</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1,067,399.64</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bl>
    <w:p>
      <w:pPr>
        <w:jc w:val="left"/>
        <w:rPr>
          <w:szCs w:val="24"/>
        </w:rPr>
      </w:pPr>
      <w:r>
        <w:rPr>
          <w:rFonts w:hint="eastAsia"/>
          <w:szCs w:val="24"/>
        </w:rPr>
        <w:t>其他说明：</w:t>
      </w:r>
    </w:p>
    <w:p>
      <w:pPr>
        <w:autoSpaceDE w:val="0"/>
        <w:autoSpaceDN w:val="0"/>
        <w:adjustRightInd w:val="0"/>
        <w:spacing w:before="0" w:after="0"/>
        <w:jc w:val="left"/>
        <w:rPr>
          <w:rFonts w:ascii="宋体" w:cs="宋体" w:hAnsiTheme="minorHAnsi"/>
          <w:color w:val="000000"/>
          <w:kern w:val="0"/>
        </w:rPr>
      </w:pPr>
      <w:r>
        <w:rPr>
          <w:rFonts w:hint="eastAsia" w:ascii="宋体" w:cs="宋体" w:hAnsiTheme="minorHAnsi"/>
          <w:color w:val="000000"/>
          <w:kern w:val="0"/>
          <w:lang w:val="zh-CN"/>
        </w:rPr>
        <w:t>（</w:t>
      </w:r>
      <w:r>
        <w:rPr>
          <w:rFonts w:ascii="宋体" w:cs="宋体" w:hAnsiTheme="minorHAnsi"/>
          <w:color w:val="000000"/>
          <w:kern w:val="0"/>
          <w:lang w:val="zh-CN"/>
        </w:rPr>
        <w:t>1</w:t>
      </w:r>
      <w:r>
        <w:rPr>
          <w:rFonts w:hint="eastAsia" w:ascii="宋体" w:cs="宋体" w:hAnsiTheme="minorHAnsi"/>
          <w:color w:val="000000"/>
          <w:kern w:val="0"/>
          <w:lang w:val="zh-CN"/>
        </w:rPr>
        <w:t>）赣州美康盛德医学检验所有限公司股权转让事项：</w:t>
      </w:r>
    </w:p>
    <w:p>
      <w:pPr>
        <w:autoSpaceDE w:val="0"/>
        <w:autoSpaceDN w:val="0"/>
        <w:adjustRightInd w:val="0"/>
        <w:spacing w:before="0" w:after="0"/>
        <w:ind w:firstLine="420"/>
        <w:jc w:val="left"/>
        <w:rPr>
          <w:rFonts w:ascii="宋体" w:cs="宋体" w:hAnsiTheme="minorHAnsi"/>
          <w:color w:val="000000"/>
          <w:kern w:val="0"/>
        </w:rPr>
      </w:pP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4</w:t>
      </w:r>
      <w:r>
        <w:rPr>
          <w:rFonts w:hint="eastAsia" w:ascii="宋体" w:cs="宋体" w:hAnsiTheme="minorHAnsi"/>
          <w:color w:val="000000"/>
          <w:kern w:val="0"/>
          <w:lang w:val="zh-CN"/>
        </w:rPr>
        <w:t>月，公司与北京天羔医疗科技有限公司签订《股权转让协议》，公司将持有的赣州医检所</w:t>
      </w:r>
      <w:r>
        <w:rPr>
          <w:rFonts w:ascii="宋体" w:cs="宋体" w:hAnsiTheme="minorHAnsi"/>
          <w:color w:val="000000"/>
          <w:kern w:val="0"/>
          <w:lang w:val="zh-CN"/>
        </w:rPr>
        <w:t>35%</w:t>
      </w:r>
      <w:r>
        <w:rPr>
          <w:rFonts w:hint="eastAsia" w:ascii="宋体" w:cs="宋体" w:hAnsiTheme="minorHAnsi"/>
          <w:color w:val="000000"/>
          <w:kern w:val="0"/>
          <w:lang w:val="zh-CN"/>
        </w:rPr>
        <w:t>的股权转让给北京天羔医疗科技有限公司，由于实缴出资额为</w:t>
      </w:r>
      <w:r>
        <w:rPr>
          <w:rFonts w:ascii="宋体" w:cs="宋体" w:hAnsiTheme="minorHAnsi"/>
          <w:color w:val="000000"/>
          <w:kern w:val="0"/>
          <w:lang w:val="zh-CN"/>
        </w:rPr>
        <w:t>0</w:t>
      </w:r>
      <w:r>
        <w:rPr>
          <w:rFonts w:hint="eastAsia" w:ascii="宋体" w:cs="宋体" w:hAnsiTheme="minorHAnsi"/>
          <w:color w:val="000000"/>
          <w:kern w:val="0"/>
          <w:lang w:val="zh-CN"/>
        </w:rPr>
        <w:t>，双方同意转让价格为</w:t>
      </w:r>
      <w:r>
        <w:rPr>
          <w:rFonts w:ascii="宋体" w:cs="宋体" w:hAnsiTheme="minorHAnsi"/>
          <w:color w:val="000000"/>
          <w:kern w:val="0"/>
          <w:lang w:val="zh-CN"/>
        </w:rPr>
        <w:t>0</w:t>
      </w:r>
      <w:r>
        <w:rPr>
          <w:rFonts w:hint="eastAsia" w:ascii="宋体" w:cs="宋体" w:hAnsiTheme="minorHAnsi"/>
          <w:color w:val="000000"/>
          <w:kern w:val="0"/>
          <w:lang w:val="zh-CN"/>
        </w:rPr>
        <w:t>元，转让完成后，公司仍然持有赣州医检所</w:t>
      </w:r>
      <w:r>
        <w:rPr>
          <w:rFonts w:ascii="宋体" w:cs="宋体" w:hAnsiTheme="minorHAnsi"/>
          <w:color w:val="000000"/>
          <w:kern w:val="0"/>
          <w:lang w:val="zh-CN"/>
        </w:rPr>
        <w:t>20%</w:t>
      </w:r>
      <w:r>
        <w:rPr>
          <w:rFonts w:hint="eastAsia" w:ascii="宋体" w:cs="宋体" w:hAnsiTheme="minorHAnsi"/>
          <w:color w:val="000000"/>
          <w:kern w:val="0"/>
          <w:lang w:val="zh-CN"/>
        </w:rPr>
        <w:t>的股权。同月，公司与子公司盛德医检所签订《股权转让协议》，公司将持有的赣州医检所剩余</w:t>
      </w:r>
      <w:r>
        <w:rPr>
          <w:rFonts w:ascii="宋体" w:cs="宋体" w:hAnsiTheme="minorHAnsi"/>
          <w:color w:val="000000"/>
          <w:kern w:val="0"/>
          <w:lang w:val="zh-CN"/>
        </w:rPr>
        <w:t>20%</w:t>
      </w:r>
      <w:r>
        <w:rPr>
          <w:rFonts w:hint="eastAsia" w:ascii="宋体" w:cs="宋体" w:hAnsiTheme="minorHAnsi"/>
          <w:color w:val="000000"/>
          <w:kern w:val="0"/>
          <w:lang w:val="zh-CN"/>
        </w:rPr>
        <w:t>的股权转让给盛德医检所，由于实缴出资额为</w:t>
      </w:r>
      <w:r>
        <w:rPr>
          <w:rFonts w:ascii="宋体" w:cs="宋体" w:hAnsiTheme="minorHAnsi"/>
          <w:color w:val="000000"/>
          <w:kern w:val="0"/>
          <w:lang w:val="zh-CN"/>
        </w:rPr>
        <w:t>0</w:t>
      </w:r>
      <w:r>
        <w:rPr>
          <w:rFonts w:hint="eastAsia" w:ascii="宋体" w:cs="宋体" w:hAnsiTheme="minorHAnsi"/>
          <w:color w:val="000000"/>
          <w:kern w:val="0"/>
          <w:lang w:val="zh-CN"/>
        </w:rPr>
        <w:t>，双方同意转让价格为</w:t>
      </w:r>
      <w:r>
        <w:rPr>
          <w:rFonts w:ascii="宋体" w:cs="宋体" w:hAnsiTheme="minorHAnsi"/>
          <w:color w:val="000000"/>
          <w:kern w:val="0"/>
          <w:lang w:val="zh-CN"/>
        </w:rPr>
        <w:t>0</w:t>
      </w:r>
      <w:r>
        <w:rPr>
          <w:rFonts w:hint="eastAsia" w:ascii="宋体" w:cs="宋体" w:hAnsiTheme="minorHAnsi"/>
          <w:color w:val="000000"/>
          <w:kern w:val="0"/>
          <w:lang w:val="zh-CN"/>
        </w:rPr>
        <w:t>元，转让完成后，公司不再持有赣州医检所的股权，由子公司盛德医检所持有赣州医检所</w:t>
      </w:r>
      <w:r>
        <w:rPr>
          <w:rFonts w:ascii="宋体" w:cs="宋体" w:hAnsiTheme="minorHAnsi"/>
          <w:color w:val="000000"/>
          <w:kern w:val="0"/>
          <w:lang w:val="zh-CN"/>
        </w:rPr>
        <w:t>20%</w:t>
      </w:r>
      <w:r>
        <w:rPr>
          <w:rFonts w:hint="eastAsia" w:ascii="宋体" w:cs="宋体" w:hAnsiTheme="minorHAnsi"/>
          <w:color w:val="000000"/>
          <w:kern w:val="0"/>
          <w:lang w:val="zh-CN"/>
        </w:rPr>
        <w:t>的股权。上述事项已于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4</w:t>
      </w:r>
      <w:r>
        <w:rPr>
          <w:rFonts w:hint="eastAsia" w:ascii="宋体" w:cs="宋体" w:hAnsiTheme="minorHAnsi"/>
          <w:color w:val="000000"/>
          <w:kern w:val="0"/>
          <w:lang w:val="zh-CN"/>
        </w:rPr>
        <w:t>月</w:t>
      </w:r>
      <w:r>
        <w:rPr>
          <w:rFonts w:ascii="宋体" w:cs="宋体" w:hAnsiTheme="minorHAnsi"/>
          <w:color w:val="000000"/>
          <w:kern w:val="0"/>
          <w:lang w:val="zh-CN"/>
        </w:rPr>
        <w:t>16</w:t>
      </w:r>
      <w:r>
        <w:rPr>
          <w:rFonts w:hint="eastAsia" w:ascii="宋体" w:cs="宋体" w:hAnsiTheme="minorHAnsi"/>
          <w:color w:val="000000"/>
          <w:kern w:val="0"/>
          <w:lang w:val="zh-CN"/>
        </w:rPr>
        <w:t>日办妥工商变更手续。</w:t>
      </w:r>
    </w:p>
    <w:p>
      <w:pPr>
        <w:autoSpaceDE w:val="0"/>
        <w:autoSpaceDN w:val="0"/>
        <w:adjustRightInd w:val="0"/>
        <w:spacing w:before="0" w:after="0"/>
        <w:jc w:val="left"/>
        <w:rPr>
          <w:rFonts w:ascii="宋体" w:cs="宋体" w:hAnsiTheme="minorHAnsi"/>
          <w:color w:val="000000"/>
          <w:kern w:val="0"/>
        </w:rPr>
      </w:pPr>
      <w:r>
        <w:rPr>
          <w:rFonts w:hint="eastAsia" w:ascii="宋体" w:cs="宋体" w:hAnsiTheme="minorHAnsi"/>
          <w:color w:val="000000"/>
          <w:kern w:val="0"/>
          <w:lang w:val="zh-CN"/>
        </w:rPr>
        <w:t>（</w:t>
      </w:r>
      <w:r>
        <w:rPr>
          <w:rFonts w:ascii="宋体" w:cs="宋体" w:hAnsiTheme="minorHAnsi"/>
          <w:color w:val="000000"/>
          <w:kern w:val="0"/>
          <w:lang w:val="zh-CN"/>
        </w:rPr>
        <w:t>2</w:t>
      </w:r>
      <w:r>
        <w:rPr>
          <w:rFonts w:hint="eastAsia" w:ascii="宋体" w:cs="宋体" w:hAnsiTheme="minorHAnsi"/>
          <w:color w:val="000000"/>
          <w:kern w:val="0"/>
          <w:lang w:val="zh-CN"/>
        </w:rPr>
        <w:t>）江西省美康医疗器械有限公司和上饶美康盛德医学检验所有限公司股权转让事项：</w:t>
      </w:r>
    </w:p>
    <w:p>
      <w:pPr>
        <w:autoSpaceDE w:val="0"/>
        <w:autoSpaceDN w:val="0"/>
        <w:adjustRightInd w:val="0"/>
        <w:spacing w:before="0" w:after="0"/>
        <w:ind w:firstLine="420"/>
        <w:jc w:val="left"/>
        <w:rPr>
          <w:rFonts w:ascii="宋体" w:cs="宋体" w:hAnsiTheme="minorHAnsi"/>
          <w:color w:val="000000"/>
          <w:kern w:val="0"/>
        </w:rPr>
      </w:pP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1</w:t>
      </w:r>
      <w:r>
        <w:rPr>
          <w:rFonts w:hint="eastAsia" w:ascii="宋体" w:cs="宋体" w:hAnsiTheme="minorHAnsi"/>
          <w:color w:val="000000"/>
          <w:kern w:val="0"/>
          <w:lang w:val="zh-CN"/>
        </w:rPr>
        <w:t>月</w:t>
      </w:r>
      <w:r>
        <w:rPr>
          <w:rFonts w:ascii="宋体" w:cs="宋体" w:hAnsiTheme="minorHAnsi"/>
          <w:color w:val="000000"/>
          <w:kern w:val="0"/>
          <w:lang w:val="zh-CN"/>
        </w:rPr>
        <w:t>25</w:t>
      </w:r>
      <w:r>
        <w:rPr>
          <w:rFonts w:hint="eastAsia" w:ascii="宋体" w:cs="宋体" w:hAnsiTheme="minorHAnsi"/>
          <w:color w:val="000000"/>
          <w:kern w:val="0"/>
          <w:lang w:val="zh-CN"/>
        </w:rPr>
        <w:t>日，公司与江西省美康医疗器械有限公司、上饶美康盛德医学检验所有限公司、郑绍军、胡容花共同签署了《关于终止履行</w:t>
      </w:r>
      <w:r>
        <w:rPr>
          <w:rFonts w:ascii="宋体" w:cs="宋体" w:hAnsiTheme="minorHAnsi"/>
          <w:color w:val="000000"/>
          <w:kern w:val="0"/>
          <w:lang w:val="zh-CN"/>
        </w:rPr>
        <w:t>&lt;</w:t>
      </w:r>
      <w:r>
        <w:rPr>
          <w:rFonts w:hint="eastAsia" w:ascii="宋体" w:cs="宋体" w:hAnsiTheme="minorHAnsi"/>
          <w:color w:val="000000"/>
          <w:kern w:val="0"/>
          <w:lang w:val="zh-CN"/>
        </w:rPr>
        <w:t>投资合作协议</w:t>
      </w:r>
      <w:r>
        <w:rPr>
          <w:rFonts w:ascii="宋体" w:cs="宋体" w:hAnsiTheme="minorHAnsi"/>
          <w:color w:val="000000"/>
          <w:kern w:val="0"/>
          <w:lang w:val="zh-CN"/>
        </w:rPr>
        <w:t>&gt;</w:t>
      </w:r>
      <w:r>
        <w:rPr>
          <w:rFonts w:hint="eastAsia" w:ascii="宋体" w:cs="宋体" w:hAnsiTheme="minorHAnsi"/>
          <w:color w:val="000000"/>
          <w:kern w:val="0"/>
          <w:lang w:val="zh-CN"/>
        </w:rPr>
        <w:t>之协议》，各方一致同意公司将所持有的江西美康</w:t>
      </w:r>
      <w:r>
        <w:rPr>
          <w:rFonts w:ascii="宋体" w:cs="宋体" w:hAnsiTheme="minorHAnsi"/>
          <w:color w:val="000000"/>
          <w:kern w:val="0"/>
          <w:lang w:val="zh-CN"/>
        </w:rPr>
        <w:t>31%</w:t>
      </w:r>
      <w:r>
        <w:rPr>
          <w:rFonts w:hint="eastAsia" w:ascii="宋体" w:cs="宋体" w:hAnsiTheme="minorHAnsi"/>
          <w:color w:val="000000"/>
          <w:kern w:val="0"/>
          <w:lang w:val="zh-CN"/>
        </w:rPr>
        <w:t>的股权作价人民币</w:t>
      </w:r>
      <w:r>
        <w:rPr>
          <w:rFonts w:ascii="宋体" w:cs="宋体" w:hAnsiTheme="minorHAnsi"/>
          <w:color w:val="000000"/>
          <w:kern w:val="0"/>
          <w:lang w:val="zh-CN"/>
        </w:rPr>
        <w:t>358.00</w:t>
      </w:r>
      <w:r>
        <w:rPr>
          <w:rFonts w:hint="eastAsia" w:ascii="宋体" w:cs="宋体" w:hAnsiTheme="minorHAnsi"/>
          <w:color w:val="000000"/>
          <w:kern w:val="0"/>
          <w:lang w:val="zh-CN"/>
        </w:rPr>
        <w:t>万元转让给郑绍军；将所持有的江西美康</w:t>
      </w:r>
      <w:r>
        <w:rPr>
          <w:rFonts w:ascii="宋体" w:cs="宋体" w:hAnsiTheme="minorHAnsi"/>
          <w:color w:val="000000"/>
          <w:kern w:val="0"/>
          <w:lang w:val="zh-CN"/>
        </w:rPr>
        <w:t>21%</w:t>
      </w:r>
      <w:r>
        <w:rPr>
          <w:rFonts w:hint="eastAsia" w:ascii="宋体" w:cs="宋体" w:hAnsiTheme="minorHAnsi"/>
          <w:color w:val="000000"/>
          <w:kern w:val="0"/>
          <w:lang w:val="zh-CN"/>
        </w:rPr>
        <w:t>的股权作价人民币</w:t>
      </w:r>
      <w:r>
        <w:rPr>
          <w:rFonts w:ascii="宋体" w:cs="宋体" w:hAnsiTheme="minorHAnsi"/>
          <w:color w:val="000000"/>
          <w:kern w:val="0"/>
          <w:lang w:val="zh-CN"/>
        </w:rPr>
        <w:t>242.00</w:t>
      </w:r>
      <w:r>
        <w:rPr>
          <w:rFonts w:hint="eastAsia" w:ascii="宋体" w:cs="宋体" w:hAnsiTheme="minorHAnsi"/>
          <w:color w:val="000000"/>
          <w:kern w:val="0"/>
          <w:lang w:val="zh-CN"/>
        </w:rPr>
        <w:t>万元转让给胡容花；公司将所持有的上饶医检所</w:t>
      </w:r>
      <w:r>
        <w:rPr>
          <w:rFonts w:ascii="宋体" w:cs="宋体" w:hAnsiTheme="minorHAnsi"/>
          <w:color w:val="000000"/>
          <w:kern w:val="0"/>
          <w:lang w:val="zh-CN"/>
        </w:rPr>
        <w:t>31%</w:t>
      </w:r>
      <w:r>
        <w:rPr>
          <w:rFonts w:hint="eastAsia" w:ascii="宋体" w:cs="宋体" w:hAnsiTheme="minorHAnsi"/>
          <w:color w:val="000000"/>
          <w:kern w:val="0"/>
          <w:lang w:val="zh-CN"/>
        </w:rPr>
        <w:t>的股权作价人民币</w:t>
      </w:r>
      <w:r>
        <w:rPr>
          <w:rFonts w:ascii="宋体" w:cs="宋体" w:hAnsiTheme="minorHAnsi"/>
          <w:color w:val="000000"/>
          <w:kern w:val="0"/>
          <w:lang w:val="zh-CN"/>
        </w:rPr>
        <w:t>656.00</w:t>
      </w:r>
      <w:r>
        <w:rPr>
          <w:rFonts w:hint="eastAsia" w:ascii="宋体" w:cs="宋体" w:hAnsiTheme="minorHAnsi"/>
          <w:color w:val="000000"/>
          <w:kern w:val="0"/>
          <w:lang w:val="zh-CN"/>
        </w:rPr>
        <w:t>万元转让给郑绍军；将所持有的上饶医检所</w:t>
      </w:r>
      <w:r>
        <w:rPr>
          <w:rFonts w:ascii="宋体" w:cs="宋体" w:hAnsiTheme="minorHAnsi"/>
          <w:color w:val="000000"/>
          <w:kern w:val="0"/>
          <w:lang w:val="zh-CN"/>
        </w:rPr>
        <w:t>21%</w:t>
      </w:r>
      <w:r>
        <w:rPr>
          <w:rFonts w:hint="eastAsia" w:ascii="宋体" w:cs="宋体" w:hAnsiTheme="minorHAnsi"/>
          <w:color w:val="000000"/>
          <w:kern w:val="0"/>
          <w:lang w:val="zh-CN"/>
        </w:rPr>
        <w:t>的股权作价人民币</w:t>
      </w:r>
      <w:r>
        <w:rPr>
          <w:rFonts w:ascii="宋体" w:cs="宋体" w:hAnsiTheme="minorHAnsi"/>
          <w:color w:val="000000"/>
          <w:kern w:val="0"/>
          <w:lang w:val="zh-CN"/>
        </w:rPr>
        <w:t>444.00</w:t>
      </w:r>
      <w:r>
        <w:rPr>
          <w:rFonts w:hint="eastAsia" w:ascii="宋体" w:cs="宋体" w:hAnsiTheme="minorHAnsi"/>
          <w:color w:val="000000"/>
          <w:kern w:val="0"/>
          <w:lang w:val="zh-CN"/>
        </w:rPr>
        <w:t>万元转让给胡容花。上述股权转让款价格合计</w:t>
      </w:r>
      <w:r>
        <w:rPr>
          <w:rFonts w:ascii="宋体" w:cs="宋体" w:hAnsiTheme="minorHAnsi"/>
          <w:color w:val="000000"/>
          <w:kern w:val="0"/>
          <w:lang w:val="zh-CN"/>
        </w:rPr>
        <w:t>1,700.00</w:t>
      </w:r>
      <w:r>
        <w:rPr>
          <w:rFonts w:hint="eastAsia" w:ascii="宋体" w:cs="宋体" w:hAnsiTheme="minorHAnsi"/>
          <w:color w:val="000000"/>
          <w:kern w:val="0"/>
          <w:lang w:val="zh-CN"/>
        </w:rPr>
        <w:t>万元，股权转让完成后，公司将不再持有江西美康和上饶医检所的股权。截止</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12</w:t>
      </w:r>
      <w:r>
        <w:rPr>
          <w:rFonts w:hint="eastAsia" w:ascii="宋体" w:cs="宋体" w:hAnsiTheme="minorHAnsi"/>
          <w:color w:val="000000"/>
          <w:kern w:val="0"/>
          <w:lang w:val="zh-CN"/>
        </w:rPr>
        <w:t>月</w:t>
      </w:r>
      <w:r>
        <w:rPr>
          <w:rFonts w:ascii="宋体" w:cs="宋体" w:hAnsiTheme="minorHAnsi"/>
          <w:color w:val="000000"/>
          <w:kern w:val="0"/>
          <w:lang w:val="zh-CN"/>
        </w:rPr>
        <w:t>31</w:t>
      </w:r>
      <w:r>
        <w:rPr>
          <w:rFonts w:hint="eastAsia" w:ascii="宋体" w:cs="宋体" w:hAnsiTheme="minorHAnsi"/>
          <w:color w:val="000000"/>
          <w:kern w:val="0"/>
          <w:lang w:val="zh-CN"/>
        </w:rPr>
        <w:t>日，公司已收到郑绍军、胡容花支付的股权转让款共计</w:t>
      </w:r>
      <w:r>
        <w:rPr>
          <w:rFonts w:ascii="宋体" w:cs="宋体" w:hAnsiTheme="minorHAnsi"/>
          <w:color w:val="000000"/>
          <w:kern w:val="0"/>
          <w:lang w:val="zh-CN"/>
        </w:rPr>
        <w:t>1,700</w:t>
      </w:r>
      <w:r>
        <w:rPr>
          <w:rFonts w:hint="eastAsia" w:ascii="宋体" w:cs="宋体" w:hAnsiTheme="minorHAnsi"/>
          <w:color w:val="000000"/>
          <w:kern w:val="0"/>
          <w:lang w:val="zh-CN"/>
        </w:rPr>
        <w:t>万元，上述股权转让事项已于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2</w:t>
      </w:r>
      <w:r>
        <w:rPr>
          <w:rFonts w:hint="eastAsia" w:ascii="宋体" w:cs="宋体" w:hAnsiTheme="minorHAnsi"/>
          <w:color w:val="000000"/>
          <w:kern w:val="0"/>
          <w:lang w:val="zh-CN"/>
        </w:rPr>
        <w:t>月</w:t>
      </w:r>
      <w:r>
        <w:rPr>
          <w:rFonts w:ascii="宋体" w:cs="宋体" w:hAnsiTheme="minorHAnsi"/>
          <w:color w:val="000000"/>
          <w:kern w:val="0"/>
          <w:lang w:val="zh-CN"/>
        </w:rPr>
        <w:t>21</w:t>
      </w:r>
      <w:r>
        <w:rPr>
          <w:rFonts w:hint="eastAsia" w:ascii="宋体" w:cs="宋体" w:hAnsiTheme="minorHAnsi"/>
          <w:color w:val="000000"/>
          <w:kern w:val="0"/>
          <w:lang w:val="zh-CN"/>
        </w:rPr>
        <w:t>日办妥工商变更手续。</w:t>
      </w:r>
    </w:p>
    <w:p>
      <w:pPr>
        <w:autoSpaceDE w:val="0"/>
        <w:autoSpaceDN w:val="0"/>
        <w:adjustRightInd w:val="0"/>
        <w:spacing w:before="0" w:after="0"/>
        <w:jc w:val="left"/>
        <w:rPr>
          <w:rFonts w:ascii="宋体" w:cs="宋体" w:hAnsiTheme="minorHAnsi"/>
          <w:color w:val="000000"/>
          <w:kern w:val="0"/>
        </w:rPr>
      </w:pPr>
      <w:r>
        <w:rPr>
          <w:rFonts w:hint="eastAsia" w:ascii="宋体" w:cs="宋体" w:hAnsiTheme="minorHAnsi"/>
          <w:color w:val="000000"/>
          <w:kern w:val="0"/>
          <w:lang w:val="zh-CN"/>
        </w:rPr>
        <w:t>（</w:t>
      </w:r>
      <w:r>
        <w:rPr>
          <w:rFonts w:ascii="宋体" w:cs="宋体" w:hAnsiTheme="minorHAnsi"/>
          <w:color w:val="000000"/>
          <w:kern w:val="0"/>
          <w:lang w:val="zh-CN"/>
        </w:rPr>
        <w:t>3</w:t>
      </w:r>
      <w:r>
        <w:rPr>
          <w:rFonts w:hint="eastAsia" w:ascii="宋体" w:cs="宋体" w:hAnsiTheme="minorHAnsi"/>
          <w:color w:val="000000"/>
          <w:kern w:val="0"/>
          <w:lang w:val="zh-CN"/>
        </w:rPr>
        <w:t>）美康生物科技</w:t>
      </w:r>
      <w:r>
        <w:rPr>
          <w:rFonts w:ascii="宋体" w:cs="宋体" w:hAnsiTheme="minorHAnsi"/>
          <w:color w:val="000000"/>
          <w:kern w:val="0"/>
          <w:lang w:val="zh-CN"/>
        </w:rPr>
        <w:t>(</w:t>
      </w:r>
      <w:r>
        <w:rPr>
          <w:rFonts w:hint="eastAsia" w:ascii="宋体" w:cs="宋体" w:hAnsiTheme="minorHAnsi"/>
          <w:color w:val="000000"/>
          <w:kern w:val="0"/>
          <w:lang w:val="zh-CN"/>
        </w:rPr>
        <w:t>陕西</w:t>
      </w:r>
      <w:r>
        <w:rPr>
          <w:rFonts w:ascii="宋体" w:cs="宋体" w:hAnsiTheme="minorHAnsi"/>
          <w:color w:val="000000"/>
          <w:kern w:val="0"/>
          <w:lang w:val="zh-CN"/>
        </w:rPr>
        <w:t>)</w:t>
      </w:r>
      <w:r>
        <w:rPr>
          <w:rFonts w:hint="eastAsia" w:ascii="宋体" w:cs="宋体" w:hAnsiTheme="minorHAnsi"/>
          <w:color w:val="000000"/>
          <w:kern w:val="0"/>
          <w:lang w:val="zh-CN"/>
        </w:rPr>
        <w:t>有限公司股权转让事项：</w:t>
      </w:r>
    </w:p>
    <w:p>
      <w:pPr>
        <w:autoSpaceDE w:val="0"/>
        <w:autoSpaceDN w:val="0"/>
        <w:adjustRightInd w:val="0"/>
        <w:spacing w:before="0" w:after="0"/>
        <w:ind w:firstLine="420"/>
        <w:jc w:val="left"/>
        <w:rPr>
          <w:rFonts w:ascii="宋体" w:cs="宋体" w:hAnsiTheme="minorHAnsi"/>
          <w:color w:val="000000"/>
          <w:kern w:val="0"/>
        </w:rPr>
      </w:pP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4</w:t>
      </w:r>
      <w:r>
        <w:rPr>
          <w:rFonts w:hint="eastAsia" w:ascii="宋体" w:cs="宋体" w:hAnsiTheme="minorHAnsi"/>
          <w:color w:val="000000"/>
          <w:kern w:val="0"/>
          <w:lang w:val="zh-CN"/>
        </w:rPr>
        <w:t>月</w:t>
      </w:r>
      <w:r>
        <w:rPr>
          <w:rFonts w:ascii="宋体" w:cs="宋体" w:hAnsiTheme="minorHAnsi"/>
          <w:color w:val="000000"/>
          <w:kern w:val="0"/>
          <w:lang w:val="zh-CN"/>
        </w:rPr>
        <w:t>22</w:t>
      </w:r>
      <w:r>
        <w:rPr>
          <w:rFonts w:hint="eastAsia" w:ascii="宋体" w:cs="宋体" w:hAnsiTheme="minorHAnsi"/>
          <w:color w:val="000000"/>
          <w:kern w:val="0"/>
          <w:lang w:val="zh-CN"/>
        </w:rPr>
        <w:t>日，公司与罗念庆签署了《股权转让协议》，公司将所持有的美康生物科技</w:t>
      </w:r>
      <w:r>
        <w:rPr>
          <w:rFonts w:ascii="宋体" w:cs="宋体" w:hAnsiTheme="minorHAnsi"/>
          <w:color w:val="000000"/>
          <w:kern w:val="0"/>
          <w:lang w:val="zh-CN"/>
        </w:rPr>
        <w:t>(</w:t>
      </w:r>
      <w:r>
        <w:rPr>
          <w:rFonts w:hint="eastAsia" w:ascii="宋体" w:cs="宋体" w:hAnsiTheme="minorHAnsi"/>
          <w:color w:val="000000"/>
          <w:kern w:val="0"/>
          <w:lang w:val="zh-CN"/>
        </w:rPr>
        <w:t>陕西</w:t>
      </w:r>
      <w:r>
        <w:rPr>
          <w:rFonts w:ascii="宋体" w:cs="宋体" w:hAnsiTheme="minorHAnsi"/>
          <w:color w:val="000000"/>
          <w:kern w:val="0"/>
          <w:lang w:val="zh-CN"/>
        </w:rPr>
        <w:t>)</w:t>
      </w:r>
      <w:r>
        <w:rPr>
          <w:rFonts w:hint="eastAsia" w:ascii="宋体" w:cs="宋体" w:hAnsiTheme="minorHAnsi"/>
          <w:color w:val="000000"/>
          <w:kern w:val="0"/>
          <w:lang w:val="zh-CN"/>
        </w:rPr>
        <w:t>有限公司</w:t>
      </w:r>
      <w:r>
        <w:rPr>
          <w:rFonts w:ascii="宋体" w:cs="宋体" w:hAnsiTheme="minorHAnsi"/>
          <w:color w:val="000000"/>
          <w:kern w:val="0"/>
          <w:lang w:val="zh-CN"/>
        </w:rPr>
        <w:t>100%</w:t>
      </w:r>
      <w:r>
        <w:rPr>
          <w:rFonts w:hint="eastAsia" w:ascii="宋体" w:cs="宋体" w:hAnsiTheme="minorHAnsi"/>
          <w:color w:val="000000"/>
          <w:kern w:val="0"/>
          <w:lang w:val="zh-CN"/>
        </w:rPr>
        <w:t>的股权作价人民币</w:t>
      </w:r>
      <w:r>
        <w:rPr>
          <w:rFonts w:ascii="宋体" w:cs="宋体" w:hAnsiTheme="minorHAnsi"/>
          <w:color w:val="000000"/>
          <w:kern w:val="0"/>
          <w:lang w:val="zh-CN"/>
        </w:rPr>
        <w:t>672.00</w:t>
      </w:r>
      <w:r>
        <w:rPr>
          <w:rFonts w:hint="eastAsia" w:ascii="宋体" w:cs="宋体" w:hAnsiTheme="minorHAnsi"/>
          <w:color w:val="000000"/>
          <w:kern w:val="0"/>
          <w:lang w:val="zh-CN"/>
        </w:rPr>
        <w:t>万元转让给罗念庆。股权转让完成后，公司将不再持有美康生物科技</w:t>
      </w:r>
      <w:r>
        <w:rPr>
          <w:rFonts w:ascii="宋体" w:cs="宋体" w:hAnsiTheme="minorHAnsi"/>
          <w:color w:val="000000"/>
          <w:kern w:val="0"/>
          <w:lang w:val="zh-CN"/>
        </w:rPr>
        <w:t>(</w:t>
      </w:r>
      <w:r>
        <w:rPr>
          <w:rFonts w:hint="eastAsia" w:ascii="宋体" w:cs="宋体" w:hAnsiTheme="minorHAnsi"/>
          <w:color w:val="000000"/>
          <w:kern w:val="0"/>
          <w:lang w:val="zh-CN"/>
        </w:rPr>
        <w:t>陕西</w:t>
      </w:r>
      <w:r>
        <w:rPr>
          <w:rFonts w:ascii="宋体" w:cs="宋体" w:hAnsiTheme="minorHAnsi"/>
          <w:color w:val="000000"/>
          <w:kern w:val="0"/>
          <w:lang w:val="zh-CN"/>
        </w:rPr>
        <w:t>)</w:t>
      </w:r>
      <w:r>
        <w:rPr>
          <w:rFonts w:hint="eastAsia" w:ascii="宋体" w:cs="宋体" w:hAnsiTheme="minorHAnsi"/>
          <w:color w:val="000000"/>
          <w:kern w:val="0"/>
          <w:lang w:val="zh-CN"/>
        </w:rPr>
        <w:t>有限公司的股权。截止</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12</w:t>
      </w:r>
      <w:r>
        <w:rPr>
          <w:rFonts w:hint="eastAsia" w:ascii="宋体" w:cs="宋体" w:hAnsiTheme="minorHAnsi"/>
          <w:color w:val="000000"/>
          <w:kern w:val="0"/>
          <w:lang w:val="zh-CN"/>
        </w:rPr>
        <w:t>月</w:t>
      </w:r>
      <w:r>
        <w:rPr>
          <w:rFonts w:ascii="宋体" w:cs="宋体" w:hAnsiTheme="minorHAnsi"/>
          <w:color w:val="000000"/>
          <w:kern w:val="0"/>
          <w:lang w:val="zh-CN"/>
        </w:rPr>
        <w:t>31</w:t>
      </w:r>
      <w:r>
        <w:rPr>
          <w:rFonts w:hint="eastAsia" w:ascii="宋体" w:cs="宋体" w:hAnsiTheme="minorHAnsi"/>
          <w:color w:val="000000"/>
          <w:kern w:val="0"/>
          <w:lang w:val="zh-CN"/>
        </w:rPr>
        <w:t>日，公司已收到罗念庆支付的股权转让款共计</w:t>
      </w:r>
      <w:r>
        <w:rPr>
          <w:rFonts w:ascii="宋体" w:cs="宋体" w:hAnsiTheme="minorHAnsi"/>
          <w:color w:val="000000"/>
          <w:kern w:val="0"/>
          <w:lang w:val="zh-CN"/>
        </w:rPr>
        <w:t>400</w:t>
      </w:r>
      <w:r>
        <w:rPr>
          <w:rFonts w:hint="eastAsia" w:ascii="宋体" w:cs="宋体" w:hAnsiTheme="minorHAnsi"/>
          <w:color w:val="000000"/>
          <w:kern w:val="0"/>
          <w:lang w:val="zh-CN"/>
        </w:rPr>
        <w:t>万元，剩余</w:t>
      </w:r>
      <w:r>
        <w:rPr>
          <w:rFonts w:ascii="宋体" w:cs="宋体" w:hAnsiTheme="minorHAnsi"/>
          <w:color w:val="000000"/>
          <w:kern w:val="0"/>
          <w:lang w:val="zh-CN"/>
        </w:rPr>
        <w:t>272</w:t>
      </w:r>
      <w:r>
        <w:rPr>
          <w:rFonts w:hint="eastAsia" w:ascii="宋体" w:cs="宋体" w:hAnsiTheme="minorHAnsi"/>
          <w:color w:val="000000"/>
          <w:kern w:val="0"/>
          <w:lang w:val="zh-CN"/>
        </w:rPr>
        <w:t>万元股权转让款尚未收到。截止本报告出具日，公司已收到罗念庆支付的股权转让款共计</w:t>
      </w:r>
      <w:r>
        <w:rPr>
          <w:rFonts w:ascii="宋体" w:cs="宋体" w:hAnsiTheme="minorHAnsi"/>
          <w:color w:val="000000"/>
          <w:kern w:val="0"/>
          <w:lang w:val="zh-CN"/>
        </w:rPr>
        <w:t>672</w:t>
      </w:r>
      <w:r>
        <w:rPr>
          <w:rFonts w:hint="eastAsia" w:ascii="宋体" w:cs="宋体" w:hAnsiTheme="minorHAnsi"/>
          <w:color w:val="000000"/>
          <w:kern w:val="0"/>
          <w:lang w:val="zh-CN"/>
        </w:rPr>
        <w:t>万元，已全部收回。上述股权转让事项已于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4</w:t>
      </w:r>
      <w:r>
        <w:rPr>
          <w:rFonts w:hint="eastAsia" w:ascii="宋体" w:cs="宋体" w:hAnsiTheme="minorHAnsi"/>
          <w:color w:val="000000"/>
          <w:kern w:val="0"/>
          <w:lang w:val="zh-CN"/>
        </w:rPr>
        <w:t>月</w:t>
      </w:r>
      <w:r>
        <w:rPr>
          <w:rFonts w:ascii="宋体" w:cs="宋体" w:hAnsiTheme="minorHAnsi"/>
          <w:color w:val="000000"/>
          <w:kern w:val="0"/>
          <w:lang w:val="zh-CN"/>
        </w:rPr>
        <w:t>28</w:t>
      </w:r>
      <w:r>
        <w:rPr>
          <w:rFonts w:hint="eastAsia" w:ascii="宋体" w:cs="宋体" w:hAnsiTheme="minorHAnsi"/>
          <w:color w:val="000000"/>
          <w:kern w:val="0"/>
          <w:lang w:val="zh-CN"/>
        </w:rPr>
        <w:t>日办妥工商变更手续。</w:t>
      </w:r>
    </w:p>
    <w:p>
      <w:pPr>
        <w:autoSpaceDE w:val="0"/>
        <w:autoSpaceDN w:val="0"/>
        <w:adjustRightInd w:val="0"/>
        <w:spacing w:before="0" w:after="0"/>
        <w:jc w:val="left"/>
        <w:rPr>
          <w:rFonts w:ascii="宋体" w:cs="宋体" w:hAnsiTheme="minorHAnsi"/>
          <w:color w:val="000000"/>
          <w:kern w:val="0"/>
        </w:rPr>
      </w:pPr>
      <w:r>
        <w:rPr>
          <w:rFonts w:hint="eastAsia" w:ascii="宋体" w:cs="宋体" w:hAnsiTheme="minorHAnsi"/>
          <w:color w:val="000000"/>
          <w:kern w:val="0"/>
          <w:lang w:val="zh-CN"/>
        </w:rPr>
        <w:t>（</w:t>
      </w:r>
      <w:r>
        <w:rPr>
          <w:rFonts w:ascii="宋体" w:cs="宋体" w:hAnsiTheme="minorHAnsi"/>
          <w:color w:val="000000"/>
          <w:kern w:val="0"/>
          <w:lang w:val="zh-CN"/>
        </w:rPr>
        <w:t>4</w:t>
      </w:r>
      <w:r>
        <w:rPr>
          <w:rFonts w:hint="eastAsia" w:ascii="宋体" w:cs="宋体" w:hAnsiTheme="minorHAnsi"/>
          <w:color w:val="000000"/>
          <w:kern w:val="0"/>
          <w:lang w:val="zh-CN"/>
        </w:rPr>
        <w:t>）宁波美康股权投资基金合伙企业</w:t>
      </w:r>
      <w:r>
        <w:rPr>
          <w:rFonts w:ascii="宋体" w:cs="宋体" w:hAnsiTheme="minorHAnsi"/>
          <w:color w:val="000000"/>
          <w:kern w:val="0"/>
          <w:lang w:val="zh-CN"/>
        </w:rPr>
        <w:t>(</w:t>
      </w:r>
      <w:r>
        <w:rPr>
          <w:rFonts w:hint="eastAsia" w:ascii="宋体" w:cs="宋体" w:hAnsiTheme="minorHAnsi"/>
          <w:color w:val="000000"/>
          <w:kern w:val="0"/>
          <w:lang w:val="zh-CN"/>
        </w:rPr>
        <w:t>有限合伙</w:t>
      </w:r>
      <w:r>
        <w:rPr>
          <w:rFonts w:ascii="宋体" w:cs="宋体" w:hAnsiTheme="minorHAnsi"/>
          <w:color w:val="000000"/>
          <w:kern w:val="0"/>
          <w:lang w:val="zh-CN"/>
        </w:rPr>
        <w:t>)</w:t>
      </w:r>
      <w:r>
        <w:rPr>
          <w:rFonts w:hint="eastAsia" w:ascii="宋体" w:cs="宋体" w:hAnsiTheme="minorHAnsi"/>
          <w:color w:val="000000"/>
          <w:kern w:val="0"/>
          <w:lang w:val="zh-CN"/>
        </w:rPr>
        <w:t>退伙及收购杭州倚天剩余股权事项：</w:t>
      </w:r>
    </w:p>
    <w:p>
      <w:pPr>
        <w:autoSpaceDE w:val="0"/>
        <w:autoSpaceDN w:val="0"/>
        <w:adjustRightInd w:val="0"/>
        <w:spacing w:before="0" w:after="0"/>
        <w:ind w:firstLine="420"/>
        <w:jc w:val="left"/>
        <w:rPr>
          <w:rFonts w:ascii="宋体" w:cs="宋体" w:hAnsiTheme="minorHAnsi"/>
          <w:color w:val="000000"/>
          <w:kern w:val="0"/>
        </w:rPr>
      </w:pP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3</w:t>
      </w:r>
      <w:r>
        <w:rPr>
          <w:rFonts w:hint="eastAsia" w:ascii="宋体" w:cs="宋体" w:hAnsiTheme="minorHAnsi"/>
          <w:color w:val="000000"/>
          <w:kern w:val="0"/>
          <w:lang w:val="zh-CN"/>
        </w:rPr>
        <w:t>月</w:t>
      </w:r>
      <w:r>
        <w:rPr>
          <w:rFonts w:ascii="宋体" w:cs="宋体" w:hAnsiTheme="minorHAnsi"/>
          <w:color w:val="000000"/>
          <w:kern w:val="0"/>
          <w:lang w:val="zh-CN"/>
        </w:rPr>
        <w:t>4</w:t>
      </w:r>
      <w:r>
        <w:rPr>
          <w:rFonts w:hint="eastAsia" w:ascii="宋体" w:cs="宋体" w:hAnsiTheme="minorHAnsi"/>
          <w:color w:val="000000"/>
          <w:kern w:val="0"/>
          <w:lang w:val="zh-CN"/>
        </w:rPr>
        <w:t>日，公司与美康基金及美康基金其他合伙人共同签署了《宁波美康股权投资基金合伙企业（有限合伙）之退伙协议》，各方一致同意公司退出美康基金，并由美康基金按全体合伙人的实缴出资比例向公司分配美康基金的资产与负债，公司退伙取得资产净值为</w:t>
      </w:r>
      <w:r>
        <w:rPr>
          <w:rFonts w:ascii="宋体" w:cs="宋体" w:hAnsiTheme="minorHAnsi"/>
          <w:color w:val="000000"/>
          <w:kern w:val="0"/>
          <w:lang w:val="zh-CN"/>
        </w:rPr>
        <w:t>472,374,889.27</w:t>
      </w:r>
      <w:r>
        <w:rPr>
          <w:rFonts w:hint="eastAsia" w:ascii="宋体" w:cs="宋体" w:hAnsiTheme="minorHAnsi"/>
          <w:color w:val="000000"/>
          <w:kern w:val="0"/>
          <w:lang w:val="zh-CN"/>
        </w:rPr>
        <w:t>元，其中包括杭州倚天</w:t>
      </w:r>
      <w:r>
        <w:rPr>
          <w:rFonts w:ascii="宋体" w:cs="宋体" w:hAnsiTheme="minorHAnsi"/>
          <w:color w:val="000000"/>
          <w:kern w:val="0"/>
          <w:lang w:val="zh-CN"/>
        </w:rPr>
        <w:t>66.89%</w:t>
      </w:r>
      <w:r>
        <w:rPr>
          <w:rFonts w:hint="eastAsia" w:ascii="宋体" w:cs="宋体" w:hAnsiTheme="minorHAnsi"/>
          <w:color w:val="000000"/>
          <w:kern w:val="0"/>
          <w:lang w:val="zh-CN"/>
        </w:rPr>
        <w:t>的股权金额</w:t>
      </w:r>
      <w:r>
        <w:rPr>
          <w:rFonts w:ascii="宋体" w:cs="宋体" w:hAnsiTheme="minorHAnsi"/>
          <w:color w:val="000000"/>
          <w:kern w:val="0"/>
          <w:lang w:val="zh-CN"/>
        </w:rPr>
        <w:t>583,734,565.71</w:t>
      </w:r>
      <w:r>
        <w:rPr>
          <w:rFonts w:hint="eastAsia" w:ascii="宋体" w:cs="宋体" w:hAnsiTheme="minorHAnsi"/>
          <w:color w:val="000000"/>
          <w:kern w:val="0"/>
          <w:lang w:val="zh-CN"/>
        </w:rPr>
        <w:t>元，并承担美康基金应向杭州昆贺投资合伙企业（有限合伙）（杭州倚天原股东）支付的股权转让款</w:t>
      </w:r>
      <w:r>
        <w:rPr>
          <w:rFonts w:ascii="宋体" w:cs="宋体" w:hAnsiTheme="minorHAnsi"/>
          <w:color w:val="000000"/>
          <w:kern w:val="0"/>
          <w:lang w:val="zh-CN"/>
        </w:rPr>
        <w:t>119,076,449.96</w:t>
      </w:r>
      <w:r>
        <w:rPr>
          <w:rFonts w:hint="eastAsia" w:ascii="宋体" w:cs="宋体" w:hAnsiTheme="minorHAnsi"/>
          <w:color w:val="000000"/>
          <w:kern w:val="0"/>
          <w:lang w:val="zh-CN"/>
        </w:rPr>
        <w:t>元，根据退伙可分配取得的资产、负债及其抵消情况，美康基金需要向公司支付</w:t>
      </w:r>
      <w:r>
        <w:rPr>
          <w:rFonts w:ascii="宋体" w:cs="宋体" w:hAnsiTheme="minorHAnsi"/>
          <w:color w:val="000000"/>
          <w:kern w:val="0"/>
          <w:lang w:val="zh-CN"/>
        </w:rPr>
        <w:t>7,716,773.52</w:t>
      </w:r>
      <w:r>
        <w:rPr>
          <w:rFonts w:hint="eastAsia" w:ascii="宋体" w:cs="宋体" w:hAnsiTheme="minorHAnsi"/>
          <w:color w:val="000000"/>
          <w:kern w:val="0"/>
          <w:lang w:val="zh-CN"/>
        </w:rPr>
        <w:t>元（计算公式为：应收退伙款</w:t>
      </w:r>
      <w:r>
        <w:rPr>
          <w:rFonts w:ascii="宋体" w:cs="宋体" w:hAnsiTheme="minorHAnsi"/>
          <w:color w:val="000000"/>
          <w:kern w:val="0"/>
          <w:lang w:val="zh-CN"/>
        </w:rPr>
        <w:t>=</w:t>
      </w:r>
      <w:r>
        <w:rPr>
          <w:rFonts w:hint="eastAsia" w:ascii="宋体" w:cs="宋体" w:hAnsiTheme="minorHAnsi"/>
          <w:color w:val="000000"/>
          <w:kern w:val="0"/>
          <w:lang w:val="zh-CN"/>
        </w:rPr>
        <w:t>分配退伙净值</w:t>
      </w:r>
      <w:r>
        <w:rPr>
          <w:rFonts w:ascii="宋体" w:cs="宋体" w:hAnsiTheme="minorHAnsi"/>
          <w:color w:val="000000"/>
          <w:kern w:val="0"/>
          <w:lang w:val="zh-CN"/>
        </w:rPr>
        <w:t>472,374,889.27</w:t>
      </w:r>
      <w:r>
        <w:rPr>
          <w:rFonts w:hint="eastAsia" w:ascii="宋体" w:cs="宋体" w:hAnsiTheme="minorHAnsi"/>
          <w:color w:val="000000"/>
          <w:kern w:val="0"/>
          <w:lang w:val="zh-CN"/>
        </w:rPr>
        <w:t>元</w:t>
      </w:r>
      <w:r>
        <w:rPr>
          <w:rFonts w:ascii="宋体" w:cs="宋体" w:hAnsiTheme="minorHAnsi"/>
          <w:color w:val="000000"/>
          <w:kern w:val="0"/>
          <w:lang w:val="zh-CN"/>
        </w:rPr>
        <w:t>-</w:t>
      </w:r>
      <w:r>
        <w:rPr>
          <w:rFonts w:hint="eastAsia" w:ascii="宋体" w:cs="宋体" w:hAnsiTheme="minorHAnsi"/>
          <w:color w:val="000000"/>
          <w:kern w:val="0"/>
          <w:lang w:val="zh-CN"/>
        </w:rPr>
        <w:t>收到的股权金额</w:t>
      </w:r>
      <w:r>
        <w:rPr>
          <w:rFonts w:ascii="宋体" w:cs="宋体" w:hAnsiTheme="minorHAnsi"/>
          <w:color w:val="000000"/>
          <w:kern w:val="0"/>
          <w:lang w:val="zh-CN"/>
        </w:rPr>
        <w:t>583,734,565.71</w:t>
      </w:r>
      <w:r>
        <w:rPr>
          <w:rFonts w:hint="eastAsia" w:ascii="宋体" w:cs="宋体" w:hAnsiTheme="minorHAnsi"/>
          <w:color w:val="000000"/>
          <w:kern w:val="0"/>
          <w:lang w:val="zh-CN"/>
        </w:rPr>
        <w:t>元</w:t>
      </w:r>
      <w:r>
        <w:rPr>
          <w:rFonts w:ascii="宋体" w:cs="宋体" w:hAnsiTheme="minorHAnsi"/>
          <w:color w:val="000000"/>
          <w:kern w:val="0"/>
          <w:lang w:val="zh-CN"/>
        </w:rPr>
        <w:t>+</w:t>
      </w:r>
      <w:r>
        <w:rPr>
          <w:rFonts w:hint="eastAsia" w:ascii="宋体" w:cs="宋体" w:hAnsiTheme="minorHAnsi"/>
          <w:color w:val="000000"/>
          <w:kern w:val="0"/>
          <w:lang w:val="zh-CN"/>
        </w:rPr>
        <w:t>承接的付款义务</w:t>
      </w:r>
      <w:r>
        <w:rPr>
          <w:rFonts w:ascii="宋体" w:cs="宋体" w:hAnsiTheme="minorHAnsi"/>
          <w:color w:val="000000"/>
          <w:kern w:val="0"/>
          <w:lang w:val="zh-CN"/>
        </w:rPr>
        <w:t>119,076,449.96</w:t>
      </w:r>
      <w:r>
        <w:rPr>
          <w:rFonts w:hint="eastAsia" w:ascii="宋体" w:cs="宋体" w:hAnsiTheme="minorHAnsi"/>
          <w:color w:val="000000"/>
          <w:kern w:val="0"/>
          <w:lang w:val="zh-CN"/>
        </w:rPr>
        <w:t>元</w:t>
      </w:r>
      <w:r>
        <w:rPr>
          <w:rFonts w:ascii="宋体" w:cs="宋体" w:hAnsiTheme="minorHAnsi"/>
          <w:color w:val="000000"/>
          <w:kern w:val="0"/>
          <w:lang w:val="zh-CN"/>
        </w:rPr>
        <w:t>=7,716,773.52</w:t>
      </w:r>
      <w:r>
        <w:rPr>
          <w:rFonts w:hint="eastAsia" w:ascii="宋体" w:cs="宋体" w:hAnsiTheme="minorHAnsi"/>
          <w:color w:val="000000"/>
          <w:kern w:val="0"/>
          <w:lang w:val="zh-CN"/>
        </w:rPr>
        <w:t>元）。</w:t>
      </w:r>
    </w:p>
    <w:p>
      <w:pPr>
        <w:autoSpaceDE w:val="0"/>
        <w:autoSpaceDN w:val="0"/>
        <w:adjustRightInd w:val="0"/>
        <w:spacing w:before="0" w:after="0"/>
        <w:ind w:firstLine="420"/>
        <w:jc w:val="left"/>
        <w:rPr>
          <w:rFonts w:ascii="宋体" w:cs="宋体" w:hAnsiTheme="minorHAnsi"/>
          <w:color w:val="000000"/>
          <w:kern w:val="0"/>
        </w:rPr>
      </w:pPr>
      <w:r>
        <w:rPr>
          <w:rFonts w:hint="eastAsia" w:ascii="宋体" w:cs="宋体" w:hAnsiTheme="minorHAnsi"/>
          <w:color w:val="000000"/>
          <w:kern w:val="0"/>
          <w:lang w:val="zh-CN"/>
        </w:rPr>
        <w:t>同日，公司与杭州倚天、美康基金共同签署了《关于杭州倚天生物技术有限公司之股权转让协议》，各方一致同意公司以人民币</w:t>
      </w:r>
      <w:r>
        <w:rPr>
          <w:rFonts w:ascii="宋体" w:cs="宋体" w:hAnsiTheme="minorHAnsi"/>
          <w:color w:val="000000"/>
          <w:kern w:val="0"/>
          <w:lang w:val="zh-CN"/>
        </w:rPr>
        <w:t>289,712,109.26</w:t>
      </w:r>
      <w:r>
        <w:rPr>
          <w:rFonts w:hint="eastAsia" w:ascii="宋体" w:cs="宋体" w:hAnsiTheme="minorHAnsi"/>
          <w:color w:val="000000"/>
          <w:kern w:val="0"/>
          <w:lang w:val="zh-CN"/>
        </w:rPr>
        <w:t>元收购美康基金持有标的公司杭州倚天剩余</w:t>
      </w:r>
      <w:r>
        <w:rPr>
          <w:rFonts w:ascii="宋体" w:cs="宋体" w:hAnsiTheme="minorHAnsi"/>
          <w:color w:val="000000"/>
          <w:kern w:val="0"/>
          <w:lang w:val="zh-CN"/>
        </w:rPr>
        <w:t>32.11%</w:t>
      </w:r>
      <w:r>
        <w:rPr>
          <w:rFonts w:hint="eastAsia" w:ascii="宋体" w:cs="宋体" w:hAnsiTheme="minorHAnsi"/>
          <w:color w:val="000000"/>
          <w:kern w:val="0"/>
          <w:lang w:val="zh-CN"/>
        </w:rPr>
        <w:t>股权。支付方式为承担美康基金应向杭州昆贺投资合伙企业（有限合伙）支付的剩余股权转让款</w:t>
      </w:r>
      <w:r>
        <w:rPr>
          <w:rFonts w:ascii="宋体" w:cs="宋体" w:hAnsiTheme="minorHAnsi"/>
          <w:color w:val="000000"/>
          <w:kern w:val="0"/>
          <w:lang w:val="zh-CN"/>
        </w:rPr>
        <w:t>59,559,150.04</w:t>
      </w:r>
      <w:r>
        <w:rPr>
          <w:rFonts w:hint="eastAsia" w:ascii="宋体" w:cs="宋体" w:hAnsiTheme="minorHAnsi"/>
          <w:color w:val="000000"/>
          <w:kern w:val="0"/>
          <w:lang w:val="zh-CN"/>
        </w:rPr>
        <w:t>元，抵减前述退伙需要收取的</w:t>
      </w:r>
      <w:r>
        <w:rPr>
          <w:rFonts w:ascii="宋体" w:cs="宋体" w:hAnsiTheme="minorHAnsi"/>
          <w:color w:val="000000"/>
          <w:kern w:val="0"/>
          <w:lang w:val="zh-CN"/>
        </w:rPr>
        <w:t>7,716,773.52</w:t>
      </w:r>
      <w:r>
        <w:rPr>
          <w:rFonts w:hint="eastAsia" w:ascii="宋体" w:cs="宋体" w:hAnsiTheme="minorHAnsi"/>
          <w:color w:val="000000"/>
          <w:kern w:val="0"/>
          <w:lang w:val="zh-CN"/>
        </w:rPr>
        <w:t>元，公司需要支付现金</w:t>
      </w:r>
      <w:r>
        <w:rPr>
          <w:rFonts w:ascii="宋体" w:cs="宋体" w:hAnsiTheme="minorHAnsi"/>
          <w:color w:val="000000"/>
          <w:kern w:val="0"/>
          <w:lang w:val="zh-CN"/>
        </w:rPr>
        <w:t>222,436,185.70</w:t>
      </w:r>
      <w:r>
        <w:rPr>
          <w:rFonts w:hint="eastAsia" w:ascii="宋体" w:cs="宋体" w:hAnsiTheme="minorHAnsi"/>
          <w:color w:val="000000"/>
          <w:kern w:val="0"/>
          <w:lang w:val="zh-CN"/>
        </w:rPr>
        <w:t>元（计算公式为：应支付款项</w:t>
      </w:r>
      <w:r>
        <w:rPr>
          <w:rFonts w:ascii="宋体" w:cs="宋体" w:hAnsiTheme="minorHAnsi"/>
          <w:color w:val="000000"/>
          <w:kern w:val="0"/>
          <w:lang w:val="zh-CN"/>
        </w:rPr>
        <w:t>=</w:t>
      </w:r>
      <w:r>
        <w:rPr>
          <w:rFonts w:hint="eastAsia" w:ascii="宋体" w:cs="宋体" w:hAnsiTheme="minorHAnsi"/>
          <w:color w:val="000000"/>
          <w:kern w:val="0"/>
          <w:lang w:val="zh-CN"/>
        </w:rPr>
        <w:t>转让价款</w:t>
      </w:r>
      <w:r>
        <w:rPr>
          <w:rFonts w:ascii="宋体" w:cs="宋体" w:hAnsiTheme="minorHAnsi"/>
          <w:color w:val="000000"/>
          <w:kern w:val="0"/>
          <w:lang w:val="zh-CN"/>
        </w:rPr>
        <w:t>289,712,109.26</w:t>
      </w:r>
      <w:r>
        <w:rPr>
          <w:rFonts w:hint="eastAsia" w:ascii="宋体" w:cs="宋体" w:hAnsiTheme="minorHAnsi"/>
          <w:color w:val="000000"/>
          <w:kern w:val="0"/>
          <w:lang w:val="zh-CN"/>
        </w:rPr>
        <w:t>元</w:t>
      </w:r>
      <w:r>
        <w:rPr>
          <w:rFonts w:ascii="宋体" w:cs="宋体" w:hAnsiTheme="minorHAnsi"/>
          <w:color w:val="000000"/>
          <w:kern w:val="0"/>
          <w:lang w:val="zh-CN"/>
        </w:rPr>
        <w:t>-</w:t>
      </w:r>
      <w:r>
        <w:rPr>
          <w:rFonts w:hint="eastAsia" w:ascii="宋体" w:cs="宋体" w:hAnsiTheme="minorHAnsi"/>
          <w:color w:val="000000"/>
          <w:kern w:val="0"/>
          <w:lang w:val="zh-CN"/>
        </w:rPr>
        <w:t>承接的付款义务</w:t>
      </w:r>
      <w:r>
        <w:rPr>
          <w:rFonts w:ascii="宋体" w:cs="宋体" w:hAnsiTheme="minorHAnsi"/>
          <w:color w:val="000000"/>
          <w:kern w:val="0"/>
          <w:lang w:val="zh-CN"/>
        </w:rPr>
        <w:t>59,559,150.04</w:t>
      </w:r>
      <w:r>
        <w:rPr>
          <w:rFonts w:hint="eastAsia" w:ascii="宋体" w:cs="宋体" w:hAnsiTheme="minorHAnsi"/>
          <w:color w:val="000000"/>
          <w:kern w:val="0"/>
          <w:lang w:val="zh-CN"/>
        </w:rPr>
        <w:t>元</w:t>
      </w:r>
      <w:r>
        <w:rPr>
          <w:rFonts w:ascii="宋体" w:cs="宋体" w:hAnsiTheme="minorHAnsi"/>
          <w:color w:val="000000"/>
          <w:kern w:val="0"/>
          <w:lang w:val="zh-CN"/>
        </w:rPr>
        <w:t>-</w:t>
      </w:r>
      <w:r>
        <w:rPr>
          <w:rFonts w:hint="eastAsia" w:ascii="宋体" w:cs="宋体" w:hAnsiTheme="minorHAnsi"/>
          <w:color w:val="000000"/>
          <w:kern w:val="0"/>
          <w:lang w:val="zh-CN"/>
        </w:rPr>
        <w:t>退伙结算后应收款项</w:t>
      </w:r>
      <w:r>
        <w:rPr>
          <w:rFonts w:ascii="宋体" w:cs="宋体" w:hAnsiTheme="minorHAnsi"/>
          <w:color w:val="000000"/>
          <w:kern w:val="0"/>
          <w:lang w:val="zh-CN"/>
        </w:rPr>
        <w:t>7,716,773.52</w:t>
      </w:r>
      <w:r>
        <w:rPr>
          <w:rFonts w:hint="eastAsia" w:ascii="宋体" w:cs="宋体" w:hAnsiTheme="minorHAnsi"/>
          <w:color w:val="000000"/>
          <w:kern w:val="0"/>
          <w:lang w:val="zh-CN"/>
        </w:rPr>
        <w:t>元</w:t>
      </w:r>
      <w:r>
        <w:rPr>
          <w:rFonts w:ascii="宋体" w:cs="宋体" w:hAnsiTheme="minorHAnsi"/>
          <w:color w:val="000000"/>
          <w:kern w:val="0"/>
          <w:lang w:val="zh-CN"/>
        </w:rPr>
        <w:t>=222,436,185.70</w:t>
      </w:r>
      <w:r>
        <w:rPr>
          <w:rFonts w:hint="eastAsia" w:ascii="宋体" w:cs="宋体" w:hAnsiTheme="minorHAnsi"/>
          <w:color w:val="000000"/>
          <w:kern w:val="0"/>
          <w:lang w:val="zh-CN"/>
        </w:rPr>
        <w:t>元）。本次退伙及股权转让完成后，公司不再持有美康基金的股份；并且由原来直接持有标的公司杭州倚天</w:t>
      </w:r>
      <w:r>
        <w:rPr>
          <w:rFonts w:ascii="宋体" w:cs="宋体" w:hAnsiTheme="minorHAnsi"/>
          <w:color w:val="000000"/>
          <w:kern w:val="0"/>
          <w:lang w:val="zh-CN"/>
        </w:rPr>
        <w:t>1%</w:t>
      </w:r>
      <w:r>
        <w:rPr>
          <w:rFonts w:hint="eastAsia" w:ascii="宋体" w:cs="宋体" w:hAnsiTheme="minorHAnsi"/>
          <w:color w:val="000000"/>
          <w:kern w:val="0"/>
          <w:lang w:val="zh-CN"/>
        </w:rPr>
        <w:t>的股权和间接持有杭州倚天</w:t>
      </w:r>
      <w:r>
        <w:rPr>
          <w:rFonts w:ascii="宋体" w:cs="宋体" w:hAnsiTheme="minorHAnsi"/>
          <w:color w:val="000000"/>
          <w:kern w:val="0"/>
          <w:lang w:val="zh-CN"/>
        </w:rPr>
        <w:t>66.88%</w:t>
      </w:r>
      <w:r>
        <w:rPr>
          <w:rFonts w:hint="eastAsia" w:ascii="宋体" w:cs="宋体" w:hAnsiTheme="minorHAnsi"/>
          <w:color w:val="000000"/>
          <w:kern w:val="0"/>
          <w:lang w:val="zh-CN"/>
        </w:rPr>
        <w:t>的股权变更为直接持有标的公司杭州倚天</w:t>
      </w:r>
      <w:r>
        <w:rPr>
          <w:rFonts w:ascii="宋体" w:cs="宋体" w:hAnsiTheme="minorHAnsi"/>
          <w:color w:val="000000"/>
          <w:kern w:val="0"/>
          <w:lang w:val="zh-CN"/>
        </w:rPr>
        <w:t>100%</w:t>
      </w:r>
      <w:r>
        <w:rPr>
          <w:rFonts w:hint="eastAsia" w:ascii="宋体" w:cs="宋体" w:hAnsiTheme="minorHAnsi"/>
          <w:color w:val="000000"/>
          <w:kern w:val="0"/>
          <w:lang w:val="zh-CN"/>
        </w:rPr>
        <w:t>的股权。上述退伙及购买杭州倚天剩余股权事项，公司需要支付美康基金股权转让款</w:t>
      </w:r>
      <w:r>
        <w:rPr>
          <w:rFonts w:ascii="宋体" w:cs="宋体" w:hAnsiTheme="minorHAnsi"/>
          <w:color w:val="000000"/>
          <w:kern w:val="0"/>
          <w:lang w:val="zh-CN"/>
        </w:rPr>
        <w:t>222,436,185.70</w:t>
      </w:r>
      <w:r>
        <w:rPr>
          <w:rFonts w:hint="eastAsia" w:ascii="宋体" w:cs="宋体" w:hAnsiTheme="minorHAnsi"/>
          <w:color w:val="000000"/>
          <w:kern w:val="0"/>
          <w:lang w:val="zh-CN"/>
        </w:rPr>
        <w:t>元，截止</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6</w:t>
      </w:r>
      <w:r>
        <w:rPr>
          <w:rFonts w:hint="eastAsia" w:ascii="宋体" w:cs="宋体" w:hAnsiTheme="minorHAnsi"/>
          <w:color w:val="000000"/>
          <w:kern w:val="0"/>
          <w:lang w:val="zh-CN"/>
        </w:rPr>
        <w:t>月</w:t>
      </w:r>
      <w:r>
        <w:rPr>
          <w:rFonts w:ascii="宋体" w:cs="宋体" w:hAnsiTheme="minorHAnsi"/>
          <w:color w:val="000000"/>
          <w:kern w:val="0"/>
          <w:lang w:val="zh-CN"/>
        </w:rPr>
        <w:t>30</w:t>
      </w:r>
      <w:r>
        <w:rPr>
          <w:rFonts w:hint="eastAsia" w:ascii="宋体" w:cs="宋体" w:hAnsiTheme="minorHAnsi"/>
          <w:color w:val="000000"/>
          <w:kern w:val="0"/>
          <w:lang w:val="zh-CN"/>
        </w:rPr>
        <w:t>日，公司已全部支付。</w:t>
      </w:r>
    </w:p>
    <w:p>
      <w:pPr>
        <w:autoSpaceDE w:val="0"/>
        <w:autoSpaceDN w:val="0"/>
        <w:adjustRightInd w:val="0"/>
        <w:spacing w:before="0" w:after="0"/>
        <w:ind w:firstLine="420"/>
        <w:jc w:val="left"/>
        <w:rPr>
          <w:rFonts w:ascii="宋体" w:cs="宋体" w:hAnsiTheme="minorHAnsi"/>
          <w:color w:val="000000"/>
          <w:kern w:val="0"/>
        </w:rPr>
      </w:pPr>
      <w:r>
        <w:rPr>
          <w:rFonts w:hint="eastAsia" w:ascii="宋体" w:cs="宋体" w:hAnsiTheme="minorHAnsi"/>
          <w:color w:val="000000"/>
          <w:kern w:val="0"/>
          <w:lang w:val="zh-CN"/>
        </w:rPr>
        <w:t>以上事项已经公司第三届董事会第十四次会议和</w:t>
      </w:r>
      <w:r>
        <w:rPr>
          <w:rFonts w:ascii="宋体" w:cs="宋体" w:hAnsiTheme="minorHAnsi"/>
          <w:color w:val="000000"/>
          <w:kern w:val="0"/>
          <w:lang w:val="zh-CN"/>
        </w:rPr>
        <w:t>2019</w:t>
      </w:r>
      <w:r>
        <w:rPr>
          <w:rFonts w:hint="eastAsia" w:ascii="宋体" w:cs="宋体" w:hAnsiTheme="minorHAnsi"/>
          <w:color w:val="000000"/>
          <w:kern w:val="0"/>
          <w:lang w:val="zh-CN"/>
        </w:rPr>
        <w:t>年第一次临时股东大会审议通过，并于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3</w:t>
      </w:r>
      <w:r>
        <w:rPr>
          <w:rFonts w:hint="eastAsia" w:ascii="宋体" w:cs="宋体" w:hAnsiTheme="minorHAnsi"/>
          <w:color w:val="000000"/>
          <w:kern w:val="0"/>
          <w:lang w:val="zh-CN"/>
        </w:rPr>
        <w:t>月</w:t>
      </w:r>
      <w:r>
        <w:rPr>
          <w:rFonts w:ascii="宋体" w:cs="宋体" w:hAnsiTheme="minorHAnsi"/>
          <w:color w:val="000000"/>
          <w:kern w:val="0"/>
          <w:lang w:val="zh-CN"/>
        </w:rPr>
        <w:t>22</w:t>
      </w:r>
      <w:r>
        <w:rPr>
          <w:rFonts w:hint="eastAsia" w:ascii="宋体" w:cs="宋体" w:hAnsiTheme="minorHAnsi"/>
          <w:color w:val="000000"/>
          <w:kern w:val="0"/>
          <w:lang w:val="zh-CN"/>
        </w:rPr>
        <w:t>日办妥从宁波美康股权投资基金合伙企业</w:t>
      </w:r>
      <w:r>
        <w:rPr>
          <w:rFonts w:ascii="宋体" w:cs="宋体" w:hAnsiTheme="minorHAnsi"/>
          <w:color w:val="000000"/>
          <w:kern w:val="0"/>
          <w:lang w:val="zh-CN"/>
        </w:rPr>
        <w:t>(</w:t>
      </w:r>
      <w:r>
        <w:rPr>
          <w:rFonts w:hint="eastAsia" w:ascii="宋体" w:cs="宋体" w:hAnsiTheme="minorHAnsi"/>
          <w:color w:val="000000"/>
          <w:kern w:val="0"/>
          <w:lang w:val="zh-CN"/>
        </w:rPr>
        <w:t>有限合伙</w:t>
      </w:r>
      <w:r>
        <w:rPr>
          <w:rFonts w:ascii="宋体" w:cs="宋体" w:hAnsiTheme="minorHAnsi"/>
          <w:color w:val="000000"/>
          <w:kern w:val="0"/>
          <w:lang w:val="zh-CN"/>
        </w:rPr>
        <w:t>)</w:t>
      </w:r>
      <w:r>
        <w:rPr>
          <w:rFonts w:hint="eastAsia" w:ascii="宋体" w:cs="宋体" w:hAnsiTheme="minorHAnsi"/>
          <w:color w:val="000000"/>
          <w:kern w:val="0"/>
          <w:lang w:val="zh-CN"/>
        </w:rPr>
        <w:t>退伙的工商变更事项；于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4</w:t>
      </w:r>
      <w:r>
        <w:rPr>
          <w:rFonts w:hint="eastAsia" w:ascii="宋体" w:cs="宋体" w:hAnsiTheme="minorHAnsi"/>
          <w:color w:val="000000"/>
          <w:kern w:val="0"/>
          <w:lang w:val="zh-CN"/>
        </w:rPr>
        <w:t>月</w:t>
      </w:r>
      <w:r>
        <w:rPr>
          <w:rFonts w:ascii="宋体" w:cs="宋体" w:hAnsiTheme="minorHAnsi"/>
          <w:color w:val="000000"/>
          <w:kern w:val="0"/>
          <w:lang w:val="zh-CN"/>
        </w:rPr>
        <w:t>11</w:t>
      </w:r>
      <w:r>
        <w:rPr>
          <w:rFonts w:hint="eastAsia" w:ascii="宋体" w:cs="宋体" w:hAnsiTheme="minorHAnsi"/>
          <w:color w:val="000000"/>
          <w:kern w:val="0"/>
          <w:lang w:val="zh-CN"/>
        </w:rPr>
        <w:t>日办妥杭州倚天股权变更的工商事项。</w:t>
      </w:r>
    </w:p>
    <w:p>
      <w:pPr>
        <w:autoSpaceDE w:val="0"/>
        <w:autoSpaceDN w:val="0"/>
        <w:adjustRightInd w:val="0"/>
        <w:spacing w:before="0" w:after="0"/>
        <w:jc w:val="left"/>
        <w:rPr>
          <w:rFonts w:ascii="宋体" w:cs="宋体" w:hAnsiTheme="minorHAnsi"/>
          <w:color w:val="000000"/>
          <w:kern w:val="0"/>
        </w:rPr>
      </w:pPr>
      <w:r>
        <w:rPr>
          <w:rFonts w:hint="eastAsia" w:ascii="宋体" w:cs="宋体" w:hAnsiTheme="minorHAnsi"/>
          <w:color w:val="000000"/>
          <w:kern w:val="0"/>
          <w:lang w:val="zh-CN"/>
        </w:rPr>
        <w:t>（</w:t>
      </w:r>
      <w:r>
        <w:rPr>
          <w:rFonts w:ascii="宋体" w:cs="宋体" w:hAnsiTheme="minorHAnsi"/>
          <w:color w:val="000000"/>
          <w:kern w:val="0"/>
          <w:lang w:val="zh-CN"/>
        </w:rPr>
        <w:t>5</w:t>
      </w:r>
      <w:r>
        <w:rPr>
          <w:rFonts w:hint="eastAsia" w:ascii="宋体" w:cs="宋体" w:hAnsiTheme="minorHAnsi"/>
          <w:color w:val="000000"/>
          <w:kern w:val="0"/>
          <w:lang w:val="zh-CN"/>
        </w:rPr>
        <w:t>）金华市美康盛德医学检验所有限公司股权转让事项：</w:t>
      </w:r>
    </w:p>
    <w:p>
      <w:pPr>
        <w:autoSpaceDE w:val="0"/>
        <w:autoSpaceDN w:val="0"/>
        <w:adjustRightInd w:val="0"/>
        <w:spacing w:before="0" w:after="0"/>
        <w:ind w:firstLine="420"/>
        <w:jc w:val="left"/>
        <w:rPr>
          <w:rFonts w:ascii="宋体" w:cs="宋体" w:hAnsiTheme="minorHAnsi"/>
          <w:color w:val="000000"/>
          <w:kern w:val="0"/>
        </w:rPr>
      </w:pP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6</w:t>
      </w:r>
      <w:r>
        <w:rPr>
          <w:rFonts w:hint="eastAsia" w:ascii="宋体" w:cs="宋体" w:hAnsiTheme="minorHAnsi"/>
          <w:color w:val="000000"/>
          <w:kern w:val="0"/>
          <w:lang w:val="zh-CN"/>
        </w:rPr>
        <w:t>月</w:t>
      </w:r>
      <w:r>
        <w:rPr>
          <w:rFonts w:ascii="宋体" w:cs="宋体" w:hAnsiTheme="minorHAnsi"/>
          <w:color w:val="000000"/>
          <w:kern w:val="0"/>
          <w:lang w:val="zh-CN"/>
        </w:rPr>
        <w:t>21</w:t>
      </w:r>
      <w:r>
        <w:rPr>
          <w:rFonts w:hint="eastAsia" w:ascii="宋体" w:cs="宋体" w:hAnsiTheme="minorHAnsi"/>
          <w:color w:val="000000"/>
          <w:kern w:val="0"/>
          <w:lang w:val="zh-CN"/>
        </w:rPr>
        <w:t>日，公司与乙方（李丰、江怀昆、杭州普安基因工程有限公司）、丙方（宁波华艺投资股份有限公司）共同签署了股权转让协议及《关于终止履行</w:t>
      </w:r>
      <w:r>
        <w:rPr>
          <w:rFonts w:ascii="宋体" w:cs="宋体" w:hAnsiTheme="minorHAnsi"/>
          <w:color w:val="000000"/>
          <w:kern w:val="0"/>
          <w:lang w:val="zh-CN"/>
        </w:rPr>
        <w:t>&lt;</w:t>
      </w:r>
      <w:r>
        <w:rPr>
          <w:rFonts w:hint="eastAsia" w:ascii="宋体" w:cs="宋体" w:hAnsiTheme="minorHAnsi"/>
          <w:color w:val="000000"/>
          <w:kern w:val="0"/>
          <w:lang w:val="zh-CN"/>
        </w:rPr>
        <w:t>投资框架意向书</w:t>
      </w:r>
      <w:r>
        <w:rPr>
          <w:rFonts w:ascii="宋体" w:cs="宋体" w:hAnsiTheme="minorHAnsi"/>
          <w:color w:val="000000"/>
          <w:kern w:val="0"/>
          <w:lang w:val="zh-CN"/>
        </w:rPr>
        <w:t>&gt;</w:t>
      </w:r>
      <w:r>
        <w:rPr>
          <w:rFonts w:hint="eastAsia" w:ascii="宋体" w:cs="宋体" w:hAnsiTheme="minorHAnsi"/>
          <w:color w:val="000000"/>
          <w:kern w:val="0"/>
          <w:lang w:val="zh-CN"/>
        </w:rPr>
        <w:t>之协议》，各方一致同意公司将所持有的金华医检所</w:t>
      </w:r>
      <w:r>
        <w:rPr>
          <w:rFonts w:ascii="宋体" w:cs="宋体" w:hAnsiTheme="minorHAnsi"/>
          <w:color w:val="000000"/>
          <w:kern w:val="0"/>
          <w:lang w:val="zh-CN"/>
        </w:rPr>
        <w:t>41.10%</w:t>
      </w:r>
      <w:r>
        <w:rPr>
          <w:rFonts w:hint="eastAsia" w:ascii="宋体" w:cs="宋体" w:hAnsiTheme="minorHAnsi"/>
          <w:color w:val="000000"/>
          <w:kern w:val="0"/>
          <w:lang w:val="zh-CN"/>
        </w:rPr>
        <w:t>的股权作价人民币</w:t>
      </w:r>
      <w:r>
        <w:rPr>
          <w:rFonts w:ascii="宋体" w:cs="宋体" w:hAnsiTheme="minorHAnsi"/>
          <w:color w:val="000000"/>
          <w:kern w:val="0"/>
          <w:lang w:val="zh-CN"/>
        </w:rPr>
        <w:t>24.66</w:t>
      </w:r>
      <w:r>
        <w:rPr>
          <w:rFonts w:hint="eastAsia" w:ascii="宋体" w:cs="宋体" w:hAnsiTheme="minorHAnsi"/>
          <w:color w:val="000000"/>
          <w:kern w:val="0"/>
          <w:lang w:val="zh-CN"/>
        </w:rPr>
        <w:t>万元转让给李丰；将所持有的金华医检所</w:t>
      </w:r>
      <w:r>
        <w:rPr>
          <w:rFonts w:ascii="宋体" w:cs="宋体" w:hAnsiTheme="minorHAnsi"/>
          <w:color w:val="000000"/>
          <w:kern w:val="0"/>
          <w:lang w:val="zh-CN"/>
        </w:rPr>
        <w:t>6%</w:t>
      </w:r>
      <w:r>
        <w:rPr>
          <w:rFonts w:hint="eastAsia" w:ascii="宋体" w:cs="宋体" w:hAnsiTheme="minorHAnsi"/>
          <w:color w:val="000000"/>
          <w:kern w:val="0"/>
          <w:lang w:val="zh-CN"/>
        </w:rPr>
        <w:t>的股权作价人民币</w:t>
      </w:r>
      <w:r>
        <w:rPr>
          <w:rFonts w:ascii="宋体" w:cs="宋体" w:hAnsiTheme="minorHAnsi"/>
          <w:color w:val="000000"/>
          <w:kern w:val="0"/>
          <w:lang w:val="zh-CN"/>
        </w:rPr>
        <w:t>3.60</w:t>
      </w:r>
      <w:r>
        <w:rPr>
          <w:rFonts w:hint="eastAsia" w:ascii="宋体" w:cs="宋体" w:hAnsiTheme="minorHAnsi"/>
          <w:color w:val="000000"/>
          <w:kern w:val="0"/>
          <w:lang w:val="zh-CN"/>
        </w:rPr>
        <w:t>万元转让给江怀昆；将所持有的金华医检所</w:t>
      </w:r>
      <w:r>
        <w:rPr>
          <w:rFonts w:ascii="宋体" w:cs="宋体" w:hAnsiTheme="minorHAnsi"/>
          <w:color w:val="000000"/>
          <w:kern w:val="0"/>
          <w:lang w:val="zh-CN"/>
        </w:rPr>
        <w:t>2.90%</w:t>
      </w:r>
      <w:r>
        <w:rPr>
          <w:rFonts w:hint="eastAsia" w:ascii="宋体" w:cs="宋体" w:hAnsiTheme="minorHAnsi"/>
          <w:color w:val="000000"/>
          <w:kern w:val="0"/>
          <w:lang w:val="zh-CN"/>
        </w:rPr>
        <w:t>的股权作价人民币</w:t>
      </w:r>
      <w:r>
        <w:rPr>
          <w:rFonts w:ascii="宋体" w:cs="宋体" w:hAnsiTheme="minorHAnsi"/>
          <w:color w:val="000000"/>
          <w:kern w:val="0"/>
          <w:lang w:val="zh-CN"/>
        </w:rPr>
        <w:t>1.74</w:t>
      </w:r>
      <w:r>
        <w:rPr>
          <w:rFonts w:hint="eastAsia" w:ascii="宋体" w:cs="宋体" w:hAnsiTheme="minorHAnsi"/>
          <w:color w:val="000000"/>
          <w:kern w:val="0"/>
          <w:lang w:val="zh-CN"/>
        </w:rPr>
        <w:t>万元转让给杭州普安基因工程有限公司。上述股权转让款价格合计</w:t>
      </w:r>
      <w:r>
        <w:rPr>
          <w:rFonts w:ascii="宋体" w:cs="宋体" w:hAnsiTheme="minorHAnsi"/>
          <w:color w:val="000000"/>
          <w:kern w:val="0"/>
          <w:lang w:val="zh-CN"/>
        </w:rPr>
        <w:t>30.00</w:t>
      </w:r>
      <w:r>
        <w:rPr>
          <w:rFonts w:hint="eastAsia" w:ascii="宋体" w:cs="宋体" w:hAnsiTheme="minorHAnsi"/>
          <w:color w:val="000000"/>
          <w:kern w:val="0"/>
          <w:lang w:val="zh-CN"/>
        </w:rPr>
        <w:t>万元，股权转让完成后，公司仅将持有金华医检所</w:t>
      </w:r>
      <w:r>
        <w:rPr>
          <w:rFonts w:ascii="宋体" w:cs="宋体" w:hAnsiTheme="minorHAnsi"/>
          <w:color w:val="000000"/>
          <w:kern w:val="0"/>
          <w:lang w:val="zh-CN"/>
        </w:rPr>
        <w:t>1.00%</w:t>
      </w:r>
      <w:r>
        <w:rPr>
          <w:rFonts w:hint="eastAsia" w:ascii="宋体" w:cs="宋体" w:hAnsiTheme="minorHAnsi"/>
          <w:color w:val="000000"/>
          <w:kern w:val="0"/>
          <w:lang w:val="zh-CN"/>
        </w:rPr>
        <w:t>的股权。截止</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12</w:t>
      </w:r>
      <w:r>
        <w:rPr>
          <w:rFonts w:hint="eastAsia" w:ascii="宋体" w:cs="宋体" w:hAnsiTheme="minorHAnsi"/>
          <w:color w:val="000000"/>
          <w:kern w:val="0"/>
          <w:lang w:val="zh-CN"/>
        </w:rPr>
        <w:t>月</w:t>
      </w:r>
      <w:r>
        <w:rPr>
          <w:rFonts w:ascii="宋体" w:cs="宋体" w:hAnsiTheme="minorHAnsi"/>
          <w:color w:val="000000"/>
          <w:kern w:val="0"/>
          <w:lang w:val="zh-CN"/>
        </w:rPr>
        <w:t>31</w:t>
      </w:r>
      <w:r>
        <w:rPr>
          <w:rFonts w:hint="eastAsia" w:ascii="宋体" w:cs="宋体" w:hAnsiTheme="minorHAnsi"/>
          <w:color w:val="000000"/>
          <w:kern w:val="0"/>
          <w:lang w:val="zh-CN"/>
        </w:rPr>
        <w:t>日，公司已收到李丰、江怀昆和杭州普安基因工程有限公司支付的股权转让款共计</w:t>
      </w:r>
      <w:r>
        <w:rPr>
          <w:rFonts w:ascii="宋体" w:cs="宋体" w:hAnsiTheme="minorHAnsi"/>
          <w:color w:val="000000"/>
          <w:kern w:val="0"/>
          <w:lang w:val="zh-CN"/>
        </w:rPr>
        <w:t>30.00</w:t>
      </w:r>
      <w:r>
        <w:rPr>
          <w:rFonts w:hint="eastAsia" w:ascii="宋体" w:cs="宋体" w:hAnsiTheme="minorHAnsi"/>
          <w:color w:val="000000"/>
          <w:kern w:val="0"/>
          <w:lang w:val="zh-CN"/>
        </w:rPr>
        <w:t>万元，上述股权转让事项已于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7</w:t>
      </w:r>
      <w:r>
        <w:rPr>
          <w:rFonts w:hint="eastAsia" w:ascii="宋体" w:cs="宋体" w:hAnsiTheme="minorHAnsi"/>
          <w:color w:val="000000"/>
          <w:kern w:val="0"/>
          <w:lang w:val="zh-CN"/>
        </w:rPr>
        <w:t>月</w:t>
      </w:r>
      <w:r>
        <w:rPr>
          <w:rFonts w:ascii="宋体" w:cs="宋体" w:hAnsiTheme="minorHAnsi"/>
          <w:color w:val="000000"/>
          <w:kern w:val="0"/>
          <w:lang w:val="zh-CN"/>
        </w:rPr>
        <w:t>25</w:t>
      </w:r>
      <w:r>
        <w:rPr>
          <w:rFonts w:hint="eastAsia" w:ascii="宋体" w:cs="宋体" w:hAnsiTheme="minorHAnsi"/>
          <w:color w:val="000000"/>
          <w:kern w:val="0"/>
          <w:lang w:val="zh-CN"/>
        </w:rPr>
        <w:t>日办妥工商变更手续。</w:t>
      </w:r>
    </w:p>
    <w:p>
      <w:pPr>
        <w:autoSpaceDE w:val="0"/>
        <w:autoSpaceDN w:val="0"/>
        <w:adjustRightInd w:val="0"/>
        <w:spacing w:before="0" w:after="0"/>
        <w:jc w:val="left"/>
        <w:rPr>
          <w:rFonts w:ascii="宋体" w:cs="宋体" w:hAnsiTheme="minorHAnsi"/>
          <w:color w:val="000000"/>
          <w:kern w:val="0"/>
        </w:rPr>
      </w:pPr>
      <w:r>
        <w:rPr>
          <w:rFonts w:hint="eastAsia" w:ascii="宋体" w:cs="宋体" w:hAnsiTheme="minorHAnsi"/>
          <w:color w:val="000000"/>
          <w:kern w:val="0"/>
          <w:lang w:val="zh-CN"/>
        </w:rPr>
        <w:t>（</w:t>
      </w:r>
      <w:r>
        <w:rPr>
          <w:rFonts w:ascii="宋体" w:cs="宋体" w:hAnsiTheme="minorHAnsi"/>
          <w:color w:val="000000"/>
          <w:kern w:val="0"/>
          <w:lang w:val="zh-CN"/>
        </w:rPr>
        <w:t>6</w:t>
      </w:r>
      <w:r>
        <w:rPr>
          <w:rFonts w:hint="eastAsia" w:ascii="宋体" w:cs="宋体" w:hAnsiTheme="minorHAnsi"/>
          <w:color w:val="000000"/>
          <w:kern w:val="0"/>
          <w:lang w:val="zh-CN"/>
        </w:rPr>
        <w:t>）重庆和盛医疗器械有限公司股权转让事项：</w:t>
      </w:r>
    </w:p>
    <w:p>
      <w:pPr>
        <w:autoSpaceDE w:val="0"/>
        <w:autoSpaceDN w:val="0"/>
        <w:adjustRightInd w:val="0"/>
        <w:spacing w:before="0" w:after="0"/>
        <w:ind w:firstLine="420"/>
        <w:jc w:val="left"/>
        <w:rPr>
          <w:rFonts w:ascii="宋体" w:cs="宋体" w:hAnsiTheme="minorHAnsi"/>
          <w:color w:val="000000"/>
          <w:kern w:val="0"/>
        </w:rPr>
      </w:pP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9</w:t>
      </w:r>
      <w:r>
        <w:rPr>
          <w:rFonts w:hint="eastAsia" w:ascii="宋体" w:cs="宋体" w:hAnsiTheme="minorHAnsi"/>
          <w:color w:val="000000"/>
          <w:kern w:val="0"/>
          <w:lang w:val="zh-CN"/>
        </w:rPr>
        <w:t>月</w:t>
      </w:r>
      <w:r>
        <w:rPr>
          <w:rFonts w:ascii="宋体" w:cs="宋体" w:hAnsiTheme="minorHAnsi"/>
          <w:color w:val="000000"/>
          <w:kern w:val="0"/>
          <w:lang w:val="zh-CN"/>
        </w:rPr>
        <w:t>10</w:t>
      </w:r>
      <w:r>
        <w:rPr>
          <w:rFonts w:hint="eastAsia" w:ascii="宋体" w:cs="宋体" w:hAnsiTheme="minorHAnsi"/>
          <w:color w:val="000000"/>
          <w:kern w:val="0"/>
          <w:lang w:val="zh-CN"/>
        </w:rPr>
        <w:t>日，公司与刘二岗、刘培岗签署了《股权转让协议》，公司将所持有的重庆和盛医疗器械有限公司</w:t>
      </w:r>
      <w:r>
        <w:rPr>
          <w:rFonts w:ascii="宋体" w:cs="宋体" w:hAnsiTheme="minorHAnsi"/>
          <w:color w:val="000000"/>
          <w:kern w:val="0"/>
          <w:lang w:val="zh-CN"/>
        </w:rPr>
        <w:t>21%</w:t>
      </w:r>
      <w:r>
        <w:rPr>
          <w:rFonts w:hint="eastAsia" w:ascii="宋体" w:cs="宋体" w:hAnsiTheme="minorHAnsi"/>
          <w:color w:val="000000"/>
          <w:kern w:val="0"/>
          <w:lang w:val="zh-CN"/>
        </w:rPr>
        <w:t>的股权作价人民币</w:t>
      </w:r>
      <w:r>
        <w:rPr>
          <w:rFonts w:ascii="宋体" w:cs="宋体" w:hAnsiTheme="minorHAnsi"/>
          <w:color w:val="000000"/>
          <w:kern w:val="0"/>
          <w:lang w:val="zh-CN"/>
        </w:rPr>
        <w:t>3,780.00</w:t>
      </w:r>
      <w:r>
        <w:rPr>
          <w:rFonts w:hint="eastAsia" w:ascii="宋体" w:cs="宋体" w:hAnsiTheme="minorHAnsi"/>
          <w:color w:val="000000"/>
          <w:kern w:val="0"/>
          <w:lang w:val="zh-CN"/>
        </w:rPr>
        <w:t>万元转让给刘培岗。股权转让完成后，公司将持有重庆和盛医疗器械有限公司</w:t>
      </w:r>
      <w:r>
        <w:rPr>
          <w:rFonts w:ascii="宋体" w:cs="宋体" w:hAnsiTheme="minorHAnsi"/>
          <w:color w:val="000000"/>
          <w:kern w:val="0"/>
          <w:lang w:val="zh-CN"/>
        </w:rPr>
        <w:t>30%</w:t>
      </w:r>
      <w:r>
        <w:rPr>
          <w:rFonts w:hint="eastAsia" w:ascii="宋体" w:cs="宋体" w:hAnsiTheme="minorHAnsi"/>
          <w:color w:val="000000"/>
          <w:kern w:val="0"/>
          <w:lang w:val="zh-CN"/>
        </w:rPr>
        <w:t>的股权，不再将其纳入合并范围，而是作为联营企业转为权益法核算。上述股权转让事项已于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9</w:t>
      </w:r>
      <w:r>
        <w:rPr>
          <w:rFonts w:hint="eastAsia" w:ascii="宋体" w:cs="宋体" w:hAnsiTheme="minorHAnsi"/>
          <w:color w:val="000000"/>
          <w:kern w:val="0"/>
          <w:lang w:val="zh-CN"/>
        </w:rPr>
        <w:t>月</w:t>
      </w:r>
      <w:r>
        <w:rPr>
          <w:rFonts w:ascii="宋体" w:cs="宋体" w:hAnsiTheme="minorHAnsi"/>
          <w:color w:val="000000"/>
          <w:kern w:val="0"/>
          <w:lang w:val="zh-CN"/>
        </w:rPr>
        <w:t>11</w:t>
      </w:r>
      <w:r>
        <w:rPr>
          <w:rFonts w:hint="eastAsia" w:ascii="宋体" w:cs="宋体" w:hAnsiTheme="minorHAnsi"/>
          <w:color w:val="000000"/>
          <w:kern w:val="0"/>
          <w:lang w:val="zh-CN"/>
        </w:rPr>
        <w:t>日办妥工商变更手续。</w:t>
      </w:r>
    </w:p>
    <w:p>
      <w:pPr>
        <w:autoSpaceDE w:val="0"/>
        <w:autoSpaceDN w:val="0"/>
        <w:adjustRightInd w:val="0"/>
        <w:spacing w:before="0" w:after="0"/>
        <w:ind w:firstLine="420"/>
        <w:jc w:val="left"/>
        <w:rPr>
          <w:rFonts w:ascii="宋体" w:cs="宋体" w:hAnsiTheme="minorHAnsi"/>
          <w:color w:val="000000"/>
          <w:kern w:val="0"/>
        </w:rPr>
      </w:pPr>
      <w:r>
        <w:rPr>
          <w:rFonts w:hint="eastAsia" w:ascii="宋体" w:cs="宋体" w:hAnsiTheme="minorHAnsi"/>
          <w:color w:val="000000"/>
          <w:kern w:val="0"/>
          <w:lang w:val="zh-CN"/>
        </w:rPr>
        <w:t>根据合同约定，公司应于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12</w:t>
      </w:r>
      <w:r>
        <w:rPr>
          <w:rFonts w:hint="eastAsia" w:ascii="宋体" w:cs="宋体" w:hAnsiTheme="minorHAnsi"/>
          <w:color w:val="000000"/>
          <w:kern w:val="0"/>
          <w:lang w:val="zh-CN"/>
        </w:rPr>
        <w:t>月</w:t>
      </w:r>
      <w:r>
        <w:rPr>
          <w:rFonts w:ascii="宋体" w:cs="宋体" w:hAnsiTheme="minorHAnsi"/>
          <w:color w:val="000000"/>
          <w:kern w:val="0"/>
          <w:lang w:val="zh-CN"/>
        </w:rPr>
        <w:t>31</w:t>
      </w:r>
      <w:r>
        <w:rPr>
          <w:rFonts w:hint="eastAsia" w:ascii="宋体" w:cs="宋体" w:hAnsiTheme="minorHAnsi"/>
          <w:color w:val="000000"/>
          <w:kern w:val="0"/>
          <w:lang w:val="zh-CN"/>
        </w:rPr>
        <w:t>日前收到股权转让款</w:t>
      </w:r>
      <w:r>
        <w:rPr>
          <w:rFonts w:ascii="宋体" w:cs="宋体" w:hAnsiTheme="minorHAnsi"/>
          <w:color w:val="000000"/>
          <w:kern w:val="0"/>
          <w:lang w:val="zh-CN"/>
        </w:rPr>
        <w:t>2,268.00</w:t>
      </w:r>
      <w:r>
        <w:rPr>
          <w:rFonts w:hint="eastAsia" w:ascii="宋体" w:cs="宋体" w:hAnsiTheme="minorHAnsi"/>
          <w:color w:val="000000"/>
          <w:kern w:val="0"/>
          <w:lang w:val="zh-CN"/>
        </w:rPr>
        <w:t>万元，剩余股权转让款</w:t>
      </w:r>
      <w:r>
        <w:rPr>
          <w:rFonts w:ascii="宋体" w:cs="宋体" w:hAnsiTheme="minorHAnsi"/>
          <w:color w:val="000000"/>
          <w:kern w:val="0"/>
          <w:lang w:val="zh-CN"/>
        </w:rPr>
        <w:t>1,512.00</w:t>
      </w:r>
      <w:r>
        <w:rPr>
          <w:rFonts w:hint="eastAsia" w:ascii="宋体" w:cs="宋体" w:hAnsiTheme="minorHAnsi"/>
          <w:color w:val="000000"/>
          <w:kern w:val="0"/>
          <w:lang w:val="zh-CN"/>
        </w:rPr>
        <w:t>应于工商变更完成之日起</w:t>
      </w:r>
      <w:r>
        <w:rPr>
          <w:rFonts w:ascii="宋体" w:cs="宋体" w:hAnsiTheme="minorHAnsi"/>
          <w:color w:val="000000"/>
          <w:kern w:val="0"/>
          <w:lang w:val="zh-CN"/>
        </w:rPr>
        <w:t>360</w:t>
      </w:r>
      <w:r>
        <w:rPr>
          <w:rFonts w:hint="eastAsia" w:ascii="宋体" w:cs="宋体" w:hAnsiTheme="minorHAnsi"/>
          <w:color w:val="000000"/>
          <w:kern w:val="0"/>
          <w:lang w:val="zh-CN"/>
        </w:rPr>
        <w:t>日内（即</w:t>
      </w:r>
      <w:r>
        <w:rPr>
          <w:rFonts w:ascii="宋体" w:cs="宋体" w:hAnsiTheme="minorHAnsi"/>
          <w:color w:val="000000"/>
          <w:kern w:val="0"/>
          <w:lang w:val="zh-CN"/>
        </w:rPr>
        <w:t>2020</w:t>
      </w:r>
      <w:r>
        <w:rPr>
          <w:rFonts w:hint="eastAsia" w:ascii="宋体" w:cs="宋体" w:hAnsiTheme="minorHAnsi"/>
          <w:color w:val="000000"/>
          <w:kern w:val="0"/>
          <w:lang w:val="zh-CN"/>
        </w:rPr>
        <w:t>年</w:t>
      </w:r>
      <w:r>
        <w:rPr>
          <w:rFonts w:ascii="宋体" w:cs="宋体" w:hAnsiTheme="minorHAnsi"/>
          <w:color w:val="000000"/>
          <w:kern w:val="0"/>
          <w:lang w:val="zh-CN"/>
        </w:rPr>
        <w:t>9</w:t>
      </w:r>
      <w:r>
        <w:rPr>
          <w:rFonts w:hint="eastAsia" w:ascii="宋体" w:cs="宋体" w:hAnsiTheme="minorHAnsi"/>
          <w:color w:val="000000"/>
          <w:kern w:val="0"/>
          <w:lang w:val="zh-CN"/>
        </w:rPr>
        <w:t>月）收到。截止</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12</w:t>
      </w:r>
      <w:r>
        <w:rPr>
          <w:rFonts w:hint="eastAsia" w:ascii="宋体" w:cs="宋体" w:hAnsiTheme="minorHAnsi"/>
          <w:color w:val="000000"/>
          <w:kern w:val="0"/>
          <w:lang w:val="zh-CN"/>
        </w:rPr>
        <w:t>月</w:t>
      </w:r>
      <w:r>
        <w:rPr>
          <w:rFonts w:ascii="宋体" w:cs="宋体" w:hAnsiTheme="minorHAnsi"/>
          <w:color w:val="000000"/>
          <w:kern w:val="0"/>
          <w:lang w:val="zh-CN"/>
        </w:rPr>
        <w:t>31</w:t>
      </w:r>
      <w:r>
        <w:rPr>
          <w:rFonts w:hint="eastAsia" w:ascii="宋体" w:cs="宋体" w:hAnsiTheme="minorHAnsi"/>
          <w:color w:val="000000"/>
          <w:kern w:val="0"/>
          <w:lang w:val="zh-CN"/>
        </w:rPr>
        <w:t>日，公司已收到刘培岗支付的股权转让款共计</w:t>
      </w:r>
      <w:r>
        <w:rPr>
          <w:rFonts w:ascii="宋体" w:cs="宋体" w:hAnsiTheme="minorHAnsi"/>
          <w:color w:val="000000"/>
          <w:kern w:val="0"/>
          <w:lang w:val="zh-CN"/>
        </w:rPr>
        <w:t>1,134</w:t>
      </w:r>
      <w:r>
        <w:rPr>
          <w:rFonts w:hint="eastAsia" w:ascii="宋体" w:cs="宋体" w:hAnsiTheme="minorHAnsi"/>
          <w:color w:val="000000"/>
          <w:kern w:val="0"/>
          <w:lang w:val="zh-CN"/>
        </w:rPr>
        <w:t>万元，剩余</w:t>
      </w:r>
      <w:r>
        <w:rPr>
          <w:rFonts w:ascii="宋体" w:cs="宋体" w:hAnsiTheme="minorHAnsi"/>
          <w:color w:val="000000"/>
          <w:kern w:val="0"/>
          <w:lang w:val="zh-CN"/>
        </w:rPr>
        <w:t>2,646.00</w:t>
      </w:r>
      <w:r>
        <w:rPr>
          <w:rFonts w:hint="eastAsia" w:ascii="宋体" w:cs="宋体" w:hAnsiTheme="minorHAnsi"/>
          <w:color w:val="000000"/>
          <w:kern w:val="0"/>
          <w:lang w:val="zh-CN"/>
        </w:rPr>
        <w:t>万元尚未收到，截止</w:t>
      </w:r>
      <w:r>
        <w:rPr>
          <w:rFonts w:ascii="宋体" w:cs="宋体" w:hAnsiTheme="minorHAnsi"/>
          <w:color w:val="000000"/>
          <w:kern w:val="0"/>
          <w:lang w:val="zh-CN"/>
        </w:rPr>
        <w:t>2020</w:t>
      </w:r>
      <w:r>
        <w:rPr>
          <w:rFonts w:hint="eastAsia" w:ascii="宋体" w:cs="宋体" w:hAnsiTheme="minorHAnsi"/>
          <w:color w:val="000000"/>
          <w:kern w:val="0"/>
          <w:lang w:val="zh-CN"/>
        </w:rPr>
        <w:t>年</w:t>
      </w:r>
      <w:r>
        <w:rPr>
          <w:rFonts w:ascii="宋体" w:cs="宋体" w:hAnsiTheme="minorHAnsi"/>
          <w:color w:val="000000"/>
          <w:kern w:val="0"/>
          <w:lang w:val="zh-CN"/>
        </w:rPr>
        <w:t>4</w:t>
      </w:r>
      <w:r>
        <w:rPr>
          <w:rFonts w:hint="eastAsia" w:ascii="宋体" w:cs="宋体" w:hAnsiTheme="minorHAnsi"/>
          <w:color w:val="000000"/>
          <w:kern w:val="0"/>
          <w:lang w:val="zh-CN"/>
        </w:rPr>
        <w:t>月</w:t>
      </w:r>
      <w:r>
        <w:rPr>
          <w:rFonts w:ascii="宋体" w:cs="宋体" w:hAnsiTheme="minorHAnsi"/>
          <w:color w:val="000000"/>
          <w:kern w:val="0"/>
          <w:lang w:val="zh-CN"/>
        </w:rPr>
        <w:t>28</w:t>
      </w:r>
      <w:r>
        <w:rPr>
          <w:rFonts w:hint="eastAsia" w:ascii="宋体" w:cs="宋体" w:hAnsiTheme="minorHAnsi"/>
          <w:color w:val="000000"/>
          <w:kern w:val="0"/>
          <w:lang w:val="zh-CN"/>
        </w:rPr>
        <w:t>日，公司已收到刘培岗支付的股权转让款共计</w:t>
      </w:r>
      <w:r>
        <w:rPr>
          <w:rFonts w:ascii="宋体" w:cs="宋体" w:hAnsiTheme="minorHAnsi"/>
          <w:color w:val="000000"/>
          <w:kern w:val="0"/>
          <w:lang w:val="zh-CN"/>
        </w:rPr>
        <w:t>2,268</w:t>
      </w:r>
      <w:r>
        <w:rPr>
          <w:rFonts w:hint="eastAsia" w:ascii="宋体" w:cs="宋体" w:hAnsiTheme="minorHAnsi"/>
          <w:color w:val="000000"/>
          <w:kern w:val="0"/>
          <w:lang w:val="zh-CN"/>
        </w:rPr>
        <w:t>万元，剩余</w:t>
      </w:r>
      <w:r>
        <w:rPr>
          <w:rFonts w:ascii="宋体" w:cs="宋体" w:hAnsiTheme="minorHAnsi"/>
          <w:color w:val="000000"/>
          <w:kern w:val="0"/>
          <w:lang w:val="zh-CN"/>
        </w:rPr>
        <w:t>1,512.00</w:t>
      </w:r>
      <w:r>
        <w:rPr>
          <w:rFonts w:hint="eastAsia" w:ascii="宋体" w:cs="宋体" w:hAnsiTheme="minorHAnsi"/>
          <w:color w:val="000000"/>
          <w:kern w:val="0"/>
          <w:lang w:val="zh-CN"/>
        </w:rPr>
        <w:t>万元股权转让款尚未收到。</w:t>
      </w:r>
    </w:p>
    <w:p>
      <w:pPr>
        <w:autoSpaceDE w:val="0"/>
        <w:autoSpaceDN w:val="0"/>
        <w:adjustRightInd w:val="0"/>
        <w:spacing w:before="0" w:after="0"/>
        <w:jc w:val="left"/>
        <w:rPr>
          <w:rFonts w:ascii="宋体" w:cs="宋体" w:hAnsiTheme="minorHAnsi"/>
          <w:color w:val="000000"/>
          <w:kern w:val="0"/>
        </w:rPr>
      </w:pPr>
      <w:r>
        <w:rPr>
          <w:rFonts w:hint="eastAsia" w:ascii="宋体" w:cs="宋体" w:hAnsiTheme="minorHAnsi"/>
          <w:color w:val="000000"/>
          <w:kern w:val="0"/>
          <w:lang w:val="zh-CN"/>
        </w:rPr>
        <w:t>（</w:t>
      </w:r>
      <w:r>
        <w:rPr>
          <w:rFonts w:ascii="宋体" w:cs="宋体" w:hAnsiTheme="minorHAnsi"/>
          <w:color w:val="000000"/>
          <w:kern w:val="0"/>
          <w:lang w:val="zh-CN"/>
        </w:rPr>
        <w:t>7</w:t>
      </w:r>
      <w:r>
        <w:rPr>
          <w:rFonts w:hint="eastAsia" w:ascii="宋体" w:cs="宋体" w:hAnsiTheme="minorHAnsi"/>
          <w:color w:val="000000"/>
          <w:kern w:val="0"/>
          <w:lang w:val="zh-CN"/>
        </w:rPr>
        <w:t>）美康生物科技（舟山）有限公司股权转让事项：</w:t>
      </w:r>
    </w:p>
    <w:p>
      <w:pPr>
        <w:autoSpaceDE w:val="0"/>
        <w:autoSpaceDN w:val="0"/>
        <w:adjustRightInd w:val="0"/>
        <w:spacing w:before="0" w:after="0"/>
        <w:ind w:firstLine="420"/>
        <w:jc w:val="left"/>
        <w:rPr>
          <w:rFonts w:ascii="宋体" w:cs="宋体" w:hAnsiTheme="minorHAnsi"/>
          <w:color w:val="000000"/>
          <w:kern w:val="0"/>
        </w:rPr>
      </w:pP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9</w:t>
      </w:r>
      <w:r>
        <w:rPr>
          <w:rFonts w:hint="eastAsia" w:ascii="宋体" w:cs="宋体" w:hAnsiTheme="minorHAnsi"/>
          <w:color w:val="000000"/>
          <w:kern w:val="0"/>
          <w:lang w:val="zh-CN"/>
        </w:rPr>
        <w:t>月</w:t>
      </w:r>
      <w:r>
        <w:rPr>
          <w:rFonts w:ascii="宋体" w:cs="宋体" w:hAnsiTheme="minorHAnsi"/>
          <w:color w:val="000000"/>
          <w:kern w:val="0"/>
          <w:lang w:val="zh-CN"/>
        </w:rPr>
        <w:t>10</w:t>
      </w:r>
      <w:r>
        <w:rPr>
          <w:rFonts w:hint="eastAsia" w:ascii="宋体" w:cs="宋体" w:hAnsiTheme="minorHAnsi"/>
          <w:color w:val="000000"/>
          <w:kern w:val="0"/>
          <w:lang w:val="zh-CN"/>
        </w:rPr>
        <w:t>日，公司与余颖娜签署了《股权转让协议》，公司将所持有的美康生物科技（舟山）有限公司</w:t>
      </w:r>
      <w:r>
        <w:rPr>
          <w:rFonts w:ascii="宋体" w:cs="宋体" w:hAnsiTheme="minorHAnsi"/>
          <w:color w:val="000000"/>
          <w:kern w:val="0"/>
          <w:lang w:val="zh-CN"/>
        </w:rPr>
        <w:t>71%</w:t>
      </w:r>
      <w:r>
        <w:rPr>
          <w:rFonts w:hint="eastAsia" w:ascii="宋体" w:cs="宋体" w:hAnsiTheme="minorHAnsi"/>
          <w:color w:val="000000"/>
          <w:kern w:val="0"/>
          <w:lang w:val="zh-CN"/>
        </w:rPr>
        <w:t>的股权作价人民币</w:t>
      </w:r>
      <w:r>
        <w:rPr>
          <w:rFonts w:ascii="宋体" w:cs="宋体" w:hAnsiTheme="minorHAnsi"/>
          <w:color w:val="000000"/>
          <w:kern w:val="0"/>
          <w:lang w:val="zh-CN"/>
        </w:rPr>
        <w:t>3,550.00</w:t>
      </w:r>
      <w:r>
        <w:rPr>
          <w:rFonts w:hint="eastAsia" w:ascii="宋体" w:cs="宋体" w:hAnsiTheme="minorHAnsi"/>
          <w:color w:val="000000"/>
          <w:kern w:val="0"/>
          <w:lang w:val="zh-CN"/>
        </w:rPr>
        <w:t>万元转让给余颖娜。股权转让完成后，公司将持有美康生物科技（舟山）有限公司</w:t>
      </w:r>
      <w:r>
        <w:rPr>
          <w:rFonts w:ascii="宋体" w:cs="宋体" w:hAnsiTheme="minorHAnsi"/>
          <w:color w:val="000000"/>
          <w:kern w:val="0"/>
          <w:lang w:val="zh-CN"/>
        </w:rPr>
        <w:t>29%</w:t>
      </w:r>
      <w:r>
        <w:rPr>
          <w:rFonts w:hint="eastAsia" w:ascii="宋体" w:cs="宋体" w:hAnsiTheme="minorHAnsi"/>
          <w:color w:val="000000"/>
          <w:kern w:val="0"/>
          <w:lang w:val="zh-CN"/>
        </w:rPr>
        <w:t>的股权，不再将其纳入合并范围，而是作为联营企业转为权益法核算。截止</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12</w:t>
      </w:r>
      <w:r>
        <w:rPr>
          <w:rFonts w:hint="eastAsia" w:ascii="宋体" w:cs="宋体" w:hAnsiTheme="minorHAnsi"/>
          <w:color w:val="000000"/>
          <w:kern w:val="0"/>
          <w:lang w:val="zh-CN"/>
        </w:rPr>
        <w:t>月</w:t>
      </w:r>
      <w:r>
        <w:rPr>
          <w:rFonts w:ascii="宋体" w:cs="宋体" w:hAnsiTheme="minorHAnsi"/>
          <w:color w:val="000000"/>
          <w:kern w:val="0"/>
          <w:lang w:val="zh-CN"/>
        </w:rPr>
        <w:t>31</w:t>
      </w:r>
      <w:r>
        <w:rPr>
          <w:rFonts w:hint="eastAsia" w:ascii="宋体" w:cs="宋体" w:hAnsiTheme="minorHAnsi"/>
          <w:color w:val="000000"/>
          <w:kern w:val="0"/>
          <w:lang w:val="zh-CN"/>
        </w:rPr>
        <w:t>日，公司已收到股权转让款</w:t>
      </w:r>
      <w:r>
        <w:rPr>
          <w:rFonts w:ascii="宋体" w:cs="宋体" w:hAnsiTheme="minorHAnsi"/>
          <w:color w:val="000000"/>
          <w:kern w:val="0"/>
          <w:lang w:val="zh-CN"/>
        </w:rPr>
        <w:t>3,550.00</w:t>
      </w:r>
      <w:r>
        <w:rPr>
          <w:rFonts w:hint="eastAsia" w:ascii="宋体" w:cs="宋体" w:hAnsiTheme="minorHAnsi"/>
          <w:color w:val="000000"/>
          <w:kern w:val="0"/>
          <w:lang w:val="zh-CN"/>
        </w:rPr>
        <w:t>万元。上述股权转让事项已于</w:t>
      </w:r>
      <w:r>
        <w:rPr>
          <w:rFonts w:ascii="宋体" w:cs="宋体" w:hAnsiTheme="minorHAnsi"/>
          <w:color w:val="000000"/>
          <w:kern w:val="0"/>
          <w:lang w:val="zh-CN"/>
        </w:rPr>
        <w:t>2019</w:t>
      </w:r>
      <w:r>
        <w:rPr>
          <w:rFonts w:hint="eastAsia" w:ascii="宋体" w:cs="宋体" w:hAnsiTheme="minorHAnsi"/>
          <w:color w:val="000000"/>
          <w:kern w:val="0"/>
          <w:lang w:val="zh-CN"/>
        </w:rPr>
        <w:t>年</w:t>
      </w:r>
      <w:r>
        <w:rPr>
          <w:rFonts w:ascii="宋体" w:cs="宋体" w:hAnsiTheme="minorHAnsi"/>
          <w:color w:val="000000"/>
          <w:kern w:val="0"/>
          <w:lang w:val="zh-CN"/>
        </w:rPr>
        <w:t>10</w:t>
      </w:r>
      <w:r>
        <w:rPr>
          <w:rFonts w:hint="eastAsia" w:ascii="宋体" w:cs="宋体" w:hAnsiTheme="minorHAnsi"/>
          <w:color w:val="000000"/>
          <w:kern w:val="0"/>
          <w:lang w:val="zh-CN"/>
        </w:rPr>
        <w:t>月</w:t>
      </w:r>
      <w:r>
        <w:rPr>
          <w:rFonts w:ascii="宋体" w:cs="宋体" w:hAnsiTheme="minorHAnsi"/>
          <w:color w:val="000000"/>
          <w:kern w:val="0"/>
          <w:lang w:val="zh-CN"/>
        </w:rPr>
        <w:t>18</w:t>
      </w:r>
      <w:r>
        <w:rPr>
          <w:rFonts w:hint="eastAsia" w:ascii="宋体" w:cs="宋体" w:hAnsiTheme="minorHAnsi"/>
          <w:color w:val="000000"/>
          <w:kern w:val="0"/>
          <w:lang w:val="zh-CN"/>
        </w:rPr>
        <w:t>日办妥工商变更手续。</w:t>
      </w:r>
    </w:p>
    <w:p>
      <w:pPr>
        <w:ind w:firstLine="360" w:firstLineChars="200"/>
      </w:pPr>
    </w:p>
    <w:p>
      <w:pPr>
        <w:jc w:val="left"/>
        <w:rPr>
          <w:szCs w:val="24"/>
        </w:rPr>
      </w:pPr>
      <w:r>
        <w:rPr>
          <w:rFonts w:hint="eastAsia"/>
          <w:szCs w:val="24"/>
        </w:rPr>
        <w:t>是否存在通过多次交易分步处置对子公司投资且在本期丧失控制权的情形</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pStyle w:val="14"/>
        <w:outlineLvl w:val="2"/>
        <w:rPr>
          <w:bCs w:val="0"/>
          <w:szCs w:val="24"/>
        </w:rPr>
      </w:pPr>
      <w:r>
        <w:rPr>
          <w:bCs w:val="0"/>
          <w:szCs w:val="24"/>
        </w:rPr>
        <w:t>5</w:t>
      </w:r>
      <w:r>
        <w:rPr>
          <w:rFonts w:hint="eastAsia"/>
          <w:bCs w:val="0"/>
          <w:szCs w:val="24"/>
        </w:rPr>
        <w:t>、其他原因的合并范围变动</w:t>
      </w:r>
    </w:p>
    <w:p>
      <w:pPr>
        <w:ind w:firstLine="360" w:firstLineChars="200"/>
        <w:jc w:val="left"/>
        <w:rPr>
          <w:szCs w:val="24"/>
        </w:rPr>
      </w:pPr>
      <w:r>
        <w:rPr>
          <w:rFonts w:hint="eastAsia"/>
          <w:szCs w:val="24"/>
        </w:rPr>
        <w:t>说明其他原因导致的合并范围变动（如，新设子公司、清算子公司等）及其相关情况：</w:t>
      </w:r>
    </w:p>
    <w:p>
      <w:pPr>
        <w:autoSpaceDE w:val="0"/>
        <w:autoSpaceDN w:val="0"/>
        <w:adjustRightInd w:val="0"/>
        <w:spacing w:before="0" w:after="0"/>
        <w:ind w:firstLine="360" w:firstLineChars="200"/>
        <w:rPr>
          <w:rFonts w:eastAsia="Times New Roman"/>
          <w:b/>
          <w:kern w:val="0"/>
          <w:lang w:val="zh-CN"/>
        </w:rPr>
      </w:pPr>
      <w:r>
        <w:rPr>
          <w:rFonts w:eastAsia="Times New Roman"/>
          <w:b/>
          <w:kern w:val="0"/>
          <w:lang w:val="zh-CN"/>
        </w:rPr>
        <w:t>1</w:t>
      </w:r>
      <w:r>
        <w:rPr>
          <w:rFonts w:hint="eastAsia" w:ascii="宋体" w:hAnsi="宋体" w:cs="宋体"/>
          <w:b/>
          <w:kern w:val="0"/>
          <w:lang w:val="zh-CN"/>
        </w:rPr>
        <w:t>、民权县美康盛德医学检验实验室有限公司</w:t>
      </w:r>
    </w:p>
    <w:p>
      <w:pPr>
        <w:autoSpaceDE w:val="0"/>
        <w:autoSpaceDN w:val="0"/>
        <w:adjustRightInd w:val="0"/>
        <w:spacing w:before="0" w:after="0"/>
        <w:ind w:firstLine="360" w:firstLineChars="200"/>
        <w:rPr>
          <w:rFonts w:eastAsiaTheme="minorEastAsia"/>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15</w:t>
      </w:r>
      <w:r>
        <w:rPr>
          <w:rFonts w:hint="eastAsia" w:ascii="宋体" w:hAnsi="宋体" w:cs="宋体"/>
          <w:kern w:val="0"/>
          <w:lang w:val="zh-CN"/>
        </w:rPr>
        <w:t>日，控股子公司永城医检所出资设立民权县美康盛德医学检验实验室有限公司，持有其股权</w:t>
      </w:r>
      <w:r>
        <w:rPr>
          <w:rFonts w:eastAsia="Times New Roman"/>
          <w:kern w:val="0"/>
          <w:lang w:val="zh-CN"/>
        </w:rPr>
        <w:t>100.00%</w:t>
      </w:r>
      <w:r>
        <w:rPr>
          <w:rFonts w:hint="eastAsia" w:ascii="宋体" w:hAnsi="宋体" w:cs="宋体"/>
          <w:kern w:val="0"/>
          <w:lang w:val="zh-CN"/>
        </w:rPr>
        <w:t>，故将其自成立之日起纳入合并范围。</w:t>
      </w:r>
    </w:p>
    <w:p>
      <w:pPr>
        <w:autoSpaceDE w:val="0"/>
        <w:autoSpaceDN w:val="0"/>
        <w:adjustRightInd w:val="0"/>
        <w:spacing w:before="0" w:after="0"/>
        <w:ind w:firstLine="360" w:firstLineChars="200"/>
        <w:rPr>
          <w:rFonts w:eastAsia="Times New Roman"/>
          <w:b/>
          <w:kern w:val="0"/>
          <w:lang w:val="zh-CN"/>
        </w:rPr>
      </w:pPr>
      <w:r>
        <w:rPr>
          <w:rFonts w:eastAsia="Times New Roman"/>
          <w:b/>
          <w:kern w:val="0"/>
          <w:lang w:val="zh-CN"/>
        </w:rPr>
        <w:t>2</w:t>
      </w:r>
      <w:r>
        <w:rPr>
          <w:rFonts w:hint="eastAsia" w:ascii="宋体" w:hAnsi="宋体" w:cs="宋体"/>
          <w:b/>
          <w:kern w:val="0"/>
          <w:lang w:val="zh-CN"/>
        </w:rPr>
        <w:t>、宁波盛德倚天生物技术有限公司</w:t>
      </w:r>
    </w:p>
    <w:p>
      <w:pPr>
        <w:autoSpaceDE w:val="0"/>
        <w:autoSpaceDN w:val="0"/>
        <w:adjustRightInd w:val="0"/>
        <w:spacing w:before="0" w:after="0"/>
        <w:ind w:firstLine="360" w:firstLineChars="200"/>
        <w:rPr>
          <w:rFonts w:eastAsiaTheme="minorEastAsia"/>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28</w:t>
      </w:r>
      <w:r>
        <w:rPr>
          <w:rFonts w:hint="eastAsia" w:ascii="宋体" w:hAnsi="宋体" w:cs="宋体"/>
          <w:kern w:val="0"/>
          <w:lang w:val="zh-CN"/>
        </w:rPr>
        <w:t>日，全资子公司杭州倚天出资设立宁波盛德倚天生物技术有限公司，持有其股权</w:t>
      </w:r>
      <w:r>
        <w:rPr>
          <w:rFonts w:eastAsia="Times New Roman"/>
          <w:kern w:val="0"/>
          <w:lang w:val="zh-CN"/>
        </w:rPr>
        <w:t>100.00%</w:t>
      </w:r>
      <w:r>
        <w:rPr>
          <w:rFonts w:hint="eastAsia" w:ascii="宋体" w:hAnsi="宋体" w:cs="宋体"/>
          <w:kern w:val="0"/>
          <w:lang w:val="zh-CN"/>
        </w:rPr>
        <w:t>，故将其自成立之日起纳入合并范围。</w:t>
      </w:r>
    </w:p>
    <w:p>
      <w:pPr>
        <w:autoSpaceDE w:val="0"/>
        <w:autoSpaceDN w:val="0"/>
        <w:adjustRightInd w:val="0"/>
        <w:spacing w:before="0" w:after="0"/>
        <w:ind w:firstLine="360" w:firstLineChars="200"/>
        <w:rPr>
          <w:rFonts w:eastAsia="Times New Roman"/>
          <w:b/>
          <w:kern w:val="0"/>
          <w:lang w:val="zh-CN"/>
        </w:rPr>
      </w:pPr>
      <w:r>
        <w:rPr>
          <w:rFonts w:eastAsia="Times New Roman"/>
          <w:b/>
          <w:kern w:val="0"/>
          <w:lang w:val="zh-CN"/>
        </w:rPr>
        <w:t>3</w:t>
      </w:r>
      <w:r>
        <w:rPr>
          <w:rFonts w:hint="eastAsia" w:ascii="宋体" w:hAnsi="宋体" w:cs="宋体"/>
          <w:b/>
          <w:kern w:val="0"/>
          <w:lang w:val="zh-CN"/>
        </w:rPr>
        <w:t>、美康盛达生物科技泰州有限公司</w:t>
      </w:r>
    </w:p>
    <w:p>
      <w:pPr>
        <w:autoSpaceDE w:val="0"/>
        <w:autoSpaceDN w:val="0"/>
        <w:adjustRightInd w:val="0"/>
        <w:spacing w:before="0" w:after="0"/>
        <w:ind w:firstLine="360" w:firstLineChars="200"/>
        <w:rPr>
          <w:rFonts w:eastAsiaTheme="minorEastAsia"/>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7</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日，公司办妥美康盛达生物科技泰州有限公司的工商注销手续，故自其注销之日起不再纳入合并范围。</w:t>
      </w:r>
    </w:p>
    <w:p>
      <w:pPr>
        <w:autoSpaceDE w:val="0"/>
        <w:autoSpaceDN w:val="0"/>
        <w:adjustRightInd w:val="0"/>
        <w:spacing w:before="0" w:after="0"/>
        <w:ind w:firstLine="360" w:firstLineChars="200"/>
        <w:rPr>
          <w:rFonts w:eastAsia="Times New Roman"/>
          <w:b/>
          <w:kern w:val="0"/>
          <w:lang w:val="zh-CN"/>
        </w:rPr>
      </w:pPr>
      <w:r>
        <w:rPr>
          <w:rFonts w:eastAsia="Times New Roman"/>
          <w:b/>
          <w:kern w:val="0"/>
          <w:lang w:val="zh-CN"/>
        </w:rPr>
        <w:t>4</w:t>
      </w:r>
      <w:r>
        <w:rPr>
          <w:rFonts w:hint="eastAsia" w:ascii="宋体" w:hAnsi="宋体" w:cs="宋体"/>
          <w:b/>
          <w:kern w:val="0"/>
          <w:lang w:val="zh-CN"/>
        </w:rPr>
        <w:t>、江西广盛源医疗科技有限公司</w:t>
      </w:r>
    </w:p>
    <w:p>
      <w:pPr>
        <w:autoSpaceDE w:val="0"/>
        <w:autoSpaceDN w:val="0"/>
        <w:adjustRightInd w:val="0"/>
        <w:spacing w:before="0" w:after="0"/>
        <w:ind w:firstLine="360" w:firstLineChars="200"/>
        <w:rPr>
          <w:rFonts w:eastAsiaTheme="minorEastAsia"/>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11</w:t>
      </w:r>
      <w:r>
        <w:rPr>
          <w:rFonts w:hint="eastAsia" w:ascii="宋体" w:hAnsi="宋体" w:cs="宋体"/>
          <w:kern w:val="0"/>
          <w:lang w:val="zh-CN"/>
        </w:rPr>
        <w:t>月</w:t>
      </w:r>
      <w:r>
        <w:rPr>
          <w:rFonts w:eastAsia="Times New Roman"/>
          <w:kern w:val="0"/>
          <w:lang w:val="zh-CN"/>
        </w:rPr>
        <w:t>18</w:t>
      </w:r>
      <w:r>
        <w:rPr>
          <w:rFonts w:hint="eastAsia" w:ascii="宋体" w:hAnsi="宋体" w:cs="宋体"/>
          <w:kern w:val="0"/>
          <w:lang w:val="zh-CN"/>
        </w:rPr>
        <w:t>日，公司办妥江西广盛源医疗科技有限公司的工商注销手续，故自其注销之日起不再纳入合并范围。</w:t>
      </w:r>
    </w:p>
    <w:p>
      <w:pPr>
        <w:autoSpaceDE w:val="0"/>
        <w:autoSpaceDN w:val="0"/>
        <w:adjustRightInd w:val="0"/>
        <w:spacing w:before="0" w:after="0"/>
        <w:ind w:firstLine="360" w:firstLineChars="200"/>
        <w:rPr>
          <w:rFonts w:eastAsia="Times New Roman"/>
          <w:b/>
          <w:kern w:val="0"/>
          <w:lang w:val="zh-CN"/>
        </w:rPr>
      </w:pPr>
      <w:r>
        <w:rPr>
          <w:rFonts w:eastAsia="Times New Roman"/>
          <w:b/>
          <w:kern w:val="0"/>
          <w:lang w:val="zh-CN"/>
        </w:rPr>
        <w:t>5</w:t>
      </w:r>
      <w:r>
        <w:rPr>
          <w:rFonts w:hint="eastAsia" w:ascii="宋体" w:hAnsi="宋体" w:cs="宋体"/>
          <w:b/>
          <w:kern w:val="0"/>
          <w:lang w:val="zh-CN"/>
        </w:rPr>
        <w:t>、美康盛医生物科技泰州有限公司</w:t>
      </w:r>
    </w:p>
    <w:p>
      <w:pPr>
        <w:autoSpaceDE w:val="0"/>
        <w:autoSpaceDN w:val="0"/>
        <w:adjustRightInd w:val="0"/>
        <w:spacing w:before="0" w:after="0"/>
        <w:ind w:firstLine="360" w:firstLineChars="200"/>
        <w:rPr>
          <w:rFonts w:eastAsiaTheme="minorEastAsia"/>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7</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日，公司办妥美康盛医生物科技泰州有限公司的工商注销手续，故自其注销之日起不再纳入合并范围。</w:t>
      </w:r>
    </w:p>
    <w:p>
      <w:pPr>
        <w:pStyle w:val="14"/>
        <w:outlineLvl w:val="2"/>
        <w:rPr>
          <w:bCs w:val="0"/>
          <w:szCs w:val="24"/>
        </w:rPr>
      </w:pPr>
      <w:r>
        <w:rPr>
          <w:bCs w:val="0"/>
          <w:szCs w:val="24"/>
        </w:rPr>
        <w:t>6</w:t>
      </w:r>
      <w:r>
        <w:rPr>
          <w:rFonts w:hint="eastAsia"/>
          <w:bCs w:val="0"/>
          <w:szCs w:val="24"/>
        </w:rPr>
        <w:t>、其他</w:t>
      </w:r>
    </w:p>
    <w:p>
      <w:pPr>
        <w:pStyle w:val="13"/>
        <w:outlineLvl w:val="1"/>
        <w:rPr>
          <w:bCs w:val="0"/>
        </w:rPr>
      </w:pPr>
      <w:r>
        <w:rPr>
          <w:rFonts w:hint="eastAsia"/>
          <w:bCs w:val="0"/>
        </w:rPr>
        <w:t>九、在其他主体中的权益</w:t>
      </w:r>
    </w:p>
    <w:p>
      <w:pPr>
        <w:pStyle w:val="14"/>
        <w:outlineLvl w:val="2"/>
        <w:rPr>
          <w:bCs w:val="0"/>
          <w:szCs w:val="24"/>
        </w:rPr>
      </w:pPr>
      <w:r>
        <w:rPr>
          <w:bCs w:val="0"/>
          <w:szCs w:val="24"/>
        </w:rPr>
        <w:t>1</w:t>
      </w:r>
      <w:r>
        <w:rPr>
          <w:rFonts w:hint="eastAsia"/>
          <w:bCs w:val="0"/>
          <w:szCs w:val="24"/>
        </w:rPr>
        <w:t>、在子公司中的权益</w:t>
      </w:r>
    </w:p>
    <w:p>
      <w:pPr>
        <w:pStyle w:val="14"/>
        <w:outlineLvl w:val="3"/>
        <w:rPr>
          <w:bCs w:val="0"/>
          <w:szCs w:val="24"/>
        </w:rPr>
      </w:pPr>
      <w:r>
        <w:rPr>
          <w:rFonts w:hint="eastAsia"/>
          <w:bCs w:val="0"/>
          <w:szCs w:val="24"/>
        </w:rPr>
        <w:t>（</w:t>
      </w:r>
      <w:r>
        <w:rPr>
          <w:bCs w:val="0"/>
          <w:szCs w:val="24"/>
        </w:rPr>
        <w:t>1</w:t>
      </w:r>
      <w:r>
        <w:rPr>
          <w:rFonts w:hint="eastAsia"/>
          <w:bCs w:val="0"/>
          <w:szCs w:val="24"/>
        </w:rPr>
        <w:t>）企业集团的构成</w:t>
      </w:r>
    </w:p>
    <w:tbl>
      <w:tblPr>
        <w:tblStyle w:val="9"/>
        <w:tblW w:w="0" w:type="auto"/>
        <w:tblInd w:w="28" w:type="dxa"/>
        <w:tblLayout w:type="fixed"/>
        <w:tblCellMar>
          <w:top w:w="0" w:type="dxa"/>
          <w:left w:w="28" w:type="dxa"/>
          <w:bottom w:w="0" w:type="dxa"/>
          <w:right w:w="28" w:type="dxa"/>
        </w:tblCellMar>
      </w:tblPr>
      <w:tblGrid>
        <w:gridCol w:w="1371"/>
        <w:gridCol w:w="1367"/>
        <w:gridCol w:w="1367"/>
        <w:gridCol w:w="1367"/>
        <w:gridCol w:w="1367"/>
        <w:gridCol w:w="1366"/>
        <w:gridCol w:w="1366"/>
      </w:tblGrid>
      <w:tr>
        <w:tblPrEx>
          <w:tblCellMar>
            <w:top w:w="0" w:type="dxa"/>
            <w:left w:w="28" w:type="dxa"/>
            <w:bottom w:w="0" w:type="dxa"/>
            <w:right w:w="28" w:type="dxa"/>
          </w:tblCellMar>
        </w:tblPrEx>
        <w:tc>
          <w:tcPr>
            <w:tcW w:w="1371"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子公司名称</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主要经营地</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注册地</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业务性质</w:t>
            </w:r>
          </w:p>
        </w:tc>
        <w:tc>
          <w:tcPr>
            <w:tcW w:w="2733"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持股比例</w:t>
            </w:r>
          </w:p>
        </w:tc>
        <w:tc>
          <w:tcPr>
            <w:tcW w:w="136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取得方式</w:t>
            </w:r>
          </w:p>
        </w:tc>
      </w:tr>
      <w:tr>
        <w:tblPrEx>
          <w:tblCellMar>
            <w:top w:w="0" w:type="dxa"/>
            <w:left w:w="28" w:type="dxa"/>
            <w:bottom w:w="0" w:type="dxa"/>
            <w:right w:w="28" w:type="dxa"/>
          </w:tblCellMar>
        </w:tblPrEx>
        <w:tc>
          <w:tcPr>
            <w:tcW w:w="1371"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直接</w:t>
            </w:r>
          </w:p>
        </w:tc>
        <w:tc>
          <w:tcPr>
            <w:tcW w:w="136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间接</w:t>
            </w:r>
          </w:p>
        </w:tc>
        <w:tc>
          <w:tcPr>
            <w:tcW w:w="136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宁波美康盛达生物科技有限公司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同一控制下企业合并</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宁波美康盛德生物科技有限公司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同一控制下企业合并</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宁波美康盛德医学检验所有限公司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宁波美康保生生物医学工程有限公司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SD Medical System,Inc</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圣地亚哥</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圣地亚哥</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新疆伯晶伟业商贸有限公司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乌鲁木齐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乌鲁木齐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宁波生园生物技术有限公司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非同一控制下企业合并</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浙江涌捷医疗器械有限公司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宁波美康基因科技有限公司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宁波美康盛德融资租赁有限公司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租赁服务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内蒙古盛德医疗器械有限公司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呼和浩特</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呼和浩特</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永城美康盛德医学检验所有限公司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永城</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永城</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郑州美康盛德医学检验所有限公司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郑州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郑州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南昌美康盛德医学检验实验室有限公司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南昌</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南昌</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上海京都生物工程有限公司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非同一控制下企业合并</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京都弘益生物科技（苏州）有限公司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苏州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苏州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64.00%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非同一控制下企业合并</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浙江美康达冷链物流有限公司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物流服务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上饶市新安略科技有限公司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上饶</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上饶</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非同一控制下企业合并</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武汉美康盛德科技有限公司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武汉</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武汉</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非同一控制下企业合并</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杭州美康盛德医学检验所有限公司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抚州美康盛德医学检验所有限公司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抚州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抚州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美康生物（香港）有限公司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香港</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香港</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京都生命科学株式会社</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东京</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东京</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非同一控制下企业合并</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宁波康健基因检测有限公司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宁波康健医学检验所有限公司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VAP DIAGNOSTICS LABORATORY INC</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伯明翰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伯明翰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衡阳美康盛德医学检验实验室有限公司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衡阳</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衡阳</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70.80%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内蒙古美康生物医疗器械有限公司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呼和浩特</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呼和浩特</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非同一控制下企业合并</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新余美康盛德医学检验实验室有限公司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新余</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新余</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深圳美康盛德医学检验实验室</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深圳</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深圳</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浙江广盛源医疗科技有限公司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聊城美康盛达生物科技有限公司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聊城</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聊城</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94.12%</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湖州美康盛德医学检验实验室有限公司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湖州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湖州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聊城美康盛德医学检验实验室有限公司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聊城</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聊城</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94.12%</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江西美康盛德生物科技有限公司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南昌</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南昌</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82.74%</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8.80%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杭州倚天生物技术有限公司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同一控制下企业合并</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上海曼贝生物技术有限公司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同一控制下企业合并</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宁波美康盈实股权投资合伙企业（有限合伙）</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96.67%</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美康盛德医疗科技（苏州）有限公司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苏州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苏州</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美康盛德（广西）投资有限公司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南宁</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南宁</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87.48%</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诸暨美康盛德医学检验实验室有限公司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诸暨</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诸暨</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民权县美康盛德医学检验实验室有限公司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商丘</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商丘</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医疗服务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宁波盛德倚天生物技术有限公司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投资设立</w:t>
            </w:r>
          </w:p>
        </w:tc>
      </w:tr>
    </w:tbl>
    <w:p>
      <w:pPr>
        <w:pStyle w:val="14"/>
        <w:outlineLvl w:val="3"/>
        <w:rPr>
          <w:bCs w:val="0"/>
          <w:szCs w:val="24"/>
        </w:rPr>
      </w:pPr>
      <w:r>
        <w:rPr>
          <w:rFonts w:hint="eastAsia"/>
          <w:bCs w:val="0"/>
          <w:szCs w:val="24"/>
        </w:rPr>
        <w:t>（</w:t>
      </w:r>
      <w:r>
        <w:rPr>
          <w:bCs w:val="0"/>
          <w:szCs w:val="24"/>
        </w:rPr>
        <w:t>2</w:t>
      </w:r>
      <w:r>
        <w:rPr>
          <w:rFonts w:hint="eastAsia"/>
          <w:bCs w:val="0"/>
          <w:szCs w:val="24"/>
        </w:rPr>
        <w:t>）重要的非全资子公司</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6"/>
        <w:gridCol w:w="1914"/>
        <w:gridCol w:w="1914"/>
        <w:gridCol w:w="1913"/>
        <w:gridCol w:w="1913"/>
      </w:tblGrid>
      <w:tr>
        <w:tblPrEx>
          <w:tblCellMar>
            <w:top w:w="0" w:type="dxa"/>
            <w:left w:w="28" w:type="dxa"/>
            <w:bottom w:w="0" w:type="dxa"/>
            <w:right w:w="28" w:type="dxa"/>
          </w:tblCellMar>
        </w:tblPrEx>
        <w:trPr>
          <w:trHeight w:val="352" w:hRule="atLeast"/>
        </w:trPr>
        <w:tc>
          <w:tcPr>
            <w:tcW w:w="191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子公司名称</w:t>
            </w:r>
          </w:p>
        </w:tc>
        <w:tc>
          <w:tcPr>
            <w:tcW w:w="191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少数股东持股比例</w:t>
            </w:r>
          </w:p>
        </w:tc>
        <w:tc>
          <w:tcPr>
            <w:tcW w:w="191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本期归属于少数股东的损益</w:t>
            </w:r>
          </w:p>
        </w:tc>
        <w:tc>
          <w:tcPr>
            <w:tcW w:w="191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本期向少数股东宣告分派的股利</w:t>
            </w:r>
          </w:p>
        </w:tc>
        <w:tc>
          <w:tcPr>
            <w:tcW w:w="191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期末少数股东权益余额</w:t>
            </w:r>
          </w:p>
        </w:tc>
      </w:tr>
      <w:tr>
        <w:tblPrEx>
          <w:tblCellMar>
            <w:top w:w="0" w:type="dxa"/>
            <w:left w:w="28" w:type="dxa"/>
            <w:bottom w:w="0" w:type="dxa"/>
            <w:right w:w="28" w:type="dxa"/>
          </w:tblCellMar>
        </w:tblPrEx>
        <w:trPr>
          <w:trHeight w:val="392" w:hRule="atLeast"/>
        </w:trPr>
        <w:tc>
          <w:tcPr>
            <w:tcW w:w="1916" w:type="dxa"/>
            <w:vMerge w:val="continue"/>
            <w:tcBorders>
              <w:top w:val="single" w:color="auto" w:sz="4" w:space="0"/>
              <w:left w:val="single" w:color="auto" w:sz="4" w:space="0"/>
              <w:bottom w:val="single" w:color="auto" w:sz="4" w:space="0"/>
              <w:right w:val="single" w:color="auto" w:sz="4" w:space="0"/>
            </w:tcBorders>
            <w:vAlign w:val="center"/>
          </w:tcPr>
          <w:p>
            <w:pPr>
              <w:rPr>
                <w:szCs w:val="24"/>
              </w:rPr>
            </w:pPr>
          </w:p>
        </w:tc>
        <w:tc>
          <w:tcPr>
            <w:tcW w:w="1914" w:type="dxa"/>
            <w:vMerge w:val="continue"/>
            <w:tcBorders>
              <w:top w:val="single" w:color="auto" w:sz="4" w:space="0"/>
              <w:left w:val="single" w:color="auto" w:sz="4" w:space="0"/>
              <w:bottom w:val="single" w:color="auto" w:sz="4" w:space="0"/>
              <w:right w:val="single" w:color="auto" w:sz="4" w:space="0"/>
            </w:tcBorders>
            <w:vAlign w:val="center"/>
          </w:tcPr>
          <w:p>
            <w:pPr>
              <w:rPr>
                <w:szCs w:val="24"/>
              </w:rPr>
            </w:pPr>
          </w:p>
        </w:tc>
        <w:tc>
          <w:tcPr>
            <w:tcW w:w="1914" w:type="dxa"/>
            <w:vMerge w:val="continue"/>
            <w:tcBorders>
              <w:top w:val="single" w:color="auto" w:sz="4" w:space="0"/>
              <w:left w:val="single" w:color="auto" w:sz="4" w:space="0"/>
              <w:bottom w:val="single" w:color="auto" w:sz="4" w:space="0"/>
              <w:right w:val="single" w:color="auto" w:sz="4" w:space="0"/>
            </w:tcBorders>
            <w:vAlign w:val="center"/>
          </w:tcPr>
          <w:p>
            <w:pPr>
              <w:rPr>
                <w:szCs w:val="24"/>
              </w:rPr>
            </w:pPr>
          </w:p>
        </w:tc>
        <w:tc>
          <w:tcPr>
            <w:tcW w:w="1913" w:type="dxa"/>
            <w:vMerge w:val="continue"/>
            <w:tcBorders>
              <w:top w:val="single" w:color="auto" w:sz="4" w:space="0"/>
              <w:left w:val="single" w:color="auto" w:sz="4" w:space="0"/>
              <w:bottom w:val="single" w:color="auto" w:sz="4" w:space="0"/>
              <w:right w:val="single" w:color="auto" w:sz="4" w:space="0"/>
            </w:tcBorders>
            <w:vAlign w:val="center"/>
          </w:tcPr>
          <w:p>
            <w:pPr>
              <w:rPr>
                <w:szCs w:val="24"/>
              </w:rPr>
            </w:pPr>
          </w:p>
        </w:tc>
        <w:tc>
          <w:tcPr>
            <w:tcW w:w="1913" w:type="dxa"/>
            <w:vMerge w:val="continue"/>
            <w:tcBorders>
              <w:top w:val="single" w:color="auto" w:sz="4" w:space="0"/>
              <w:left w:val="single" w:color="auto" w:sz="4" w:space="0"/>
              <w:bottom w:val="single" w:color="auto" w:sz="4" w:space="0"/>
              <w:right w:val="single" w:color="auto" w:sz="4" w:space="0"/>
            </w:tcBorders>
            <w:vAlign w:val="center"/>
          </w:tcPr>
          <w:p>
            <w:pPr>
              <w:rPr>
                <w:szCs w:val="24"/>
              </w:rPr>
            </w:pPr>
          </w:p>
        </w:tc>
      </w:tr>
      <w:tr>
        <w:tblPrEx>
          <w:tblCellMar>
            <w:top w:w="0" w:type="dxa"/>
            <w:left w:w="28" w:type="dxa"/>
            <w:bottom w:w="0" w:type="dxa"/>
            <w:right w:w="28" w:type="dxa"/>
          </w:tblCellMar>
        </w:tblPrEx>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浙江涌捷医疗器械有限公司</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3,573,937.24</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26,771,793.58</w:t>
            </w:r>
          </w:p>
        </w:tc>
      </w:tr>
      <w:tr>
        <w:tblPrEx>
          <w:tblCellMar>
            <w:top w:w="0" w:type="dxa"/>
            <w:left w:w="28" w:type="dxa"/>
            <w:bottom w:w="0" w:type="dxa"/>
            <w:right w:w="28" w:type="dxa"/>
          </w:tblCellMar>
        </w:tblPrEx>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内蒙古盛德医疗器械有限公司</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2,840,263.92</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14,195,526.29</w:t>
            </w:r>
          </w:p>
        </w:tc>
      </w:tr>
      <w:tr>
        <w:tblPrEx>
          <w:tblCellMar>
            <w:top w:w="0" w:type="dxa"/>
            <w:left w:w="28" w:type="dxa"/>
            <w:bottom w:w="0" w:type="dxa"/>
            <w:right w:w="28" w:type="dxa"/>
          </w:tblCellMar>
        </w:tblPrEx>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新疆伯晶伟业商贸有限公司</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98,354.03</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17,635,883.80</w:t>
            </w:r>
          </w:p>
        </w:tc>
      </w:tr>
      <w:tr>
        <w:tblPrEx>
          <w:tblCellMar>
            <w:top w:w="0" w:type="dxa"/>
            <w:left w:w="28" w:type="dxa"/>
            <w:bottom w:w="0" w:type="dxa"/>
            <w:right w:w="28" w:type="dxa"/>
          </w:tblCellMar>
        </w:tblPrEx>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武汉美康盛德科技有限公司</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197,337.39</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8,947,337.39</w:t>
            </w:r>
          </w:p>
        </w:tc>
      </w:tr>
      <w:tr>
        <w:tblPrEx>
          <w:tblCellMar>
            <w:top w:w="0" w:type="dxa"/>
            <w:left w:w="28" w:type="dxa"/>
            <w:bottom w:w="0" w:type="dxa"/>
            <w:right w:w="28" w:type="dxa"/>
          </w:tblCellMar>
        </w:tblPrEx>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永城美康盛德医学检验所有限公司</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1,743,910.10</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4,199,837.40</w:t>
            </w:r>
          </w:p>
        </w:tc>
      </w:tr>
    </w:tbl>
    <w:p>
      <w:pPr>
        <w:pStyle w:val="14"/>
        <w:outlineLvl w:val="3"/>
        <w:rPr>
          <w:bCs w:val="0"/>
          <w:szCs w:val="24"/>
        </w:rPr>
      </w:pPr>
      <w:r>
        <w:rPr>
          <w:rFonts w:hint="eastAsia"/>
          <w:bCs w:val="0"/>
          <w:szCs w:val="24"/>
        </w:rPr>
        <w:t>（</w:t>
      </w:r>
      <w:r>
        <w:rPr>
          <w:bCs w:val="0"/>
          <w:szCs w:val="24"/>
        </w:rPr>
        <w:t>3</w:t>
      </w:r>
      <w:r>
        <w:rPr>
          <w:rFonts w:hint="eastAsia"/>
          <w:bCs w:val="0"/>
          <w:szCs w:val="24"/>
        </w:rPr>
        <w:t>）重要非全资子公司的主要财务信息</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736"/>
        <w:gridCol w:w="736"/>
        <w:gridCol w:w="736"/>
        <w:gridCol w:w="736"/>
        <w:gridCol w:w="736"/>
        <w:gridCol w:w="735"/>
        <w:gridCol w:w="735"/>
        <w:gridCol w:w="735"/>
        <w:gridCol w:w="735"/>
        <w:gridCol w:w="735"/>
        <w:gridCol w:w="737"/>
        <w:gridCol w:w="736"/>
        <w:gridCol w:w="736"/>
      </w:tblGrid>
      <w:tr>
        <w:tblPrEx>
          <w:tblCellMar>
            <w:top w:w="0" w:type="dxa"/>
            <w:left w:w="28" w:type="dxa"/>
            <w:bottom w:w="0" w:type="dxa"/>
            <w:right w:w="28" w:type="dxa"/>
          </w:tblCellMar>
        </w:tblPrEx>
        <w:tc>
          <w:tcPr>
            <w:tcW w:w="73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子公司名称</w:t>
            </w:r>
          </w:p>
        </w:tc>
        <w:tc>
          <w:tcPr>
            <w:tcW w:w="4414" w:type="dxa"/>
            <w:gridSpan w:val="6"/>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4414" w:type="dxa"/>
            <w:gridSpan w:val="6"/>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73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流动资产</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非流动资产</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资产合计</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流动负债</w:t>
            </w:r>
          </w:p>
        </w:tc>
        <w:tc>
          <w:tcPr>
            <w:tcW w:w="73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非流动负债</w:t>
            </w:r>
          </w:p>
        </w:tc>
        <w:tc>
          <w:tcPr>
            <w:tcW w:w="73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负债合计</w:t>
            </w:r>
          </w:p>
        </w:tc>
        <w:tc>
          <w:tcPr>
            <w:tcW w:w="73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流动资产</w:t>
            </w:r>
          </w:p>
        </w:tc>
        <w:tc>
          <w:tcPr>
            <w:tcW w:w="73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非流动资产</w:t>
            </w:r>
          </w:p>
        </w:tc>
        <w:tc>
          <w:tcPr>
            <w:tcW w:w="73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资产合计</w:t>
            </w:r>
          </w:p>
        </w:tc>
        <w:tc>
          <w:tcPr>
            <w:tcW w:w="73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流动负债</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非流动负债</w:t>
            </w:r>
          </w:p>
        </w:tc>
        <w:tc>
          <w:tcPr>
            <w:tcW w:w="73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负债合计</w:t>
            </w:r>
          </w:p>
        </w:tc>
      </w:tr>
      <w:tr>
        <w:tblPrEx>
          <w:tblCellMar>
            <w:top w:w="0" w:type="dxa"/>
            <w:left w:w="28" w:type="dxa"/>
            <w:bottom w:w="0" w:type="dxa"/>
            <w:right w:w="28" w:type="dxa"/>
          </w:tblCellMar>
        </w:tblPrEx>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浙江涌捷医疗器械有限公司</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93,160,432.77</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3,911,154.98</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97,071,587.75</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42,435,274.34</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42,435,274.34</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72,622,221.84</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2,823,566.94</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75,445,788.78</w:t>
            </w:r>
          </w:p>
        </w:tc>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28,103,224.83</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28,103,224.83</w:t>
            </w:r>
          </w:p>
        </w:tc>
      </w:tr>
      <w:tr>
        <w:tblPrEx>
          <w:tblCellMar>
            <w:top w:w="0" w:type="dxa"/>
            <w:left w:w="28" w:type="dxa"/>
            <w:bottom w:w="0" w:type="dxa"/>
            <w:right w:w="28" w:type="dxa"/>
          </w:tblCellMar>
        </w:tblPrEx>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内蒙古盛德医疗器械有限公司</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60,428,446.61</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7,420,296.01</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67,848,742.62</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38,878,280.81</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38,878,280.81</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52,012,319.61</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7,267,834.30</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59,280,153.91</w:t>
            </w:r>
          </w:p>
        </w:tc>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36,106,149.08</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36,106,149.08</w:t>
            </w:r>
          </w:p>
        </w:tc>
      </w:tr>
      <w:tr>
        <w:tblPrEx>
          <w:tblCellMar>
            <w:top w:w="0" w:type="dxa"/>
            <w:left w:w="28" w:type="dxa"/>
            <w:bottom w:w="0" w:type="dxa"/>
            <w:right w:w="28" w:type="dxa"/>
          </w:tblCellMar>
        </w:tblPrEx>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新疆伯晶伟业商贸有限公司</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62,018,767.52</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12,618,607.97</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74,637,375.49</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38,645,775.89</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38,645,775.89</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46,193,265.28</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24,059,471.30</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70,252,736.58</w:t>
            </w:r>
          </w:p>
        </w:tc>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34,461,859.50</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34,461,859.50</w:t>
            </w:r>
          </w:p>
        </w:tc>
      </w:tr>
      <w:tr>
        <w:tblPrEx>
          <w:tblCellMar>
            <w:top w:w="0" w:type="dxa"/>
            <w:left w:w="28" w:type="dxa"/>
            <w:bottom w:w="0" w:type="dxa"/>
            <w:right w:w="28" w:type="dxa"/>
          </w:tblCellMar>
        </w:tblPrEx>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武汉美康盛德科技有限公司</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168,104,979.68</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11,499,243.61</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179,604,223.29</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98,226,868.64</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98,226,868.64</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179,034,991.28</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8,793,774.07</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187,828,765.35</w:t>
            </w:r>
          </w:p>
        </w:tc>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106,899,904.77</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106,899,904.77</w:t>
            </w:r>
          </w:p>
        </w:tc>
      </w:tr>
      <w:tr>
        <w:tblPrEx>
          <w:tblCellMar>
            <w:top w:w="0" w:type="dxa"/>
            <w:left w:w="28" w:type="dxa"/>
            <w:bottom w:w="0" w:type="dxa"/>
            <w:right w:w="28" w:type="dxa"/>
          </w:tblCellMar>
        </w:tblPrEx>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永城美康盛德医学检验所有限公司</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57,215,736.08</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8,728,563.95</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65,944,300.03</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55,175,486.21</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55,175,486.21</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33,804,059.43</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8,244,135.25</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42,048,194.68</w:t>
            </w:r>
          </w:p>
        </w:tc>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35,750,945.21</w:t>
            </w: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3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35,750,945.21</w:t>
            </w:r>
          </w:p>
        </w:tc>
      </w:tr>
    </w:tbl>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061"/>
        <w:gridCol w:w="1061"/>
        <w:gridCol w:w="1062"/>
        <w:gridCol w:w="1065"/>
        <w:gridCol w:w="1065"/>
        <w:gridCol w:w="1063"/>
        <w:gridCol w:w="1063"/>
        <w:gridCol w:w="1063"/>
        <w:gridCol w:w="1066"/>
      </w:tblGrid>
      <w:tr>
        <w:tblPrEx>
          <w:tblCellMar>
            <w:top w:w="0" w:type="dxa"/>
            <w:left w:w="28" w:type="dxa"/>
            <w:bottom w:w="0" w:type="dxa"/>
            <w:right w:w="28" w:type="dxa"/>
          </w:tblCellMar>
        </w:tblPrEx>
        <w:tc>
          <w:tcPr>
            <w:tcW w:w="1061"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子公司名称</w:t>
            </w:r>
          </w:p>
        </w:tc>
        <w:tc>
          <w:tcPr>
            <w:tcW w:w="4253"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4255"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1061"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06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营业收入</w:t>
            </w:r>
          </w:p>
        </w:tc>
        <w:tc>
          <w:tcPr>
            <w:tcW w:w="10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净利润</w:t>
            </w:r>
          </w:p>
        </w:tc>
        <w:tc>
          <w:tcPr>
            <w:tcW w:w="106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综合收益总额</w:t>
            </w:r>
          </w:p>
        </w:tc>
        <w:tc>
          <w:tcPr>
            <w:tcW w:w="106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经营活动现金流量</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营业收入</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净利润</w:t>
            </w:r>
          </w:p>
        </w:tc>
        <w:tc>
          <w:tcPr>
            <w:tcW w:w="10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综合收益总额</w:t>
            </w:r>
          </w:p>
        </w:tc>
        <w:tc>
          <w:tcPr>
            <w:tcW w:w="106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经营活动现金流量</w:t>
            </w:r>
          </w:p>
        </w:tc>
      </w:tr>
      <w:tr>
        <w:tblPrEx>
          <w:tblCellMar>
            <w:top w:w="0" w:type="dxa"/>
            <w:left w:w="28" w:type="dxa"/>
            <w:bottom w:w="0" w:type="dxa"/>
            <w:right w:w="28" w:type="dxa"/>
          </w:tblCellMar>
        </w:tblPrEx>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浙江涌捷医疗器械有限公司</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132,286,008.93</w:t>
            </w:r>
          </w:p>
        </w:tc>
        <w:tc>
          <w:tcPr>
            <w:tcW w:w="10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7,293,749.46</w:t>
            </w:r>
          </w:p>
        </w:tc>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7,293,749.46</w:t>
            </w:r>
          </w:p>
        </w:tc>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-1,330,863.80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142,100,259.69</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11,380,854.32</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11,380,854.32</w:t>
            </w:r>
          </w:p>
        </w:tc>
        <w:tc>
          <w:tcPr>
            <w:tcW w:w="10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3,980,194.74</w:t>
            </w:r>
          </w:p>
        </w:tc>
      </w:tr>
      <w:tr>
        <w:tblPrEx>
          <w:tblCellMar>
            <w:top w:w="0" w:type="dxa"/>
            <w:left w:w="28" w:type="dxa"/>
            <w:bottom w:w="0" w:type="dxa"/>
            <w:right w:w="28" w:type="dxa"/>
          </w:tblCellMar>
        </w:tblPrEx>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内蒙古盛德医疗器械有限公司</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62,455,262.29</w:t>
            </w:r>
          </w:p>
        </w:tc>
        <w:tc>
          <w:tcPr>
            <w:tcW w:w="10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5,796,456.98</w:t>
            </w:r>
          </w:p>
        </w:tc>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5,796,456.98</w:t>
            </w:r>
          </w:p>
        </w:tc>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8,619,387.04</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62,369,677.91</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7,020,467.24</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7,020,467.24</w:t>
            </w:r>
          </w:p>
        </w:tc>
        <w:tc>
          <w:tcPr>
            <w:tcW w:w="10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1,959,931.98</w:t>
            </w:r>
          </w:p>
        </w:tc>
      </w:tr>
      <w:tr>
        <w:tblPrEx>
          <w:tblCellMar>
            <w:top w:w="0" w:type="dxa"/>
            <w:left w:w="28" w:type="dxa"/>
            <w:bottom w:w="0" w:type="dxa"/>
            <w:right w:w="28" w:type="dxa"/>
          </w:tblCellMar>
        </w:tblPrEx>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新疆伯晶伟业商贸有限公司</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70,470,053.29</w:t>
            </w:r>
          </w:p>
        </w:tc>
        <w:tc>
          <w:tcPr>
            <w:tcW w:w="10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200,722.52</w:t>
            </w:r>
          </w:p>
        </w:tc>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200,722.52</w:t>
            </w:r>
          </w:p>
        </w:tc>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2,430,458.87</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65,139,419.44</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3,145,502.72</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3,145,502.72</w:t>
            </w:r>
          </w:p>
        </w:tc>
        <w:tc>
          <w:tcPr>
            <w:tcW w:w="10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22,368,184.67</w:t>
            </w:r>
          </w:p>
        </w:tc>
      </w:tr>
      <w:tr>
        <w:tblPrEx>
          <w:tblCellMar>
            <w:top w:w="0" w:type="dxa"/>
            <w:left w:w="28" w:type="dxa"/>
            <w:bottom w:w="0" w:type="dxa"/>
            <w:right w:w="28" w:type="dxa"/>
          </w:tblCellMar>
        </w:tblPrEx>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武汉美康盛德科技有限公司</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127,727,004.96</w:t>
            </w:r>
          </w:p>
        </w:tc>
        <w:tc>
          <w:tcPr>
            <w:tcW w:w="10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448,494.07</w:t>
            </w:r>
          </w:p>
        </w:tc>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448,494.07</w:t>
            </w:r>
          </w:p>
        </w:tc>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6,393,445.66</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153,650,963.70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23,786,969.44</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23,786,969.44</w:t>
            </w:r>
          </w:p>
        </w:tc>
        <w:tc>
          <w:tcPr>
            <w:tcW w:w="10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-16,639,105.44</w:t>
            </w:r>
          </w:p>
        </w:tc>
      </w:tr>
      <w:tr>
        <w:tblPrEx>
          <w:tblCellMar>
            <w:top w:w="0" w:type="dxa"/>
            <w:left w:w="28" w:type="dxa"/>
            <w:bottom w:w="0" w:type="dxa"/>
            <w:right w:w="28" w:type="dxa"/>
          </w:tblCellMar>
        </w:tblPrEx>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永城美康盛德医学检验所有限公司</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68,849,577.23</w:t>
            </w:r>
          </w:p>
        </w:tc>
        <w:tc>
          <w:tcPr>
            <w:tcW w:w="10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4,471,564.35</w:t>
            </w:r>
          </w:p>
        </w:tc>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4,471,564.35</w:t>
            </w:r>
          </w:p>
        </w:tc>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-3,988,070.93</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51,330,754.60</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2,680,286.03</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2,680,286.03</w:t>
            </w:r>
          </w:p>
        </w:tc>
        <w:tc>
          <w:tcPr>
            <w:tcW w:w="10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-4,293,861.66</w:t>
            </w:r>
          </w:p>
        </w:tc>
      </w:tr>
    </w:tbl>
    <w:p>
      <w:pPr>
        <w:pStyle w:val="14"/>
        <w:outlineLvl w:val="3"/>
        <w:rPr>
          <w:bCs w:val="0"/>
          <w:szCs w:val="24"/>
        </w:rPr>
      </w:pPr>
      <w:r>
        <w:rPr>
          <w:rFonts w:hint="eastAsia"/>
          <w:bCs w:val="0"/>
          <w:szCs w:val="24"/>
        </w:rPr>
        <w:t>（</w:t>
      </w:r>
      <w:r>
        <w:rPr>
          <w:bCs w:val="0"/>
          <w:szCs w:val="24"/>
        </w:rPr>
        <w:t>4</w:t>
      </w:r>
      <w:r>
        <w:rPr>
          <w:rFonts w:hint="eastAsia"/>
          <w:bCs w:val="0"/>
          <w:szCs w:val="24"/>
        </w:rPr>
        <w:t>）使用企业集团资产和清偿企业集团债务的重大限制</w:t>
      </w:r>
    </w:p>
    <w:p>
      <w:pPr>
        <w:pStyle w:val="14"/>
        <w:outlineLvl w:val="3"/>
        <w:rPr>
          <w:bCs w:val="0"/>
          <w:szCs w:val="24"/>
        </w:rPr>
      </w:pPr>
      <w:r>
        <w:rPr>
          <w:rFonts w:hint="eastAsia"/>
          <w:bCs w:val="0"/>
          <w:szCs w:val="24"/>
        </w:rPr>
        <w:t>（</w:t>
      </w:r>
      <w:r>
        <w:rPr>
          <w:bCs w:val="0"/>
          <w:szCs w:val="24"/>
        </w:rPr>
        <w:t>5</w:t>
      </w:r>
      <w:r>
        <w:rPr>
          <w:rFonts w:hint="eastAsia"/>
          <w:bCs w:val="0"/>
          <w:szCs w:val="24"/>
        </w:rPr>
        <w:t>）向纳入合并财务报表范围的结构化主体提供的财务支持或其他支持</w:t>
      </w:r>
    </w:p>
    <w:p>
      <w:pPr>
        <w:pStyle w:val="14"/>
        <w:outlineLvl w:val="2"/>
        <w:rPr>
          <w:bCs w:val="0"/>
          <w:szCs w:val="24"/>
        </w:rPr>
      </w:pPr>
      <w:r>
        <w:rPr>
          <w:bCs w:val="0"/>
          <w:szCs w:val="24"/>
        </w:rPr>
        <w:t>2</w:t>
      </w:r>
      <w:r>
        <w:rPr>
          <w:rFonts w:hint="eastAsia"/>
          <w:bCs w:val="0"/>
          <w:szCs w:val="24"/>
        </w:rPr>
        <w:t>、在子公司的所有者权益份额发生变化且仍控制子公司的交易</w:t>
      </w:r>
    </w:p>
    <w:p>
      <w:pPr>
        <w:pStyle w:val="14"/>
        <w:outlineLvl w:val="3"/>
        <w:rPr>
          <w:bCs w:val="0"/>
          <w:szCs w:val="24"/>
        </w:rPr>
      </w:pPr>
      <w:r>
        <w:rPr>
          <w:rFonts w:hint="eastAsia"/>
          <w:bCs w:val="0"/>
          <w:szCs w:val="24"/>
        </w:rPr>
        <w:t>（</w:t>
      </w:r>
      <w:r>
        <w:rPr>
          <w:bCs w:val="0"/>
          <w:szCs w:val="24"/>
        </w:rPr>
        <w:t>1</w:t>
      </w:r>
      <w:r>
        <w:rPr>
          <w:rFonts w:hint="eastAsia"/>
          <w:bCs w:val="0"/>
          <w:szCs w:val="24"/>
        </w:rPr>
        <w:t>）在子公司所有者权益份额发生变化的情况说明</w:t>
      </w:r>
    </w:p>
    <w:p>
      <w:pPr>
        <w:autoSpaceDE w:val="0"/>
        <w:autoSpaceDN w:val="0"/>
        <w:adjustRightInd w:val="0"/>
        <w:spacing w:before="0" w:after="0"/>
        <w:ind w:firstLine="180" w:firstLineChars="100"/>
        <w:jc w:val="left"/>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）杭州倚天及其子公司上海曼贝：</w:t>
      </w:r>
      <w:r>
        <w:rPr>
          <w:rFonts w:eastAsia="Times New Roman"/>
          <w:kern w:val="0"/>
          <w:lang w:val="zh-CN"/>
        </w:rPr>
        <w:t>2019</w:t>
      </w:r>
      <w:r>
        <w:rPr>
          <w:rFonts w:hint="eastAsia" w:ascii="宋体" w:hAnsi="宋体" w:cs="宋体"/>
          <w:kern w:val="0"/>
          <w:lang w:val="zh-CN"/>
        </w:rPr>
        <w:t>年</w:t>
      </w:r>
      <w:r>
        <w:rPr>
          <w:rFonts w:eastAsia="Times New Roman"/>
          <w:kern w:val="0"/>
          <w:lang w:val="zh-CN"/>
        </w:rPr>
        <w:t>3</w:t>
      </w:r>
      <w:r>
        <w:rPr>
          <w:rFonts w:hint="eastAsia" w:ascii="宋体" w:hAnsi="宋体" w:cs="宋体"/>
          <w:kern w:val="0"/>
          <w:lang w:val="zh-CN"/>
        </w:rPr>
        <w:t>月</w:t>
      </w:r>
      <w:r>
        <w:rPr>
          <w:rFonts w:eastAsia="Times New Roman"/>
          <w:kern w:val="0"/>
          <w:lang w:val="zh-CN"/>
        </w:rPr>
        <w:t>4</w:t>
      </w:r>
      <w:r>
        <w:rPr>
          <w:rFonts w:hint="eastAsia" w:ascii="宋体" w:hAnsi="宋体" w:cs="宋体"/>
          <w:kern w:val="0"/>
          <w:lang w:val="zh-CN"/>
        </w:rPr>
        <w:t>日，公司与美康基金及美康基金其他合伙人共同签署了《宁波美康股权投资基金合伙企业（有限合伙）之退伙协议》，同日，公司与杭州倚天、美康基金共同签署了《关于杭州倚天生物技术有限公司之股权转让协议》。以上退伙及股权转让已完成，公司由原来直接持有杭州倚天（含子公司上海曼贝）</w:t>
      </w:r>
      <w:r>
        <w:rPr>
          <w:rFonts w:eastAsia="Times New Roman"/>
          <w:kern w:val="0"/>
          <w:lang w:val="zh-CN"/>
        </w:rPr>
        <w:t>1%</w:t>
      </w:r>
      <w:r>
        <w:rPr>
          <w:rFonts w:hint="eastAsia" w:ascii="宋体" w:hAnsi="宋体" w:cs="宋体"/>
          <w:kern w:val="0"/>
          <w:lang w:val="zh-CN"/>
        </w:rPr>
        <w:t>的股权和间接持有杭州倚天（含子公司上海曼贝）</w:t>
      </w:r>
      <w:r>
        <w:rPr>
          <w:rFonts w:eastAsia="Times New Roman"/>
          <w:kern w:val="0"/>
          <w:lang w:val="zh-CN"/>
        </w:rPr>
        <w:t>66.88%</w:t>
      </w:r>
      <w:r>
        <w:rPr>
          <w:rFonts w:hint="eastAsia" w:ascii="宋体" w:hAnsi="宋体" w:cs="宋体"/>
          <w:kern w:val="0"/>
          <w:lang w:val="zh-CN"/>
        </w:rPr>
        <w:t>的股权变更为直接持有杭州倚天（含子公司上海曼贝）</w:t>
      </w:r>
      <w:r>
        <w:rPr>
          <w:rFonts w:eastAsia="Times New Roman"/>
          <w:kern w:val="0"/>
          <w:lang w:val="zh-CN"/>
        </w:rPr>
        <w:t>100%</w:t>
      </w:r>
      <w:r>
        <w:rPr>
          <w:rFonts w:hint="eastAsia" w:ascii="宋体" w:hAnsi="宋体" w:cs="宋体"/>
          <w:kern w:val="0"/>
          <w:lang w:val="zh-CN"/>
        </w:rPr>
        <w:t>的股权。详见本附注六（三）</w:t>
      </w:r>
      <w:r>
        <w:rPr>
          <w:rFonts w:eastAsia="Times New Roman"/>
          <w:kern w:val="0"/>
          <w:lang w:val="zh-CN"/>
        </w:rPr>
        <w:t>1</w:t>
      </w:r>
      <w:r>
        <w:rPr>
          <w:rFonts w:hint="eastAsia" w:ascii="宋体" w:hAnsi="宋体" w:cs="宋体"/>
          <w:kern w:val="0"/>
          <w:lang w:val="zh-CN"/>
        </w:rPr>
        <w:t>（</w:t>
      </w:r>
      <w:r>
        <w:rPr>
          <w:rFonts w:eastAsia="Times New Roman"/>
          <w:kern w:val="0"/>
          <w:lang w:val="zh-CN"/>
        </w:rPr>
        <w:t>4</w:t>
      </w:r>
      <w:r>
        <w:rPr>
          <w:rFonts w:hint="eastAsia" w:ascii="宋体" w:hAnsi="宋体" w:cs="宋体"/>
          <w:kern w:val="0"/>
          <w:lang w:val="zh-CN"/>
        </w:rPr>
        <w:t>）之说明。</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）江西美康盛德生物科技有限公司：本公司按实收资本比例享有所有者权益份额。由于各投资人出资进度的变化，公司按实收资本持股比例由持有</w:t>
      </w:r>
      <w:r>
        <w:rPr>
          <w:rFonts w:eastAsia="Times New Roman"/>
          <w:kern w:val="0"/>
          <w:lang w:val="zh-CN"/>
        </w:rPr>
        <w:t>100%</w:t>
      </w:r>
      <w:r>
        <w:rPr>
          <w:rFonts w:hint="eastAsia" w:ascii="宋体" w:hAnsi="宋体" w:cs="宋体"/>
          <w:kern w:val="0"/>
          <w:lang w:val="zh-CN"/>
        </w:rPr>
        <w:t>，，变更为直接持有</w:t>
      </w:r>
      <w:r>
        <w:rPr>
          <w:rFonts w:eastAsia="Times New Roman"/>
          <w:kern w:val="0"/>
          <w:lang w:val="zh-CN"/>
        </w:rPr>
        <w:t>82.74%</w:t>
      </w:r>
      <w:r>
        <w:rPr>
          <w:rFonts w:hint="eastAsia" w:ascii="宋体" w:hAnsi="宋体" w:cs="宋体"/>
          <w:kern w:val="0"/>
          <w:lang w:val="zh-CN"/>
        </w:rPr>
        <w:t>，通过美康生物（香港）有限公司间接持有</w:t>
      </w:r>
      <w:r>
        <w:rPr>
          <w:rFonts w:eastAsia="Times New Roman"/>
          <w:kern w:val="0"/>
          <w:lang w:val="zh-CN"/>
        </w:rPr>
        <w:t>8.80%</w:t>
      </w:r>
      <w:r>
        <w:rPr>
          <w:rFonts w:hint="eastAsia" w:ascii="宋体" w:hAnsi="宋体" w:cs="宋体"/>
          <w:kern w:val="0"/>
          <w:lang w:val="zh-CN"/>
        </w:rPr>
        <w:t>。</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）美康盛德（广西）投资有限公司：本公司按实收资本比例享有所有者权益份额。由于各投资人出资进度的变化，公司持股比例由直接持有</w:t>
      </w:r>
      <w:r>
        <w:rPr>
          <w:rFonts w:eastAsia="Times New Roman"/>
          <w:kern w:val="0"/>
          <w:lang w:val="zh-CN"/>
        </w:rPr>
        <w:t>52.13%</w:t>
      </w:r>
      <w:r>
        <w:rPr>
          <w:rFonts w:hint="eastAsia" w:ascii="宋体" w:hAnsi="宋体" w:cs="宋体"/>
          <w:kern w:val="0"/>
          <w:lang w:val="zh-CN"/>
        </w:rPr>
        <w:t>，变更为直接持有</w:t>
      </w:r>
      <w:r>
        <w:rPr>
          <w:rFonts w:eastAsia="Times New Roman"/>
          <w:kern w:val="0"/>
          <w:lang w:val="zh-CN"/>
        </w:rPr>
        <w:t>87.48%</w:t>
      </w:r>
      <w:r>
        <w:rPr>
          <w:rFonts w:hint="eastAsia" w:ascii="宋体" w:hAnsi="宋体" w:cs="宋体"/>
          <w:kern w:val="0"/>
          <w:lang w:val="zh-CN"/>
        </w:rPr>
        <w:t>。</w:t>
      </w:r>
    </w:p>
    <w:p>
      <w:pPr>
        <w:autoSpaceDE w:val="0"/>
        <w:autoSpaceDN w:val="0"/>
        <w:adjustRightInd w:val="0"/>
        <w:spacing w:before="0" w:after="0"/>
        <w:ind w:firstLine="360" w:firstLineChars="200"/>
        <w:jc w:val="left"/>
        <w:rPr>
          <w:rFonts w:eastAsia="Times New Roman"/>
          <w:kern w:val="0"/>
          <w:lang w:val="zh-CN"/>
        </w:rPr>
      </w:pPr>
    </w:p>
    <w:p>
      <w:pPr>
        <w:pStyle w:val="14"/>
        <w:outlineLvl w:val="3"/>
        <w:rPr>
          <w:bCs w:val="0"/>
          <w:szCs w:val="24"/>
        </w:rPr>
      </w:pPr>
      <w:r>
        <w:rPr>
          <w:rFonts w:hint="eastAsia"/>
          <w:bCs w:val="0"/>
          <w:szCs w:val="24"/>
        </w:rPr>
        <w:t>（</w:t>
      </w:r>
      <w:r>
        <w:rPr>
          <w:bCs w:val="0"/>
          <w:szCs w:val="24"/>
        </w:rPr>
        <w:t>2</w:t>
      </w:r>
      <w:r>
        <w:rPr>
          <w:rFonts w:hint="eastAsia"/>
          <w:bCs w:val="0"/>
          <w:szCs w:val="24"/>
        </w:rPr>
        <w:t>）交易对于少数股东权益及归属于母公司所有者权益的影响</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84"/>
        <w:gridCol w:w="4784"/>
      </w:tblGrid>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杭州倚天</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w:t>
            </w:r>
            <w:r>
              <w:rPr>
                <w:rFonts w:hint="eastAsia"/>
                <w:szCs w:val="24"/>
              </w:rPr>
              <w:t>现金</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222,436,185.70</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w:t>
            </w:r>
            <w:r>
              <w:rPr>
                <w:rFonts w:hint="eastAsia"/>
                <w:szCs w:val="24"/>
              </w:rPr>
              <w:t>非现金资产的公允价值</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67,275,923.56</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购买成本</w:t>
            </w:r>
            <w:r>
              <w:rPr>
                <w:szCs w:val="24"/>
              </w:rPr>
              <w:t>/</w:t>
            </w:r>
            <w:r>
              <w:rPr>
                <w:rFonts w:hint="eastAsia"/>
                <w:szCs w:val="24"/>
              </w:rPr>
              <w:t>处置对价合计</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289,712,109.26</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减：按取得</w:t>
            </w:r>
            <w:r>
              <w:rPr>
                <w:szCs w:val="24"/>
              </w:rPr>
              <w:t>/</w:t>
            </w:r>
            <w:r>
              <w:rPr>
                <w:rFonts w:hint="eastAsia"/>
                <w:szCs w:val="24"/>
              </w:rPr>
              <w:t>处置的股权比例计算的子公司净资产份额</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332,247,618.46</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差额</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-42,535,509.20</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其中：调整资本公积</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42,535,509.20</w:t>
            </w:r>
          </w:p>
        </w:tc>
      </w:tr>
    </w:tbl>
    <w:p>
      <w:pPr>
        <w:jc w:val="left"/>
        <w:rPr>
          <w:szCs w:val="24"/>
        </w:rPr>
      </w:pPr>
      <w:r>
        <w:rPr>
          <w:rFonts w:hint="eastAsia"/>
          <w:szCs w:val="24"/>
        </w:rPr>
        <w:t>其他说明</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减：按取得的股权比例计算的子公司净资产份额</w:t>
      </w:r>
      <w:r>
        <w:rPr>
          <w:rFonts w:eastAsia="Times New Roman"/>
          <w:kern w:val="0"/>
          <w:lang w:val="zh-CN"/>
        </w:rPr>
        <w:t xml:space="preserve">  </w:t>
      </w:r>
      <w:r>
        <w:rPr>
          <w:rFonts w:hint="eastAsia" w:ascii="宋体" w:hAnsi="宋体" w:cs="宋体"/>
          <w:kern w:val="0"/>
          <w:lang w:val="zh-CN"/>
        </w:rPr>
        <w:t>中包含了减按取得的股权比例计算的子公司商誉比例</w:t>
      </w:r>
      <w:r>
        <w:rPr>
          <w:rFonts w:eastAsia="Times New Roman"/>
          <w:kern w:val="0"/>
          <w:lang w:val="zh-CN"/>
        </w:rPr>
        <w:t>216,873,307.97</w:t>
      </w:r>
      <w:r>
        <w:rPr>
          <w:rFonts w:hint="eastAsia" w:ascii="宋体" w:hAnsi="宋体" w:cs="宋体"/>
          <w:kern w:val="0"/>
          <w:lang w:val="zh-CN"/>
        </w:rPr>
        <w:t>。</w:t>
      </w:r>
    </w:p>
    <w:p>
      <w:pPr>
        <w:autoSpaceDE w:val="0"/>
        <w:autoSpaceDN w:val="0"/>
        <w:adjustRightInd w:val="0"/>
        <w:spacing w:before="0" w:after="0"/>
        <w:jc w:val="left"/>
        <w:rPr>
          <w:rFonts w:eastAsia="Times New Roman"/>
          <w:kern w:val="0"/>
          <w:sz w:val="21"/>
          <w:szCs w:val="24"/>
          <w:lang w:val="zh-CN"/>
        </w:rPr>
      </w:pPr>
    </w:p>
    <w:p>
      <w:pPr>
        <w:pStyle w:val="14"/>
        <w:outlineLvl w:val="2"/>
        <w:rPr>
          <w:bCs w:val="0"/>
          <w:szCs w:val="24"/>
        </w:rPr>
      </w:pPr>
      <w:r>
        <w:rPr>
          <w:bCs w:val="0"/>
          <w:szCs w:val="24"/>
        </w:rPr>
        <w:t>3</w:t>
      </w:r>
      <w:r>
        <w:rPr>
          <w:rFonts w:hint="eastAsia"/>
          <w:bCs w:val="0"/>
          <w:szCs w:val="24"/>
        </w:rPr>
        <w:t>、在合营安排或联营企业中的权益</w:t>
      </w:r>
    </w:p>
    <w:p>
      <w:pPr>
        <w:pStyle w:val="14"/>
        <w:outlineLvl w:val="3"/>
        <w:rPr>
          <w:bCs w:val="0"/>
          <w:szCs w:val="24"/>
        </w:rPr>
      </w:pPr>
      <w:r>
        <w:rPr>
          <w:rFonts w:hint="eastAsia"/>
          <w:bCs w:val="0"/>
          <w:szCs w:val="24"/>
        </w:rPr>
        <w:t>（</w:t>
      </w:r>
      <w:r>
        <w:rPr>
          <w:bCs w:val="0"/>
          <w:szCs w:val="24"/>
        </w:rPr>
        <w:t>1</w:t>
      </w:r>
      <w:r>
        <w:rPr>
          <w:rFonts w:hint="eastAsia"/>
          <w:bCs w:val="0"/>
          <w:szCs w:val="24"/>
        </w:rPr>
        <w:t>）重要的合营企业或联营企业</w:t>
      </w:r>
    </w:p>
    <w:tbl>
      <w:tblPr>
        <w:tblStyle w:val="9"/>
        <w:tblW w:w="0" w:type="auto"/>
        <w:tblInd w:w="28" w:type="dxa"/>
        <w:tblLayout w:type="fixed"/>
        <w:tblCellMar>
          <w:top w:w="0" w:type="dxa"/>
          <w:left w:w="28" w:type="dxa"/>
          <w:bottom w:w="0" w:type="dxa"/>
          <w:right w:w="28" w:type="dxa"/>
        </w:tblCellMar>
      </w:tblPr>
      <w:tblGrid>
        <w:gridCol w:w="1371"/>
        <w:gridCol w:w="1367"/>
        <w:gridCol w:w="1367"/>
        <w:gridCol w:w="1367"/>
        <w:gridCol w:w="1367"/>
        <w:gridCol w:w="1366"/>
        <w:gridCol w:w="1366"/>
      </w:tblGrid>
      <w:tr>
        <w:tblPrEx>
          <w:tblCellMar>
            <w:top w:w="0" w:type="dxa"/>
            <w:left w:w="28" w:type="dxa"/>
            <w:bottom w:w="0" w:type="dxa"/>
            <w:right w:w="28" w:type="dxa"/>
          </w:tblCellMar>
        </w:tblPrEx>
        <w:tc>
          <w:tcPr>
            <w:tcW w:w="1371"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合营企业或联营企业名称</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主要经营地</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注册地</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业务性质</w:t>
            </w:r>
          </w:p>
        </w:tc>
        <w:tc>
          <w:tcPr>
            <w:tcW w:w="2733"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持股比例</w:t>
            </w:r>
          </w:p>
        </w:tc>
        <w:tc>
          <w:tcPr>
            <w:tcW w:w="136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对合营企业或联营企业投资的会计处理方法</w:t>
            </w:r>
          </w:p>
        </w:tc>
      </w:tr>
      <w:tr>
        <w:tblPrEx>
          <w:tblCellMar>
            <w:top w:w="0" w:type="dxa"/>
            <w:left w:w="28" w:type="dxa"/>
            <w:bottom w:w="0" w:type="dxa"/>
            <w:right w:w="28" w:type="dxa"/>
          </w:tblCellMar>
        </w:tblPrEx>
        <w:tc>
          <w:tcPr>
            <w:tcW w:w="1371"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直接</w:t>
            </w:r>
          </w:p>
        </w:tc>
        <w:tc>
          <w:tcPr>
            <w:tcW w:w="136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间接</w:t>
            </w:r>
          </w:p>
        </w:tc>
        <w:tc>
          <w:tcPr>
            <w:tcW w:w="136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上海日和贸易有限公司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权益法</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山东日和贸易有限公司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济南</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济南</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权益法</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南京三和仪器有限公司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南京</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南京</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权益法</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安徽省三和医疗仪器有限公司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合肥</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合肥</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权益法</w:t>
            </w:r>
          </w:p>
        </w:tc>
      </w:tr>
      <w:tr>
        <w:tblPrEx>
          <w:tblCellMar>
            <w:top w:w="0" w:type="dxa"/>
            <w:left w:w="28" w:type="dxa"/>
            <w:bottom w:w="0" w:type="dxa"/>
            <w:right w:w="28" w:type="dxa"/>
          </w:tblCellMar>
        </w:tblPrEx>
        <w:tc>
          <w:tcPr>
            <w:tcW w:w="137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重庆和盛医疗器械有限公司</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医疗器械</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w:t>
            </w: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权益法</w:t>
            </w:r>
          </w:p>
        </w:tc>
      </w:tr>
    </w:tbl>
    <w:p>
      <w:pPr>
        <w:jc w:val="left"/>
        <w:rPr>
          <w:szCs w:val="24"/>
        </w:rPr>
      </w:pPr>
      <w:r>
        <w:rPr>
          <w:rFonts w:hint="eastAsia"/>
          <w:szCs w:val="24"/>
        </w:rPr>
        <w:t>在合营企业或联营企业的持股比例不同于表决权比例的说明：</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本公司分别持有深圳市帝迈生物技术有限公司、浙江美康网新云健康科技股份有限公司、浙江汉库健康科技有限公司、杭州卓腾信息技术有限公司、浙江云瞰医疗科技有限公司</w:t>
      </w:r>
      <w:r>
        <w:rPr>
          <w:rFonts w:eastAsia="Times New Roman"/>
          <w:kern w:val="0"/>
          <w:lang w:val="zh-CN"/>
        </w:rPr>
        <w:t>11.20%</w:t>
      </w:r>
      <w:r>
        <w:rPr>
          <w:rFonts w:hint="eastAsia" w:ascii="宋体" w:hAnsi="宋体" w:cs="宋体"/>
          <w:kern w:val="0"/>
          <w:lang w:val="zh-CN"/>
        </w:rPr>
        <w:t>、</w:t>
      </w:r>
      <w:r>
        <w:rPr>
          <w:rFonts w:eastAsia="Times New Roman"/>
          <w:kern w:val="0"/>
          <w:lang w:val="zh-CN"/>
        </w:rPr>
        <w:t>15.00%</w:t>
      </w:r>
      <w:r>
        <w:rPr>
          <w:rFonts w:hint="eastAsia" w:ascii="宋体" w:hAnsi="宋体" w:cs="宋体"/>
          <w:kern w:val="0"/>
          <w:lang w:val="zh-CN"/>
        </w:rPr>
        <w:t>、</w:t>
      </w:r>
      <w:r>
        <w:rPr>
          <w:rFonts w:eastAsia="Times New Roman"/>
          <w:kern w:val="0"/>
          <w:lang w:val="zh-CN"/>
        </w:rPr>
        <w:t>8.00%</w:t>
      </w:r>
      <w:r>
        <w:rPr>
          <w:rFonts w:hint="eastAsia" w:ascii="宋体" w:hAnsi="宋体" w:cs="宋体"/>
          <w:kern w:val="0"/>
          <w:lang w:val="zh-CN"/>
        </w:rPr>
        <w:t>、</w:t>
      </w:r>
      <w:r>
        <w:rPr>
          <w:rFonts w:eastAsia="Times New Roman"/>
          <w:kern w:val="0"/>
          <w:lang w:val="zh-CN"/>
        </w:rPr>
        <w:t>11.11%</w:t>
      </w:r>
      <w:r>
        <w:rPr>
          <w:rFonts w:hint="eastAsia" w:ascii="宋体" w:hAnsi="宋体" w:cs="宋体"/>
          <w:kern w:val="0"/>
          <w:lang w:val="zh-CN"/>
        </w:rPr>
        <w:t>和</w:t>
      </w:r>
      <w:r>
        <w:rPr>
          <w:rFonts w:eastAsia="Times New Roman"/>
          <w:kern w:val="0"/>
          <w:lang w:val="zh-CN"/>
        </w:rPr>
        <w:t>15.00%</w:t>
      </w:r>
      <w:r>
        <w:rPr>
          <w:rFonts w:hint="eastAsia" w:ascii="宋体" w:hAnsi="宋体" w:cs="宋体"/>
          <w:kern w:val="0"/>
          <w:lang w:val="zh-CN"/>
        </w:rPr>
        <w:t>的股份比例，由于本公司在以上公司派驻董事，能够参与经营决策，故具有重大影响。</w:t>
      </w:r>
    </w:p>
    <w:p>
      <w:pPr>
        <w:pStyle w:val="14"/>
        <w:outlineLvl w:val="3"/>
        <w:rPr>
          <w:bCs w:val="0"/>
          <w:szCs w:val="24"/>
        </w:rPr>
      </w:pPr>
      <w:r>
        <w:rPr>
          <w:rFonts w:hint="eastAsia"/>
          <w:bCs w:val="0"/>
          <w:szCs w:val="24"/>
        </w:rPr>
        <w:t>（</w:t>
      </w:r>
      <w:r>
        <w:rPr>
          <w:bCs w:val="0"/>
          <w:szCs w:val="24"/>
        </w:rPr>
        <w:t>2</w:t>
      </w:r>
      <w:r>
        <w:rPr>
          <w:rFonts w:hint="eastAsia"/>
          <w:bCs w:val="0"/>
          <w:szCs w:val="24"/>
        </w:rPr>
        <w:t>）重要合营企业的主要财务信息</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90"/>
        <w:gridCol w:w="3190"/>
        <w:gridCol w:w="3190"/>
      </w:tblGrid>
      <w:tr>
        <w:tblPrEx>
          <w:tblCellMar>
            <w:top w:w="0" w:type="dxa"/>
            <w:left w:w="28" w:type="dxa"/>
            <w:bottom w:w="0" w:type="dxa"/>
            <w:right w:w="28" w:type="dxa"/>
          </w:tblCellMar>
        </w:tblPrEx>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r>
              <w:rPr>
                <w:szCs w:val="24"/>
              </w:rPr>
              <w:t>/</w:t>
            </w:r>
            <w:r>
              <w:rPr>
                <w:rFonts w:hint="eastAsia"/>
                <w:szCs w:val="24"/>
              </w:rPr>
              <w:t>本期发生额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r>
              <w:rPr>
                <w:szCs w:val="24"/>
              </w:rPr>
              <w:t>/</w:t>
            </w:r>
            <w:r>
              <w:rPr>
                <w:rFonts w:hint="eastAsia"/>
                <w:szCs w:val="24"/>
              </w:rPr>
              <w:t>上期发生额</w:t>
            </w:r>
          </w:p>
        </w:tc>
      </w:tr>
      <w:tr>
        <w:tblPrEx>
          <w:tblCellMar>
            <w:top w:w="0" w:type="dxa"/>
            <w:left w:w="28" w:type="dxa"/>
            <w:bottom w:w="0" w:type="dxa"/>
            <w:right w:w="28" w:type="dxa"/>
          </w:tblCellMar>
        </w:tblPrEx>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r>
    </w:tbl>
    <w:p>
      <w:pPr>
        <w:pStyle w:val="14"/>
        <w:outlineLvl w:val="3"/>
        <w:rPr>
          <w:bCs w:val="0"/>
          <w:szCs w:val="24"/>
        </w:rPr>
      </w:pPr>
      <w:r>
        <w:rPr>
          <w:rFonts w:hint="eastAsia"/>
          <w:bCs w:val="0"/>
          <w:szCs w:val="24"/>
        </w:rPr>
        <w:t>（</w:t>
      </w:r>
      <w:r>
        <w:rPr>
          <w:bCs w:val="0"/>
          <w:szCs w:val="24"/>
        </w:rPr>
        <w:t>3</w:t>
      </w:r>
      <w:r>
        <w:rPr>
          <w:rFonts w:hint="eastAsia"/>
          <w:bCs w:val="0"/>
          <w:szCs w:val="24"/>
        </w:rPr>
        <w:t>）重要联营企业的主要财务信息</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869"/>
        <w:gridCol w:w="869"/>
        <w:gridCol w:w="869"/>
        <w:gridCol w:w="869"/>
        <w:gridCol w:w="869"/>
        <w:gridCol w:w="869"/>
        <w:gridCol w:w="869"/>
        <w:gridCol w:w="869"/>
        <w:gridCol w:w="869"/>
        <w:gridCol w:w="869"/>
        <w:gridCol w:w="869"/>
      </w:tblGrid>
      <w:tr>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4345" w:type="dxa"/>
            <w:gridSpan w:val="5"/>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r>
              <w:rPr>
                <w:szCs w:val="24"/>
              </w:rPr>
              <w:t>/</w:t>
            </w:r>
            <w:r>
              <w:rPr>
                <w:rFonts w:hint="eastAsia"/>
                <w:szCs w:val="24"/>
              </w:rPr>
              <w:t>本期发生额</w:t>
            </w:r>
          </w:p>
        </w:tc>
        <w:tc>
          <w:tcPr>
            <w:tcW w:w="4345" w:type="dxa"/>
            <w:gridSpan w:val="5"/>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r>
              <w:rPr>
                <w:szCs w:val="24"/>
              </w:rPr>
              <w:t>/</w:t>
            </w:r>
            <w:r>
              <w:rPr>
                <w:rFonts w:hint="eastAsia"/>
                <w:szCs w:val="24"/>
              </w:rPr>
              <w:t>上期发生额</w:t>
            </w:r>
          </w:p>
        </w:tc>
      </w:tr>
      <w:tr>
        <w:tblPrEx>
          <w:tblCellMar>
            <w:top w:w="0" w:type="dxa"/>
            <w:left w:w="28" w:type="dxa"/>
            <w:bottom w:w="0" w:type="dxa"/>
            <w:right w:w="28" w:type="dxa"/>
          </w:tblCellMar>
        </w:tblPrEx>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重庆和盛医疗器械有限公司</w:t>
            </w:r>
          </w:p>
        </w:tc>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上海日和贸易有限公司</w:t>
            </w:r>
          </w:p>
        </w:tc>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山东日和贸易有限公司</w:t>
            </w:r>
          </w:p>
        </w:tc>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南京三和仪器有限公司</w:t>
            </w:r>
          </w:p>
        </w:tc>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安徽省三和医疗仪器有限公司</w:t>
            </w:r>
          </w:p>
        </w:tc>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重庆和盛医疗器械有限公司</w:t>
            </w:r>
          </w:p>
        </w:tc>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上海日和贸易有限公司</w:t>
            </w:r>
          </w:p>
        </w:tc>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山东日和贸易有限公司</w:t>
            </w:r>
          </w:p>
        </w:tc>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南京三和仪器有限公司</w:t>
            </w:r>
          </w:p>
        </w:tc>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安徽省三和医疗仪器有限公司</w:t>
            </w:r>
          </w:p>
        </w:tc>
      </w:tr>
      <w:tr>
        <w:tblPrEx>
          <w:tblCellMar>
            <w:top w:w="0" w:type="dxa"/>
            <w:left w:w="28" w:type="dxa"/>
            <w:bottom w:w="0" w:type="dxa"/>
            <w:right w:w="28" w:type="dxa"/>
          </w:tblCellMar>
        </w:tblPrEx>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流动资产</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156,384,914.10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69,250,822.72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39,278,627.42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76,263,356.62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56,779,468.25</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70,524,481.36</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38,957,541.40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69,027,494.63</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35,361,920.83</w:t>
            </w:r>
          </w:p>
        </w:tc>
      </w:tr>
      <w:tr>
        <w:tblPrEx>
          <w:tblCellMar>
            <w:top w:w="0" w:type="dxa"/>
            <w:left w:w="28" w:type="dxa"/>
            <w:bottom w:w="0" w:type="dxa"/>
            <w:right w:w="28" w:type="dxa"/>
          </w:tblCellMar>
        </w:tblPrEx>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非流动资产</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10,104,332.22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10,297,318.16</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1,361,496.67</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1,079,178.33</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5,840,538.97</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9,987,298.12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2,137,396.02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1,029,777.75</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8,307,969.66</w:t>
            </w:r>
          </w:p>
        </w:tc>
      </w:tr>
      <w:tr>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资产合计</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166,489,246.32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79,548,140.88</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40,640,124.09</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77,342,534.95</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62,620,007.22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80,511,779.48</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41,094,937.42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70,057,272.38</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43,669,890.49</w:t>
            </w:r>
          </w:p>
        </w:tc>
      </w:tr>
      <w:tr>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流动负债</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120,927,613.45</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23,661,710.12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11,975,195.94</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28,895,579.01</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33,515,841.94</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16,941,507.13</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7,461,383.39</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15,475,361.60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20,941,514.91</w:t>
            </w:r>
          </w:p>
        </w:tc>
      </w:tr>
      <w:tr>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负债合计</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120,927,613.45</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23,661,710.12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11,975,195.94</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28,895,579.01</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33,515,841.94</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16,941,507.13</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7,461,383.39</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15,475,361.60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20,941,514.91</w:t>
            </w:r>
          </w:p>
        </w:tc>
      </w:tr>
      <w:tr>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归属于母公司股东权益</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45,561,632.87</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55,886,430.76</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28,664,928.15</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48,446,955.94</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29,104,165.28</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63,570,272.35</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33,633,554.03</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54,581,910.78</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22,728,375.58</w:t>
            </w:r>
          </w:p>
        </w:tc>
      </w:tr>
      <w:tr>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按持股比例计算的净资产份额</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13,668,489.86</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16,765,929.23</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8,599,478.45</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14,534,086.78</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8,731,249.58</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19,071,081.71</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10,090,066.21</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16,374,573.23</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6,818,512.67</w:t>
            </w:r>
          </w:p>
        </w:tc>
      </w:tr>
      <w:tr>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w:t>
            </w:r>
            <w:r>
              <w:rPr>
                <w:rFonts w:hint="eastAsia"/>
                <w:szCs w:val="24"/>
              </w:rPr>
              <w:t>商誉</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42,852,098.87</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36,310,747.42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20,436,819.52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29,225,773.40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14,506,773.25</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36,310,747.42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20,436,819.52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29,225,773.40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14,506,773.25</w:t>
            </w:r>
          </w:p>
        </w:tc>
      </w:tr>
      <w:tr>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w:t>
            </w:r>
            <w:r>
              <w:rPr>
                <w:rFonts w:hint="eastAsia"/>
                <w:szCs w:val="24"/>
              </w:rPr>
              <w:t>其他</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1,910,209.87</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2,091,029.54</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4,552,401.88</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868,734.66</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1,910,209.86</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2,091,029.54</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4,552,401.88</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868,734.66</w:t>
            </w:r>
          </w:p>
        </w:tc>
      </w:tr>
      <w:tr>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对联营企业权益投资的账面价值</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56,520,588.73</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w:t>
            </w:r>
            <w:r>
              <w:rPr>
                <w:rFonts w:hint="eastAsia"/>
                <w:szCs w:val="24"/>
              </w:rPr>
              <w:t>,9</w:t>
            </w:r>
            <w:r>
              <w:rPr>
                <w:szCs w:val="24"/>
              </w:rPr>
              <w:t>86</w:t>
            </w:r>
            <w:r>
              <w:rPr>
                <w:rFonts w:hint="eastAsia"/>
                <w:szCs w:val="24"/>
              </w:rPr>
              <w:t>,8</w:t>
            </w:r>
            <w:r>
              <w:rPr>
                <w:szCs w:val="24"/>
              </w:rPr>
              <w:t>86.52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31,127,327.51</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48,312,262.06</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24,106,757.49</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57,292,038.99</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32,617,915.27</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50,152,748.51</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22,194,020.58</w:t>
            </w:r>
          </w:p>
        </w:tc>
      </w:tr>
      <w:tr>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营业收入</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204,783,144.23</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79,872,715.87</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70,088,125.98</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84,426,670.76</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83,665,540.79</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70,562,448.34</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77,376,752.11</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76,879,472.65</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51,293,053.55</w:t>
            </w:r>
          </w:p>
        </w:tc>
      </w:tr>
      <w:tr>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净利润</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34,433,844.75</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20,351,294.58</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8,098,151.13</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17,406,000.55</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14,353,558.70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17,606,097.08</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8,756,285.78</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12,496,564.60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5,984,286.42</w:t>
            </w:r>
          </w:p>
        </w:tc>
      </w:tr>
      <w:tr>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综合收益总额</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34,433,844.75</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20,351,294.58</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8,098,151.13</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17,406,000.55</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14,353,558.70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17,606,097.08</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8,756,285.78</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12,496,564.60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5,984,286.42</w:t>
            </w:r>
          </w:p>
        </w:tc>
      </w:tr>
      <w:tr>
        <w:tc>
          <w:tcPr>
            <w:tcW w:w="86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本年度收到的来自联营企业的股利</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44,370,000.00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8,410,540.85</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3,920,033.10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7,062,286.62</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2,393,330.70</w:t>
            </w: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86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bl>
    <w:p>
      <w:pPr>
        <w:jc w:val="left"/>
        <w:rPr>
          <w:szCs w:val="24"/>
        </w:rPr>
      </w:pPr>
      <w:r>
        <w:rPr>
          <w:rFonts w:hint="eastAsia"/>
          <w:szCs w:val="24"/>
        </w:rPr>
        <w:t>其他说明</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注：重庆和盛医疗器械有限公司于</w:t>
      </w:r>
      <w:r>
        <w:rPr>
          <w:rFonts w:eastAsia="Times New Roman"/>
          <w:kern w:val="0"/>
          <w:lang w:val="zh-CN"/>
        </w:rPr>
        <w:t>2019</w:t>
      </w:r>
      <w:r>
        <w:rPr>
          <w:rFonts w:hint="eastAsia" w:ascii="宋体" w:hAnsi="宋体" w:cs="宋体"/>
          <w:kern w:val="0"/>
          <w:lang w:val="zh-CN"/>
        </w:rPr>
        <w:t>年</w:t>
      </w:r>
      <w:r>
        <w:rPr>
          <w:rFonts w:eastAsia="Times New Roman"/>
          <w:kern w:val="0"/>
          <w:lang w:val="zh-CN"/>
        </w:rPr>
        <w:t>9</w:t>
      </w:r>
      <w:r>
        <w:rPr>
          <w:rFonts w:hint="eastAsia" w:ascii="宋体" w:hAnsi="宋体" w:cs="宋体"/>
          <w:kern w:val="0"/>
          <w:lang w:val="zh-CN"/>
        </w:rPr>
        <w:t>月</w:t>
      </w:r>
      <w:r>
        <w:rPr>
          <w:rFonts w:eastAsia="Times New Roman"/>
          <w:kern w:val="0"/>
          <w:lang w:val="zh-CN"/>
        </w:rPr>
        <w:t>10</w:t>
      </w:r>
      <w:r>
        <w:rPr>
          <w:rFonts w:hint="eastAsia" w:ascii="宋体" w:hAnsi="宋体" w:cs="宋体"/>
          <w:kern w:val="0"/>
          <w:lang w:val="zh-CN"/>
        </w:rPr>
        <w:t>日作出利润分配的股东会决议，本公司应收股利</w:t>
      </w:r>
      <w:r>
        <w:rPr>
          <w:rFonts w:eastAsia="Times New Roman"/>
          <w:kern w:val="0"/>
          <w:lang w:val="zh-CN"/>
        </w:rPr>
        <w:t>44,370,000.00</w:t>
      </w:r>
      <w:r>
        <w:rPr>
          <w:rFonts w:hint="eastAsia" w:ascii="宋体" w:hAnsi="宋体" w:cs="宋体"/>
          <w:kern w:val="0"/>
          <w:lang w:val="zh-CN"/>
        </w:rPr>
        <w:t>元，截至</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日，相关股利尚未收到。</w:t>
      </w:r>
    </w:p>
    <w:p>
      <w:pPr>
        <w:autoSpaceDE w:val="0"/>
        <w:autoSpaceDN w:val="0"/>
        <w:adjustRightInd w:val="0"/>
        <w:spacing w:before="0" w:after="0"/>
        <w:ind w:firstLine="360" w:firstLineChars="200"/>
        <w:jc w:val="left"/>
        <w:rPr>
          <w:rFonts w:eastAsia="Times New Roman"/>
          <w:kern w:val="0"/>
          <w:lang w:val="zh-CN"/>
        </w:rPr>
      </w:pPr>
    </w:p>
    <w:p>
      <w:pPr>
        <w:pStyle w:val="14"/>
        <w:outlineLvl w:val="3"/>
        <w:rPr>
          <w:bCs w:val="0"/>
          <w:szCs w:val="24"/>
        </w:rPr>
      </w:pPr>
      <w:r>
        <w:rPr>
          <w:rFonts w:hint="eastAsia"/>
          <w:bCs w:val="0"/>
          <w:szCs w:val="24"/>
        </w:rPr>
        <w:t>（</w:t>
      </w:r>
      <w:r>
        <w:rPr>
          <w:bCs w:val="0"/>
          <w:szCs w:val="24"/>
        </w:rPr>
        <w:t>4</w:t>
      </w:r>
      <w:r>
        <w:rPr>
          <w:rFonts w:hint="eastAsia"/>
          <w:bCs w:val="0"/>
          <w:szCs w:val="24"/>
        </w:rPr>
        <w:t>）不重要的合营企业和联营企业的汇总财务信息</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324"/>
        <w:gridCol w:w="3059"/>
        <w:gridCol w:w="3186"/>
      </w:tblGrid>
      <w:tr>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305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r>
              <w:rPr>
                <w:szCs w:val="24"/>
              </w:rPr>
              <w:t>/</w:t>
            </w:r>
            <w:r>
              <w:rPr>
                <w:rFonts w:hint="eastAsia"/>
                <w:szCs w:val="24"/>
              </w:rPr>
              <w:t>本期发生额</w:t>
            </w:r>
          </w:p>
        </w:tc>
        <w:tc>
          <w:tcPr>
            <w:tcW w:w="318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r>
              <w:rPr>
                <w:szCs w:val="24"/>
              </w:rPr>
              <w:t>/</w:t>
            </w:r>
            <w:r>
              <w:rPr>
                <w:rFonts w:hint="eastAsia"/>
                <w:szCs w:val="24"/>
              </w:rPr>
              <w:t>上期发生额</w:t>
            </w:r>
          </w:p>
        </w:tc>
      </w:tr>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合营企业：</w:t>
            </w:r>
          </w:p>
        </w:tc>
        <w:tc>
          <w:tcPr>
            <w:tcW w:w="305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318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投资账面价值合计</w:t>
            </w:r>
          </w:p>
        </w:tc>
        <w:tc>
          <w:tcPr>
            <w:tcW w:w="3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103,832,759.96</w:t>
            </w:r>
          </w:p>
        </w:tc>
        <w:tc>
          <w:tcPr>
            <w:tcW w:w="31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46,321,169.79</w:t>
            </w:r>
          </w:p>
        </w:tc>
      </w:tr>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下列各项按持股比例计算的合计数</w:t>
            </w:r>
          </w:p>
        </w:tc>
        <w:tc>
          <w:tcPr>
            <w:tcW w:w="305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318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w:t>
            </w:r>
            <w:r>
              <w:rPr>
                <w:rFonts w:hint="eastAsia"/>
                <w:szCs w:val="24"/>
              </w:rPr>
              <w:t>净利润</w:t>
            </w:r>
          </w:p>
        </w:tc>
        <w:tc>
          <w:tcPr>
            <w:tcW w:w="3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-5,625,062.29</w:t>
            </w:r>
          </w:p>
        </w:tc>
        <w:tc>
          <w:tcPr>
            <w:tcW w:w="31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-10,592,587.89</w:t>
            </w:r>
          </w:p>
        </w:tc>
      </w:tr>
      <w:tr>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w:t>
            </w:r>
            <w:r>
              <w:rPr>
                <w:rFonts w:hint="eastAsia"/>
                <w:szCs w:val="24"/>
              </w:rPr>
              <w:t>综合收益总额</w:t>
            </w:r>
          </w:p>
        </w:tc>
        <w:tc>
          <w:tcPr>
            <w:tcW w:w="3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-5,625,062.29</w:t>
            </w:r>
          </w:p>
        </w:tc>
        <w:tc>
          <w:tcPr>
            <w:tcW w:w="31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-10,592,587.89</w:t>
            </w:r>
          </w:p>
        </w:tc>
      </w:tr>
      <w:tr>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联营企业：</w:t>
            </w:r>
          </w:p>
        </w:tc>
        <w:tc>
          <w:tcPr>
            <w:tcW w:w="305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318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下列各项按持股比例计算的合计数</w:t>
            </w:r>
          </w:p>
        </w:tc>
        <w:tc>
          <w:tcPr>
            <w:tcW w:w="305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318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pStyle w:val="14"/>
        <w:outlineLvl w:val="3"/>
        <w:rPr>
          <w:bCs w:val="0"/>
          <w:szCs w:val="24"/>
        </w:rPr>
      </w:pPr>
      <w:r>
        <w:rPr>
          <w:rFonts w:hint="eastAsia"/>
          <w:bCs w:val="0"/>
          <w:szCs w:val="24"/>
        </w:rPr>
        <w:t>（</w:t>
      </w:r>
      <w:r>
        <w:rPr>
          <w:bCs w:val="0"/>
          <w:szCs w:val="24"/>
        </w:rPr>
        <w:t>5</w:t>
      </w:r>
      <w:r>
        <w:rPr>
          <w:rFonts w:hint="eastAsia"/>
          <w:bCs w:val="0"/>
          <w:szCs w:val="24"/>
        </w:rPr>
        <w:t>）合营企业或联营企业向本公司转移资金的能力存在重大限制的说明</w:t>
      </w:r>
    </w:p>
    <w:p>
      <w:pPr>
        <w:pStyle w:val="14"/>
        <w:outlineLvl w:val="3"/>
        <w:rPr>
          <w:bCs w:val="0"/>
          <w:szCs w:val="24"/>
        </w:rPr>
      </w:pPr>
      <w:r>
        <w:rPr>
          <w:rFonts w:hint="eastAsia"/>
          <w:bCs w:val="0"/>
          <w:szCs w:val="24"/>
        </w:rPr>
        <w:t>（</w:t>
      </w:r>
      <w:r>
        <w:rPr>
          <w:bCs w:val="0"/>
          <w:szCs w:val="24"/>
        </w:rPr>
        <w:t>6</w:t>
      </w:r>
      <w:r>
        <w:rPr>
          <w:rFonts w:hint="eastAsia"/>
          <w:bCs w:val="0"/>
          <w:szCs w:val="24"/>
        </w:rPr>
        <w:t>）合营企业或联营企业发生的超额亏损</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90"/>
        <w:gridCol w:w="2392"/>
        <w:gridCol w:w="2392"/>
        <w:gridCol w:w="2394"/>
      </w:tblGrid>
      <w:tr>
        <w:tc>
          <w:tcPr>
            <w:tcW w:w="23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合营企业或联营企业名称</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累积未确认前期累计认的损失</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本期未确认的损失（或本期分享的净利润）</w:t>
            </w:r>
          </w:p>
        </w:tc>
        <w:tc>
          <w:tcPr>
            <w:tcW w:w="23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本期末累积未确认的损失</w:t>
            </w:r>
          </w:p>
        </w:tc>
      </w:tr>
    </w:tbl>
    <w:p>
      <w:pPr>
        <w:pStyle w:val="14"/>
        <w:outlineLvl w:val="3"/>
        <w:rPr>
          <w:bCs w:val="0"/>
          <w:szCs w:val="24"/>
        </w:rPr>
      </w:pPr>
      <w:r>
        <w:rPr>
          <w:rFonts w:hint="eastAsia"/>
          <w:bCs w:val="0"/>
          <w:szCs w:val="24"/>
        </w:rPr>
        <w:t>（</w:t>
      </w:r>
      <w:r>
        <w:rPr>
          <w:bCs w:val="0"/>
          <w:szCs w:val="24"/>
        </w:rPr>
        <w:t>7</w:t>
      </w:r>
      <w:r>
        <w:rPr>
          <w:rFonts w:hint="eastAsia"/>
          <w:bCs w:val="0"/>
          <w:szCs w:val="24"/>
        </w:rPr>
        <w:t>）与合营企业投资相关的未确认承诺</w:t>
      </w:r>
    </w:p>
    <w:p>
      <w:pPr>
        <w:pStyle w:val="14"/>
        <w:outlineLvl w:val="3"/>
        <w:rPr>
          <w:bCs w:val="0"/>
          <w:szCs w:val="24"/>
        </w:rPr>
      </w:pPr>
      <w:r>
        <w:rPr>
          <w:rFonts w:hint="eastAsia"/>
          <w:bCs w:val="0"/>
          <w:szCs w:val="24"/>
        </w:rPr>
        <w:t>（</w:t>
      </w:r>
      <w:r>
        <w:rPr>
          <w:bCs w:val="0"/>
          <w:szCs w:val="24"/>
        </w:rPr>
        <w:t>8</w:t>
      </w:r>
      <w:r>
        <w:rPr>
          <w:rFonts w:hint="eastAsia"/>
          <w:bCs w:val="0"/>
          <w:szCs w:val="24"/>
        </w:rPr>
        <w:t>）与合营企业或联营企业投资相关的或有负债</w:t>
      </w:r>
    </w:p>
    <w:p>
      <w:pPr>
        <w:pStyle w:val="14"/>
        <w:outlineLvl w:val="2"/>
        <w:rPr>
          <w:bCs w:val="0"/>
          <w:szCs w:val="24"/>
        </w:rPr>
      </w:pPr>
      <w:r>
        <w:rPr>
          <w:bCs w:val="0"/>
          <w:szCs w:val="24"/>
        </w:rPr>
        <w:t>4</w:t>
      </w:r>
      <w:r>
        <w:rPr>
          <w:rFonts w:hint="eastAsia"/>
          <w:bCs w:val="0"/>
          <w:szCs w:val="24"/>
        </w:rPr>
        <w:t>、重要的共同经营</w:t>
      </w:r>
    </w:p>
    <w:tbl>
      <w:tblPr>
        <w:tblStyle w:val="9"/>
        <w:tblW w:w="0" w:type="auto"/>
        <w:tblInd w:w="28" w:type="dxa"/>
        <w:tblLayout w:type="fixed"/>
        <w:tblCellMar>
          <w:top w:w="0" w:type="dxa"/>
          <w:left w:w="28" w:type="dxa"/>
          <w:bottom w:w="0" w:type="dxa"/>
          <w:right w:w="28" w:type="dxa"/>
        </w:tblCellMar>
      </w:tblPr>
      <w:tblGrid>
        <w:gridCol w:w="1597"/>
        <w:gridCol w:w="1594"/>
        <w:gridCol w:w="1594"/>
        <w:gridCol w:w="1594"/>
        <w:gridCol w:w="1594"/>
        <w:gridCol w:w="1593"/>
      </w:tblGrid>
      <w:tr>
        <w:tblPrEx>
          <w:tblCellMar>
            <w:top w:w="0" w:type="dxa"/>
            <w:left w:w="28" w:type="dxa"/>
            <w:bottom w:w="0" w:type="dxa"/>
            <w:right w:w="28" w:type="dxa"/>
          </w:tblCellMar>
        </w:tblPrEx>
        <w:tc>
          <w:tcPr>
            <w:tcW w:w="159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共同经营名称</w:t>
            </w:r>
          </w:p>
        </w:tc>
        <w:tc>
          <w:tcPr>
            <w:tcW w:w="159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主要经营地</w:t>
            </w:r>
          </w:p>
        </w:tc>
        <w:tc>
          <w:tcPr>
            <w:tcW w:w="159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注册地</w:t>
            </w:r>
          </w:p>
        </w:tc>
        <w:tc>
          <w:tcPr>
            <w:tcW w:w="159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业务性质</w:t>
            </w:r>
          </w:p>
        </w:tc>
        <w:tc>
          <w:tcPr>
            <w:tcW w:w="3187"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持股比例</w:t>
            </w:r>
            <w:r>
              <w:rPr>
                <w:szCs w:val="24"/>
              </w:rPr>
              <w:t>/</w:t>
            </w:r>
            <w:r>
              <w:rPr>
                <w:rFonts w:hint="eastAsia"/>
                <w:szCs w:val="24"/>
              </w:rPr>
              <w:t>享有的份额</w:t>
            </w:r>
          </w:p>
        </w:tc>
      </w:tr>
      <w:tr>
        <w:tblPrEx>
          <w:tblCellMar>
            <w:top w:w="0" w:type="dxa"/>
            <w:left w:w="28" w:type="dxa"/>
            <w:bottom w:w="0" w:type="dxa"/>
            <w:right w:w="28" w:type="dxa"/>
          </w:tblCellMar>
        </w:tblPrEx>
        <w:tc>
          <w:tcPr>
            <w:tcW w:w="159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594"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594"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594"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直接</w:t>
            </w:r>
          </w:p>
        </w:tc>
        <w:tc>
          <w:tcPr>
            <w:tcW w:w="15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间接</w:t>
            </w:r>
          </w:p>
        </w:tc>
      </w:tr>
    </w:tbl>
    <w:p>
      <w:pPr>
        <w:pStyle w:val="14"/>
        <w:outlineLvl w:val="2"/>
        <w:rPr>
          <w:bCs w:val="0"/>
          <w:szCs w:val="24"/>
        </w:rPr>
      </w:pPr>
      <w:r>
        <w:rPr>
          <w:bCs w:val="0"/>
          <w:szCs w:val="24"/>
        </w:rPr>
        <w:t>5</w:t>
      </w:r>
      <w:r>
        <w:rPr>
          <w:rFonts w:hint="eastAsia"/>
          <w:bCs w:val="0"/>
          <w:szCs w:val="24"/>
        </w:rPr>
        <w:t>、在未纳入合并财务报表范围的结构化主体中的权益</w:t>
      </w:r>
    </w:p>
    <w:p>
      <w:pPr>
        <w:pStyle w:val="14"/>
        <w:outlineLvl w:val="2"/>
        <w:rPr>
          <w:bCs w:val="0"/>
          <w:szCs w:val="24"/>
        </w:rPr>
      </w:pPr>
      <w:r>
        <w:rPr>
          <w:bCs w:val="0"/>
          <w:szCs w:val="24"/>
        </w:rPr>
        <w:t>6</w:t>
      </w:r>
      <w:r>
        <w:rPr>
          <w:rFonts w:hint="eastAsia"/>
          <w:bCs w:val="0"/>
          <w:szCs w:val="24"/>
        </w:rPr>
        <w:t>、其他</w:t>
      </w:r>
    </w:p>
    <w:p>
      <w:pPr>
        <w:pStyle w:val="13"/>
        <w:outlineLvl w:val="1"/>
        <w:rPr>
          <w:bCs w:val="0"/>
        </w:rPr>
      </w:pPr>
      <w:r>
        <w:rPr>
          <w:rFonts w:hint="eastAsia"/>
          <w:bCs w:val="0"/>
        </w:rPr>
        <w:t>十、与金融工具相关的风险</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在经营过程中面临各种金融风险：信用风险、市场风险和流动性风险。公司董事会全面负责风险管理目标和政策的确定，并对风险管理目标和政策承担最终责任，但是董事会已授权本公司职能部门设计和实施能确保风险管理目标和政策得以有效执行的程序。董事会通过职能主管递交的月度报告来审查已执行程序的有效性以及风险管理目标和政策的合理性。本公司的内部审计师也会审计风险管理的政策和程序，并且将有关发现汇报给审计委员会。</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本公司风险管理的总体目标是在不过度影响公司竞争力和应变力的情况下，制定尽可能降低风险的风险管理政策。</w:t>
      </w:r>
    </w:p>
    <w:p>
      <w:pPr>
        <w:numPr>
          <w:ilvl w:val="0"/>
          <w:numId w:val="18"/>
        </w:numPr>
        <w:autoSpaceDE w:val="0"/>
        <w:autoSpaceDN w:val="0"/>
        <w:adjustRightInd w:val="0"/>
        <w:spacing w:before="0" w:after="0"/>
        <w:ind w:firstLine="361" w:firstLineChars="200"/>
        <w:rPr>
          <w:rFonts w:eastAsia="Times New Roman"/>
          <w:b/>
          <w:kern w:val="0"/>
          <w:lang w:val="zh-CN"/>
        </w:rPr>
      </w:pPr>
      <w:r>
        <w:rPr>
          <w:rFonts w:hint="eastAsia" w:ascii="宋体" w:hAnsi="宋体" w:cs="宋体"/>
          <w:b/>
          <w:kern w:val="0"/>
          <w:lang w:val="zh-CN"/>
        </w:rPr>
        <w:t>信用风险</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信用风险是指金融工具的一方不履行义务，造成另一方发生财务损失的风险。本公司主要面临赊销导致的客户信用风险。在签订新合同之前，本公司会对新客户的信用风险进行评估，包括外部信用评级和在某些情况下的银行资信证明（当此信息可获取时）。公司对每一客户均设置了赊销限额，该限额为无需获得额外批准的最大额度。</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公司通过对已有客户信用评级的季度监控以及应收账款账龄分析的月度审核来确保公司的整体信用风险在可控的范围内。在监控客户的信用风险时，按照客户的信用特征对其分组。被评为</w:t>
      </w:r>
      <w:r>
        <w:rPr>
          <w:rFonts w:eastAsia="Times New Roman"/>
          <w:kern w:val="0"/>
          <w:lang w:val="zh-CN"/>
        </w:rPr>
        <w:t>“</w:t>
      </w:r>
      <w:r>
        <w:rPr>
          <w:rFonts w:hint="eastAsia" w:ascii="宋体" w:hAnsi="宋体" w:cs="宋体"/>
          <w:kern w:val="0"/>
          <w:lang w:val="zh-CN"/>
        </w:rPr>
        <w:t>高风险</w:t>
      </w:r>
      <w:r>
        <w:rPr>
          <w:rFonts w:eastAsia="Times New Roman"/>
          <w:kern w:val="0"/>
          <w:lang w:val="zh-CN"/>
        </w:rPr>
        <w:t>”</w:t>
      </w:r>
      <w:r>
        <w:rPr>
          <w:rFonts w:hint="eastAsia" w:ascii="宋体" w:hAnsi="宋体" w:cs="宋体"/>
          <w:kern w:val="0"/>
          <w:lang w:val="zh-CN"/>
        </w:rPr>
        <w:t>级别的客户会放在受限制客户名单里，并且只有在额外批准的前提下，公司才可在未来期间内对其赊销，否则必须要求其提前支付相应款项。</w:t>
      </w:r>
    </w:p>
    <w:p>
      <w:pPr>
        <w:autoSpaceDE w:val="0"/>
        <w:autoSpaceDN w:val="0"/>
        <w:adjustRightInd w:val="0"/>
        <w:spacing w:before="0" w:after="0"/>
        <w:ind w:left="361"/>
        <w:rPr>
          <w:rFonts w:eastAsia="Times New Roman"/>
          <w:b/>
          <w:kern w:val="0"/>
          <w:lang w:val="zh-CN"/>
        </w:rPr>
      </w:pPr>
      <w:r>
        <w:rPr>
          <w:rFonts w:hint="eastAsia" w:ascii="宋体" w:hAnsi="宋体" w:cs="宋体"/>
          <w:b/>
          <w:kern w:val="0"/>
          <w:lang w:val="zh-CN"/>
        </w:rPr>
        <w:t>2</w:t>
      </w:r>
      <w:r>
        <w:rPr>
          <w:rFonts w:ascii="宋体" w:hAnsi="宋体" w:cs="宋体"/>
          <w:b/>
          <w:kern w:val="0"/>
          <w:lang w:val="zh-CN"/>
        </w:rPr>
        <w:t>.</w:t>
      </w:r>
      <w:r>
        <w:rPr>
          <w:rFonts w:hint="eastAsia" w:ascii="宋体" w:hAnsi="宋体" w:cs="宋体"/>
          <w:b/>
          <w:kern w:val="0"/>
          <w:lang w:val="zh-CN"/>
        </w:rPr>
        <w:t>市场风险</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金融工具的市场风险，是指金融工具的公允价值或未来现金流量因市场价格变动而发生波动的风险，包括汇率风险、利率风险和其他价格风险。</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）利率风险</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利率风险，是指金融工具的公允价值或未来现金流量因市场利率变动而发生波动的风险。本公司面临的利率风险主要来源于银行长期借款以及应付债券。公司目前的政策是固定利率借款占外部借款的</w:t>
      </w:r>
      <w:r>
        <w:rPr>
          <w:rFonts w:eastAsia="Times New Roman"/>
          <w:kern w:val="0"/>
          <w:lang w:val="zh-CN"/>
        </w:rPr>
        <w:t>27.61%</w:t>
      </w:r>
      <w:r>
        <w:rPr>
          <w:rFonts w:hint="eastAsia" w:ascii="宋体" w:hAnsi="宋体" w:cs="宋体"/>
          <w:kern w:val="0"/>
          <w:lang w:val="zh-CN"/>
        </w:rPr>
        <w:t>。为维持该比例，本公司可能运用利率互换以实现预期的利率结构。尽管该政策不能使本公司完全避免支付的利率超出现行市场利率的风险，也不能完全消除与利息支付波动相关的现金流量风险，但是管理层认为该政策实现了这些风险之间的合理平衡。</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于</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日，在其他变量保持不变的情况下，如果以浮动利率计算的借款利率上升或下降</w:t>
      </w:r>
      <w:r>
        <w:rPr>
          <w:rFonts w:eastAsia="Times New Roman"/>
          <w:kern w:val="0"/>
          <w:lang w:val="zh-CN"/>
        </w:rPr>
        <w:t>100</w:t>
      </w:r>
      <w:r>
        <w:rPr>
          <w:rFonts w:hint="eastAsia" w:ascii="宋体" w:hAnsi="宋体" w:cs="宋体"/>
          <w:kern w:val="0"/>
          <w:lang w:val="zh-CN"/>
        </w:rPr>
        <w:t>个基点，则本公司的净利润将减少或增加</w:t>
      </w:r>
      <w:r>
        <w:rPr>
          <w:rFonts w:eastAsia="Times New Roman"/>
          <w:kern w:val="0"/>
          <w:lang w:val="zh-CN"/>
        </w:rPr>
        <w:t>923.10</w:t>
      </w:r>
      <w:r>
        <w:rPr>
          <w:rFonts w:hint="eastAsia" w:ascii="宋体" w:hAnsi="宋体" w:cs="宋体"/>
          <w:kern w:val="0"/>
          <w:lang w:val="zh-CN"/>
        </w:rPr>
        <w:t>万元（</w:t>
      </w:r>
      <w:r>
        <w:rPr>
          <w:rFonts w:eastAsia="Times New Roman"/>
          <w:kern w:val="0"/>
          <w:lang w:val="zh-CN"/>
        </w:rPr>
        <w:t>2018</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w:t>
      </w:r>
      <w:r>
        <w:rPr>
          <w:rFonts w:eastAsia="Times New Roman"/>
          <w:kern w:val="0"/>
          <w:lang w:val="zh-CN"/>
        </w:rPr>
        <w:t>1,264.87</w:t>
      </w:r>
      <w:r>
        <w:rPr>
          <w:rFonts w:hint="eastAsia" w:ascii="宋体" w:hAnsi="宋体" w:cs="宋体"/>
          <w:kern w:val="0"/>
          <w:lang w:val="zh-CN"/>
        </w:rPr>
        <w:t>万元）。管理层认为</w:t>
      </w:r>
      <w:r>
        <w:rPr>
          <w:rFonts w:eastAsia="Times New Roman"/>
          <w:kern w:val="0"/>
          <w:lang w:val="zh-CN"/>
        </w:rPr>
        <w:t>100</w:t>
      </w:r>
      <w:r>
        <w:rPr>
          <w:rFonts w:hint="eastAsia" w:ascii="宋体" w:hAnsi="宋体" w:cs="宋体"/>
          <w:kern w:val="0"/>
          <w:lang w:val="zh-CN"/>
        </w:rPr>
        <w:t>个基点合理反映了下一年度利率可能发生变动的合理范围。</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）汇率风险</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汇率风险，是指金融工具的公允价值或未来现金流量因外汇汇率变动而发生波动的风险。本公司尽可能将外币收入与外币支出相匹配以降低汇率风险。此外，公司还可能签署远期外汇合约或货币互换合约以达到规避汇率风险的目的。于本期及上期，本公司未签署任何远期外汇合约或货币互换合约。</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本公司面临的汇率风险主要来源于以美元计价的金融资产和金融负债，外币金融资产和外币金融负债折算成人民币的金额列示如下：</w:t>
      </w:r>
    </w:p>
    <w:tbl>
      <w:tblPr>
        <w:tblStyle w:val="9"/>
        <w:tblW w:w="5000" w:type="pct"/>
        <w:tblInd w:w="0" w:type="dxa"/>
        <w:tblLayout w:type="autofit"/>
        <w:tblCellMar>
          <w:top w:w="0" w:type="dxa"/>
          <w:left w:w="108" w:type="dxa"/>
          <w:bottom w:w="0" w:type="dxa"/>
          <w:right w:w="108" w:type="dxa"/>
        </w:tblCellMar>
      </w:tblPr>
      <w:tblGrid>
        <w:gridCol w:w="2295"/>
        <w:gridCol w:w="1451"/>
        <w:gridCol w:w="1451"/>
        <w:gridCol w:w="1551"/>
        <w:gridCol w:w="1529"/>
        <w:gridCol w:w="1577"/>
      </w:tblGrid>
      <w:tr>
        <w:tblPrEx>
          <w:tblCellMar>
            <w:top w:w="0" w:type="dxa"/>
            <w:left w:w="108" w:type="dxa"/>
            <w:bottom w:w="0" w:type="dxa"/>
            <w:right w:w="108" w:type="dxa"/>
          </w:tblCellMar>
        </w:tblPrEx>
        <w:trPr>
          <w:trHeight w:val="285" w:hRule="atLeast"/>
          <w:tblHeader/>
        </w:trPr>
        <w:tc>
          <w:tcPr>
            <w:tcW w:w="1165" w:type="pct"/>
            <w:vMerge w:val="restart"/>
            <w:tcBorders>
              <w:top w:val="single" w:color="auto" w:sz="12" w:space="0"/>
              <w:left w:val="nil"/>
              <w:bottom w:val="dotted" w:color="000000" w:sz="4" w:space="0"/>
              <w:right w:val="dotted" w:color="auto" w:sz="4" w:space="0"/>
            </w:tcBorders>
            <w:shd w:val="clear" w:color="auto" w:fill="auto"/>
            <w:noWrap/>
            <w:vAlign w:val="center"/>
          </w:tcPr>
          <w:p>
            <w:pPr>
              <w:spacing w:line="400" w:lineRule="exact"/>
              <w:contextualSpacing/>
              <w:jc w:val="center"/>
            </w:pPr>
            <w:r>
              <w:rPr>
                <w:rFonts w:hint="eastAsia"/>
              </w:rPr>
              <w:t>项目</w:t>
            </w:r>
          </w:p>
        </w:tc>
        <w:tc>
          <w:tcPr>
            <w:tcW w:w="3835" w:type="pct"/>
            <w:gridSpan w:val="5"/>
            <w:tcBorders>
              <w:top w:val="single" w:color="auto" w:sz="12" w:space="0"/>
              <w:left w:val="nil"/>
              <w:bottom w:val="dotted" w:color="auto" w:sz="4" w:space="0"/>
              <w:right w:val="nil"/>
            </w:tcBorders>
          </w:tcPr>
          <w:p>
            <w:pPr>
              <w:spacing w:line="400" w:lineRule="exact"/>
              <w:contextualSpacing/>
              <w:jc w:val="center"/>
            </w:pPr>
            <w:r>
              <w:t>201</w:t>
            </w:r>
            <w:r>
              <w:rPr>
                <w:rFonts w:hint="eastAsia"/>
              </w:rPr>
              <w:t>9年</w:t>
            </w:r>
            <w:r>
              <w:t>12</w:t>
            </w:r>
            <w:r>
              <w:rPr>
                <w:rFonts w:hint="eastAsia"/>
              </w:rPr>
              <w:t>月</w:t>
            </w:r>
            <w:r>
              <w:t>31</w:t>
            </w:r>
            <w:r>
              <w:rPr>
                <w:rFonts w:hint="eastAsia"/>
              </w:rPr>
              <w:t>日</w:t>
            </w:r>
          </w:p>
        </w:tc>
      </w:tr>
      <w:tr>
        <w:tblPrEx>
          <w:tblCellMar>
            <w:top w:w="0" w:type="dxa"/>
            <w:left w:w="108" w:type="dxa"/>
            <w:bottom w:w="0" w:type="dxa"/>
            <w:right w:w="108" w:type="dxa"/>
          </w:tblCellMar>
        </w:tblPrEx>
        <w:trPr>
          <w:trHeight w:val="270" w:hRule="atLeast"/>
          <w:tblHeader/>
        </w:trPr>
        <w:tc>
          <w:tcPr>
            <w:tcW w:w="1165" w:type="pct"/>
            <w:vMerge w:val="continue"/>
            <w:tcBorders>
              <w:top w:val="single" w:color="auto" w:sz="12" w:space="0"/>
              <w:left w:val="nil"/>
              <w:bottom w:val="dotted" w:color="000000" w:sz="4" w:space="0"/>
              <w:right w:val="dotted" w:color="auto" w:sz="4" w:space="0"/>
            </w:tcBorders>
            <w:vAlign w:val="center"/>
          </w:tcPr>
          <w:p>
            <w:pPr>
              <w:spacing w:line="400" w:lineRule="exact"/>
              <w:contextualSpacing/>
              <w:jc w:val="center"/>
            </w:pPr>
          </w:p>
        </w:tc>
        <w:tc>
          <w:tcPr>
            <w:tcW w:w="736" w:type="pct"/>
            <w:tcBorders>
              <w:top w:val="dotted" w:color="auto" w:sz="4" w:space="0"/>
              <w:left w:val="nil"/>
              <w:bottom w:val="dotted" w:color="auto" w:sz="4" w:space="0"/>
              <w:right w:val="dotted" w:color="auto" w:sz="4" w:space="0"/>
            </w:tcBorders>
          </w:tcPr>
          <w:p>
            <w:pPr>
              <w:spacing w:line="400" w:lineRule="exact"/>
              <w:contextualSpacing/>
              <w:jc w:val="center"/>
            </w:pPr>
            <w:r>
              <w:rPr>
                <w:rFonts w:hint="eastAsia"/>
              </w:rPr>
              <w:t>港币</w:t>
            </w:r>
          </w:p>
        </w:tc>
        <w:tc>
          <w:tcPr>
            <w:tcW w:w="736" w:type="pct"/>
            <w:tcBorders>
              <w:top w:val="nil"/>
              <w:left w:val="dotted" w:color="auto" w:sz="4" w:space="0"/>
              <w:bottom w:val="dotted" w:color="auto" w:sz="4" w:space="0"/>
              <w:right w:val="dotted" w:color="auto" w:sz="4" w:space="0"/>
            </w:tcBorders>
            <w:shd w:val="clear" w:color="auto" w:fill="auto"/>
            <w:vAlign w:val="center"/>
          </w:tcPr>
          <w:p>
            <w:pPr>
              <w:spacing w:line="400" w:lineRule="exact"/>
              <w:contextualSpacing/>
              <w:jc w:val="center"/>
            </w:pPr>
            <w:r>
              <w:rPr>
                <w:rFonts w:hint="eastAsia"/>
              </w:rPr>
              <w:t>日元</w:t>
            </w:r>
          </w:p>
        </w:tc>
        <w:tc>
          <w:tcPr>
            <w:tcW w:w="787" w:type="pct"/>
            <w:tcBorders>
              <w:top w:val="nil"/>
              <w:left w:val="nil"/>
              <w:bottom w:val="dotted" w:color="auto" w:sz="4" w:space="0"/>
              <w:right w:val="dotted" w:color="auto" w:sz="4" w:space="0"/>
            </w:tcBorders>
            <w:shd w:val="clear" w:color="auto" w:fill="auto"/>
            <w:noWrap/>
            <w:vAlign w:val="center"/>
          </w:tcPr>
          <w:p>
            <w:pPr>
              <w:spacing w:line="400" w:lineRule="exact"/>
              <w:contextualSpacing/>
              <w:jc w:val="center"/>
            </w:pPr>
            <w:r>
              <w:rPr>
                <w:rFonts w:hint="eastAsia"/>
              </w:rPr>
              <w:t>美元</w:t>
            </w:r>
          </w:p>
        </w:tc>
        <w:tc>
          <w:tcPr>
            <w:tcW w:w="776" w:type="pct"/>
            <w:tcBorders>
              <w:top w:val="nil"/>
              <w:left w:val="nil"/>
              <w:bottom w:val="dotted" w:color="auto" w:sz="4" w:space="0"/>
              <w:right w:val="dotted" w:color="auto" w:sz="4" w:space="0"/>
            </w:tcBorders>
            <w:shd w:val="clear" w:color="auto" w:fill="auto"/>
            <w:noWrap/>
            <w:vAlign w:val="center"/>
          </w:tcPr>
          <w:p>
            <w:pPr>
              <w:spacing w:line="400" w:lineRule="exact"/>
              <w:contextualSpacing/>
              <w:jc w:val="center"/>
            </w:pPr>
            <w:r>
              <w:rPr>
                <w:rFonts w:hint="eastAsia"/>
              </w:rPr>
              <w:t>欧元</w:t>
            </w:r>
          </w:p>
        </w:tc>
        <w:tc>
          <w:tcPr>
            <w:tcW w:w="800" w:type="pct"/>
            <w:tcBorders>
              <w:top w:val="nil"/>
              <w:left w:val="nil"/>
              <w:bottom w:val="dotted" w:color="auto" w:sz="4" w:space="0"/>
              <w:right w:val="nil"/>
            </w:tcBorders>
            <w:shd w:val="clear" w:color="auto" w:fill="auto"/>
            <w:vAlign w:val="center"/>
          </w:tcPr>
          <w:p>
            <w:pPr>
              <w:spacing w:line="400" w:lineRule="exact"/>
              <w:contextualSpacing/>
              <w:jc w:val="center"/>
            </w:pPr>
            <w:r>
              <w:rPr>
                <w:rFonts w:hint="eastAsia"/>
              </w:rPr>
              <w:t>合计</w:t>
            </w:r>
          </w:p>
        </w:tc>
      </w:tr>
      <w:tr>
        <w:tblPrEx>
          <w:tblCellMar>
            <w:top w:w="0" w:type="dxa"/>
            <w:left w:w="108" w:type="dxa"/>
            <w:bottom w:w="0" w:type="dxa"/>
            <w:right w:w="108" w:type="dxa"/>
          </w:tblCellMar>
        </w:tblPrEx>
        <w:trPr>
          <w:trHeight w:val="270" w:hRule="atLeast"/>
        </w:trPr>
        <w:tc>
          <w:tcPr>
            <w:tcW w:w="1165" w:type="pct"/>
            <w:tcBorders>
              <w:top w:val="nil"/>
              <w:left w:val="nil"/>
              <w:bottom w:val="dotted" w:color="auto" w:sz="4" w:space="0"/>
              <w:right w:val="dotted" w:color="auto" w:sz="4" w:space="0"/>
            </w:tcBorders>
            <w:shd w:val="clear" w:color="auto" w:fill="auto"/>
            <w:noWrap/>
            <w:vAlign w:val="center"/>
          </w:tcPr>
          <w:p>
            <w:pPr>
              <w:spacing w:line="400" w:lineRule="exact"/>
              <w:contextualSpacing/>
            </w:pPr>
            <w:r>
              <w:rPr>
                <w:rFonts w:hint="eastAsia"/>
              </w:rPr>
              <w:t>外币金融资产：</w:t>
            </w:r>
          </w:p>
        </w:tc>
        <w:tc>
          <w:tcPr>
            <w:tcW w:w="736" w:type="pct"/>
            <w:tcBorders>
              <w:top w:val="dotted" w:color="auto" w:sz="4" w:space="0"/>
              <w:left w:val="nil"/>
              <w:bottom w:val="dotted" w:color="auto" w:sz="4" w:space="0"/>
              <w:right w:val="dotted" w:color="auto" w:sz="4" w:space="0"/>
            </w:tcBorders>
          </w:tcPr>
          <w:p>
            <w:pPr>
              <w:spacing w:line="400" w:lineRule="exact"/>
              <w:contextualSpacing/>
              <w:jc w:val="right"/>
            </w:pPr>
          </w:p>
        </w:tc>
        <w:tc>
          <w:tcPr>
            <w:tcW w:w="736" w:type="pct"/>
            <w:tcBorders>
              <w:top w:val="nil"/>
              <w:left w:val="dotted" w:color="auto" w:sz="4" w:space="0"/>
              <w:bottom w:val="dotted" w:color="auto" w:sz="4" w:space="0"/>
              <w:right w:val="dotted" w:color="auto" w:sz="4" w:space="0"/>
            </w:tcBorders>
            <w:shd w:val="clear" w:color="auto" w:fill="auto"/>
            <w:vAlign w:val="center"/>
          </w:tcPr>
          <w:p>
            <w:pPr>
              <w:spacing w:line="400" w:lineRule="exact"/>
              <w:contextualSpacing/>
              <w:jc w:val="right"/>
            </w:pPr>
          </w:p>
        </w:tc>
        <w:tc>
          <w:tcPr>
            <w:tcW w:w="787" w:type="pct"/>
            <w:tcBorders>
              <w:top w:val="nil"/>
              <w:left w:val="nil"/>
              <w:bottom w:val="dotted" w:color="auto" w:sz="4" w:space="0"/>
              <w:right w:val="dotted" w:color="auto" w:sz="4" w:space="0"/>
            </w:tcBorders>
            <w:shd w:val="clear" w:color="auto" w:fill="auto"/>
            <w:noWrap/>
            <w:vAlign w:val="center"/>
          </w:tcPr>
          <w:p>
            <w:pPr>
              <w:spacing w:line="400" w:lineRule="exact"/>
              <w:contextualSpacing/>
              <w:jc w:val="right"/>
            </w:pPr>
          </w:p>
        </w:tc>
        <w:tc>
          <w:tcPr>
            <w:tcW w:w="776" w:type="pct"/>
            <w:tcBorders>
              <w:top w:val="nil"/>
              <w:left w:val="nil"/>
              <w:bottom w:val="dotted" w:color="auto" w:sz="4" w:space="0"/>
              <w:right w:val="dotted" w:color="auto" w:sz="4" w:space="0"/>
            </w:tcBorders>
            <w:shd w:val="clear" w:color="auto" w:fill="auto"/>
            <w:noWrap/>
            <w:vAlign w:val="center"/>
          </w:tcPr>
          <w:p>
            <w:pPr>
              <w:spacing w:line="400" w:lineRule="exact"/>
              <w:contextualSpacing/>
              <w:jc w:val="right"/>
            </w:pPr>
          </w:p>
        </w:tc>
        <w:tc>
          <w:tcPr>
            <w:tcW w:w="800" w:type="pct"/>
            <w:tcBorders>
              <w:top w:val="nil"/>
              <w:left w:val="nil"/>
              <w:bottom w:val="dotted" w:color="auto" w:sz="4" w:space="0"/>
              <w:right w:val="nil"/>
            </w:tcBorders>
            <w:shd w:val="clear" w:color="auto" w:fill="auto"/>
            <w:vAlign w:val="center"/>
          </w:tcPr>
          <w:p>
            <w:pPr>
              <w:spacing w:line="400" w:lineRule="exact"/>
              <w:contextualSpacing/>
              <w:jc w:val="right"/>
            </w:pPr>
          </w:p>
        </w:tc>
      </w:tr>
      <w:tr>
        <w:tblPrEx>
          <w:tblCellMar>
            <w:top w:w="0" w:type="dxa"/>
            <w:left w:w="108" w:type="dxa"/>
            <w:bottom w:w="0" w:type="dxa"/>
            <w:right w:w="108" w:type="dxa"/>
          </w:tblCellMar>
        </w:tblPrEx>
        <w:trPr>
          <w:trHeight w:val="270" w:hRule="atLeast"/>
        </w:trPr>
        <w:tc>
          <w:tcPr>
            <w:tcW w:w="1165" w:type="pct"/>
            <w:tcBorders>
              <w:top w:val="nil"/>
              <w:left w:val="nil"/>
              <w:bottom w:val="dotted" w:color="auto" w:sz="4" w:space="0"/>
              <w:right w:val="dotted" w:color="auto" w:sz="4" w:space="0"/>
            </w:tcBorders>
            <w:shd w:val="clear" w:color="auto" w:fill="auto"/>
            <w:noWrap/>
            <w:vAlign w:val="center"/>
          </w:tcPr>
          <w:p>
            <w:pPr>
              <w:spacing w:line="400" w:lineRule="exact"/>
              <w:contextualSpacing/>
            </w:pPr>
            <w:r>
              <w:rPr>
                <w:rFonts w:hint="eastAsia"/>
              </w:rPr>
              <w:t>货币资金</w:t>
            </w:r>
          </w:p>
        </w:tc>
        <w:tc>
          <w:tcPr>
            <w:tcW w:w="736" w:type="pct"/>
            <w:tcBorders>
              <w:top w:val="dotted" w:color="auto" w:sz="4" w:space="0"/>
              <w:left w:val="nil"/>
              <w:bottom w:val="dotted" w:color="auto" w:sz="4" w:space="0"/>
              <w:right w:val="dotted" w:color="auto" w:sz="4" w:space="0"/>
            </w:tcBorders>
            <w:vAlign w:val="center"/>
          </w:tcPr>
          <w:p>
            <w:pPr>
              <w:tabs>
                <w:tab w:val="left" w:pos="0"/>
              </w:tabs>
              <w:spacing w:line="400" w:lineRule="exact"/>
              <w:ind w:firstLine="2"/>
              <w:contextualSpacing/>
              <w:jc w:val="right"/>
            </w:pPr>
            <w:r>
              <w:t xml:space="preserve"> 429,985.89 </w:t>
            </w:r>
          </w:p>
        </w:tc>
        <w:tc>
          <w:tcPr>
            <w:tcW w:w="736" w:type="pct"/>
            <w:tcBorders>
              <w:top w:val="nil"/>
              <w:left w:val="dotted" w:color="auto" w:sz="4" w:space="0"/>
              <w:bottom w:val="dotted" w:color="auto" w:sz="4" w:space="0"/>
              <w:right w:val="dotted" w:color="auto" w:sz="4" w:space="0"/>
            </w:tcBorders>
            <w:shd w:val="clear" w:color="auto" w:fill="auto"/>
            <w:vAlign w:val="center"/>
          </w:tcPr>
          <w:p>
            <w:pPr>
              <w:tabs>
                <w:tab w:val="left" w:pos="0"/>
              </w:tabs>
              <w:spacing w:line="400" w:lineRule="exact"/>
              <w:ind w:right="180" w:firstLine="2"/>
              <w:contextualSpacing/>
              <w:jc w:val="right"/>
            </w:pPr>
            <w:r>
              <w:t xml:space="preserve">1,572,597.57 </w:t>
            </w:r>
          </w:p>
        </w:tc>
        <w:tc>
          <w:tcPr>
            <w:tcW w:w="787" w:type="pct"/>
            <w:tcBorders>
              <w:top w:val="nil"/>
              <w:left w:val="nil"/>
              <w:bottom w:val="dotted" w:color="auto" w:sz="4" w:space="0"/>
              <w:right w:val="dotted" w:color="auto" w:sz="4" w:space="0"/>
            </w:tcBorders>
            <w:shd w:val="clear" w:color="auto" w:fill="auto"/>
            <w:noWrap/>
            <w:vAlign w:val="center"/>
          </w:tcPr>
          <w:p>
            <w:pPr>
              <w:tabs>
                <w:tab w:val="left" w:pos="0"/>
              </w:tabs>
              <w:spacing w:line="400" w:lineRule="exact"/>
              <w:ind w:firstLine="2"/>
              <w:contextualSpacing/>
              <w:jc w:val="right"/>
            </w:pPr>
            <w:r>
              <w:t>10,858,774.04</w:t>
            </w:r>
          </w:p>
        </w:tc>
        <w:tc>
          <w:tcPr>
            <w:tcW w:w="776" w:type="pct"/>
            <w:tcBorders>
              <w:top w:val="nil"/>
              <w:left w:val="nil"/>
              <w:bottom w:val="dotted" w:color="auto" w:sz="4" w:space="0"/>
              <w:right w:val="dotted" w:color="auto" w:sz="4" w:space="0"/>
            </w:tcBorders>
            <w:shd w:val="clear" w:color="auto" w:fill="auto"/>
            <w:noWrap/>
            <w:vAlign w:val="center"/>
          </w:tcPr>
          <w:p>
            <w:pPr>
              <w:tabs>
                <w:tab w:val="left" w:pos="0"/>
              </w:tabs>
              <w:spacing w:line="400" w:lineRule="exact"/>
              <w:ind w:firstLine="2"/>
              <w:contextualSpacing/>
              <w:jc w:val="right"/>
            </w:pPr>
            <w:r>
              <w:t xml:space="preserve"> 89,138.51 </w:t>
            </w:r>
          </w:p>
        </w:tc>
        <w:tc>
          <w:tcPr>
            <w:tcW w:w="800" w:type="pct"/>
            <w:tcBorders>
              <w:top w:val="nil"/>
              <w:left w:val="nil"/>
              <w:bottom w:val="dotted" w:color="auto" w:sz="4" w:space="0"/>
              <w:right w:val="nil"/>
            </w:tcBorders>
            <w:shd w:val="clear" w:color="auto" w:fill="auto"/>
            <w:vAlign w:val="center"/>
          </w:tcPr>
          <w:p>
            <w:pPr>
              <w:tabs>
                <w:tab w:val="left" w:pos="0"/>
              </w:tabs>
              <w:spacing w:line="400" w:lineRule="exact"/>
              <w:ind w:firstLine="2"/>
              <w:contextualSpacing/>
              <w:jc w:val="right"/>
            </w:pPr>
            <w:r>
              <w:t xml:space="preserve"> 12,950,496.01 </w:t>
            </w:r>
          </w:p>
        </w:tc>
      </w:tr>
      <w:tr>
        <w:tblPrEx>
          <w:tblCellMar>
            <w:top w:w="0" w:type="dxa"/>
            <w:left w:w="108" w:type="dxa"/>
            <w:bottom w:w="0" w:type="dxa"/>
            <w:right w:w="108" w:type="dxa"/>
          </w:tblCellMar>
        </w:tblPrEx>
        <w:trPr>
          <w:trHeight w:val="270" w:hRule="atLeast"/>
        </w:trPr>
        <w:tc>
          <w:tcPr>
            <w:tcW w:w="1165" w:type="pct"/>
            <w:tcBorders>
              <w:top w:val="nil"/>
              <w:left w:val="nil"/>
              <w:bottom w:val="dotted" w:color="auto" w:sz="4" w:space="0"/>
              <w:right w:val="dotted" w:color="auto" w:sz="4" w:space="0"/>
            </w:tcBorders>
            <w:shd w:val="clear" w:color="auto" w:fill="auto"/>
            <w:noWrap/>
            <w:vAlign w:val="center"/>
          </w:tcPr>
          <w:p>
            <w:pPr>
              <w:spacing w:line="400" w:lineRule="exact"/>
              <w:contextualSpacing/>
            </w:pPr>
            <w:r>
              <w:rPr>
                <w:rFonts w:hint="eastAsia"/>
              </w:rPr>
              <w:t>应收账款</w:t>
            </w:r>
          </w:p>
        </w:tc>
        <w:tc>
          <w:tcPr>
            <w:tcW w:w="736" w:type="pct"/>
            <w:tcBorders>
              <w:top w:val="dotted" w:color="auto" w:sz="4" w:space="0"/>
              <w:left w:val="nil"/>
              <w:bottom w:val="dotted" w:color="auto" w:sz="4" w:space="0"/>
              <w:right w:val="dotted" w:color="auto" w:sz="4" w:space="0"/>
            </w:tcBorders>
          </w:tcPr>
          <w:p/>
        </w:tc>
        <w:tc>
          <w:tcPr>
            <w:tcW w:w="736" w:type="pct"/>
            <w:tcBorders>
              <w:top w:val="nil"/>
              <w:left w:val="dotted" w:color="auto" w:sz="4" w:space="0"/>
              <w:bottom w:val="dotted" w:color="auto" w:sz="4" w:space="0"/>
              <w:right w:val="dotted" w:color="auto" w:sz="4" w:space="0"/>
            </w:tcBorders>
            <w:shd w:val="clear" w:color="auto" w:fill="auto"/>
          </w:tcPr>
          <w:p>
            <w:pPr>
              <w:tabs>
                <w:tab w:val="left" w:pos="0"/>
              </w:tabs>
              <w:spacing w:line="400" w:lineRule="exact"/>
              <w:ind w:firstLine="2"/>
              <w:contextualSpacing/>
              <w:jc w:val="right"/>
            </w:pPr>
          </w:p>
        </w:tc>
        <w:tc>
          <w:tcPr>
            <w:tcW w:w="787" w:type="pct"/>
            <w:tcBorders>
              <w:top w:val="nil"/>
              <w:left w:val="nil"/>
              <w:bottom w:val="dotted" w:color="auto" w:sz="4" w:space="0"/>
              <w:right w:val="dotted" w:color="auto" w:sz="4" w:space="0"/>
            </w:tcBorders>
            <w:shd w:val="clear" w:color="auto" w:fill="auto"/>
            <w:noWrap/>
          </w:tcPr>
          <w:p>
            <w:pPr>
              <w:tabs>
                <w:tab w:val="left" w:pos="0"/>
              </w:tabs>
              <w:spacing w:line="400" w:lineRule="exact"/>
              <w:ind w:firstLine="2"/>
              <w:contextualSpacing/>
              <w:jc w:val="right"/>
            </w:pPr>
            <w:r>
              <w:t xml:space="preserve"> 2,289,718.88 </w:t>
            </w:r>
          </w:p>
        </w:tc>
        <w:tc>
          <w:tcPr>
            <w:tcW w:w="776" w:type="pct"/>
            <w:tcBorders>
              <w:top w:val="nil"/>
              <w:left w:val="nil"/>
              <w:bottom w:val="dotted" w:color="auto" w:sz="4" w:space="0"/>
              <w:right w:val="dotted" w:color="auto" w:sz="4" w:space="0"/>
            </w:tcBorders>
            <w:shd w:val="clear" w:color="auto" w:fill="auto"/>
            <w:noWrap/>
          </w:tcPr>
          <w:p>
            <w:pPr>
              <w:tabs>
                <w:tab w:val="left" w:pos="0"/>
              </w:tabs>
              <w:spacing w:line="400" w:lineRule="exact"/>
              <w:ind w:firstLine="2"/>
              <w:contextualSpacing/>
              <w:jc w:val="right"/>
            </w:pPr>
            <w:r>
              <w:t xml:space="preserve">   </w:t>
            </w:r>
          </w:p>
        </w:tc>
        <w:tc>
          <w:tcPr>
            <w:tcW w:w="800" w:type="pct"/>
            <w:tcBorders>
              <w:top w:val="nil"/>
              <w:left w:val="nil"/>
              <w:bottom w:val="dotted" w:color="auto" w:sz="4" w:space="0"/>
              <w:right w:val="nil"/>
            </w:tcBorders>
            <w:shd w:val="clear" w:color="auto" w:fill="auto"/>
          </w:tcPr>
          <w:p>
            <w:pPr>
              <w:tabs>
                <w:tab w:val="left" w:pos="0"/>
              </w:tabs>
              <w:spacing w:line="400" w:lineRule="exact"/>
              <w:ind w:firstLine="2"/>
              <w:contextualSpacing/>
              <w:jc w:val="right"/>
            </w:pPr>
            <w:r>
              <w:t xml:space="preserve"> 2,289,718.88 </w:t>
            </w:r>
          </w:p>
        </w:tc>
      </w:tr>
      <w:tr>
        <w:tblPrEx>
          <w:tblCellMar>
            <w:top w:w="0" w:type="dxa"/>
            <w:left w:w="108" w:type="dxa"/>
            <w:bottom w:w="0" w:type="dxa"/>
            <w:right w:w="108" w:type="dxa"/>
          </w:tblCellMar>
        </w:tblPrEx>
        <w:trPr>
          <w:trHeight w:val="270" w:hRule="atLeast"/>
        </w:trPr>
        <w:tc>
          <w:tcPr>
            <w:tcW w:w="1165" w:type="pct"/>
            <w:tcBorders>
              <w:top w:val="nil"/>
              <w:left w:val="nil"/>
              <w:bottom w:val="dotted" w:color="auto" w:sz="4" w:space="0"/>
              <w:right w:val="dotted" w:color="auto" w:sz="4" w:space="0"/>
            </w:tcBorders>
            <w:shd w:val="clear" w:color="auto" w:fill="auto"/>
            <w:noWrap/>
            <w:vAlign w:val="center"/>
          </w:tcPr>
          <w:p>
            <w:pPr>
              <w:spacing w:line="400" w:lineRule="exact"/>
              <w:contextualSpacing/>
            </w:pPr>
            <w:r>
              <w:rPr>
                <w:rFonts w:hint="eastAsia"/>
              </w:rPr>
              <w:t>其他应收款</w:t>
            </w:r>
          </w:p>
        </w:tc>
        <w:tc>
          <w:tcPr>
            <w:tcW w:w="736" w:type="pct"/>
            <w:tcBorders>
              <w:top w:val="dotted" w:color="auto" w:sz="4" w:space="0"/>
              <w:left w:val="nil"/>
              <w:bottom w:val="dotted" w:color="auto" w:sz="4" w:space="0"/>
              <w:right w:val="dotted" w:color="auto" w:sz="4" w:space="0"/>
            </w:tcBorders>
          </w:tcPr>
          <w:p/>
        </w:tc>
        <w:tc>
          <w:tcPr>
            <w:tcW w:w="736" w:type="pct"/>
            <w:tcBorders>
              <w:top w:val="nil"/>
              <w:left w:val="dotted" w:color="auto" w:sz="4" w:space="0"/>
              <w:bottom w:val="dotted" w:color="auto" w:sz="4" w:space="0"/>
              <w:right w:val="dotted" w:color="auto" w:sz="4" w:space="0"/>
            </w:tcBorders>
            <w:shd w:val="clear" w:color="auto" w:fill="auto"/>
          </w:tcPr>
          <w:p>
            <w:pPr>
              <w:tabs>
                <w:tab w:val="left" w:pos="0"/>
              </w:tabs>
              <w:spacing w:line="400" w:lineRule="exact"/>
              <w:ind w:firstLine="2"/>
              <w:contextualSpacing/>
              <w:jc w:val="right"/>
            </w:pPr>
          </w:p>
        </w:tc>
        <w:tc>
          <w:tcPr>
            <w:tcW w:w="787" w:type="pct"/>
            <w:tcBorders>
              <w:top w:val="nil"/>
              <w:left w:val="nil"/>
              <w:bottom w:val="dotted" w:color="auto" w:sz="4" w:space="0"/>
              <w:right w:val="dotted" w:color="auto" w:sz="4" w:space="0"/>
            </w:tcBorders>
            <w:shd w:val="clear" w:color="auto" w:fill="auto"/>
            <w:noWrap/>
          </w:tcPr>
          <w:p>
            <w:pPr>
              <w:tabs>
                <w:tab w:val="left" w:pos="0"/>
              </w:tabs>
              <w:spacing w:line="400" w:lineRule="exact"/>
              <w:ind w:firstLine="2"/>
              <w:contextualSpacing/>
              <w:jc w:val="right"/>
            </w:pPr>
            <w:r>
              <w:t xml:space="preserve">14,845,212.96  </w:t>
            </w:r>
          </w:p>
        </w:tc>
        <w:tc>
          <w:tcPr>
            <w:tcW w:w="776" w:type="pct"/>
            <w:tcBorders>
              <w:top w:val="nil"/>
              <w:left w:val="nil"/>
              <w:bottom w:val="dotted" w:color="auto" w:sz="4" w:space="0"/>
              <w:right w:val="dotted" w:color="auto" w:sz="4" w:space="0"/>
            </w:tcBorders>
            <w:shd w:val="clear" w:color="auto" w:fill="auto"/>
            <w:noWrap/>
          </w:tcPr>
          <w:p>
            <w:pPr>
              <w:tabs>
                <w:tab w:val="left" w:pos="0"/>
              </w:tabs>
              <w:spacing w:line="400" w:lineRule="exact"/>
              <w:ind w:firstLine="2"/>
              <w:contextualSpacing/>
              <w:jc w:val="right"/>
            </w:pPr>
            <w:r>
              <w:t xml:space="preserve">   </w:t>
            </w:r>
          </w:p>
        </w:tc>
        <w:tc>
          <w:tcPr>
            <w:tcW w:w="800" w:type="pct"/>
            <w:tcBorders>
              <w:top w:val="nil"/>
              <w:left w:val="nil"/>
              <w:bottom w:val="dotted" w:color="auto" w:sz="4" w:space="0"/>
              <w:right w:val="nil"/>
            </w:tcBorders>
            <w:shd w:val="clear" w:color="auto" w:fill="auto"/>
          </w:tcPr>
          <w:p>
            <w:pPr>
              <w:tabs>
                <w:tab w:val="left" w:pos="0"/>
              </w:tabs>
              <w:spacing w:line="400" w:lineRule="exact"/>
              <w:ind w:right="180" w:firstLine="2"/>
              <w:contextualSpacing/>
              <w:jc w:val="right"/>
            </w:pPr>
            <w:r>
              <w:t xml:space="preserve">14,845,212.96 </w:t>
            </w:r>
          </w:p>
        </w:tc>
      </w:tr>
      <w:tr>
        <w:tblPrEx>
          <w:tblCellMar>
            <w:top w:w="0" w:type="dxa"/>
            <w:left w:w="108" w:type="dxa"/>
            <w:bottom w:w="0" w:type="dxa"/>
            <w:right w:w="108" w:type="dxa"/>
          </w:tblCellMar>
        </w:tblPrEx>
        <w:trPr>
          <w:trHeight w:val="270" w:hRule="atLeast"/>
        </w:trPr>
        <w:tc>
          <w:tcPr>
            <w:tcW w:w="1165" w:type="pct"/>
            <w:tcBorders>
              <w:top w:val="nil"/>
              <w:left w:val="nil"/>
              <w:bottom w:val="dotted" w:color="auto" w:sz="4" w:space="0"/>
              <w:right w:val="dotted" w:color="auto" w:sz="4" w:space="0"/>
            </w:tcBorders>
            <w:shd w:val="clear" w:color="auto" w:fill="auto"/>
            <w:noWrap/>
            <w:vAlign w:val="center"/>
          </w:tcPr>
          <w:p>
            <w:pPr>
              <w:spacing w:line="400" w:lineRule="exact"/>
              <w:contextualSpacing/>
              <w:jc w:val="center"/>
            </w:pPr>
            <w:r>
              <w:rPr>
                <w:rFonts w:hint="eastAsia"/>
              </w:rPr>
              <w:t>小计</w:t>
            </w:r>
          </w:p>
        </w:tc>
        <w:tc>
          <w:tcPr>
            <w:tcW w:w="736" w:type="pct"/>
            <w:tcBorders>
              <w:top w:val="dotted" w:color="auto" w:sz="4" w:space="0"/>
              <w:left w:val="nil"/>
              <w:bottom w:val="dotted" w:color="auto" w:sz="4" w:space="0"/>
              <w:right w:val="dotted" w:color="auto" w:sz="4" w:space="0"/>
            </w:tcBorders>
          </w:tcPr>
          <w:p>
            <w:pPr>
              <w:tabs>
                <w:tab w:val="left" w:pos="0"/>
              </w:tabs>
              <w:spacing w:line="400" w:lineRule="exact"/>
              <w:ind w:firstLine="2"/>
              <w:contextualSpacing/>
              <w:jc w:val="right"/>
            </w:pPr>
            <w:r>
              <w:t>429,985.89</w:t>
            </w:r>
          </w:p>
        </w:tc>
        <w:tc>
          <w:tcPr>
            <w:tcW w:w="736" w:type="pct"/>
            <w:tcBorders>
              <w:top w:val="nil"/>
              <w:left w:val="dotted" w:color="auto" w:sz="4" w:space="0"/>
              <w:bottom w:val="dotted" w:color="auto" w:sz="4" w:space="0"/>
              <w:right w:val="dotted" w:color="auto" w:sz="4" w:space="0"/>
            </w:tcBorders>
            <w:shd w:val="clear" w:color="auto" w:fill="auto"/>
          </w:tcPr>
          <w:p>
            <w:pPr>
              <w:tabs>
                <w:tab w:val="left" w:pos="0"/>
              </w:tabs>
              <w:spacing w:line="400" w:lineRule="exact"/>
              <w:ind w:firstLine="2"/>
              <w:contextualSpacing/>
              <w:jc w:val="right"/>
            </w:pPr>
            <w:r>
              <w:t xml:space="preserve"> 1,572,597.57 </w:t>
            </w:r>
          </w:p>
        </w:tc>
        <w:tc>
          <w:tcPr>
            <w:tcW w:w="787" w:type="pct"/>
            <w:tcBorders>
              <w:top w:val="nil"/>
              <w:left w:val="nil"/>
              <w:bottom w:val="dotted" w:color="auto" w:sz="4" w:space="0"/>
              <w:right w:val="dotted" w:color="auto" w:sz="4" w:space="0"/>
            </w:tcBorders>
            <w:shd w:val="clear" w:color="auto" w:fill="auto"/>
          </w:tcPr>
          <w:p>
            <w:pPr>
              <w:tabs>
                <w:tab w:val="left" w:pos="0"/>
              </w:tabs>
              <w:spacing w:line="400" w:lineRule="exact"/>
              <w:ind w:firstLine="2"/>
              <w:contextualSpacing/>
              <w:jc w:val="right"/>
            </w:pPr>
            <w:r>
              <w:t>27,993,705.88</w:t>
            </w:r>
          </w:p>
        </w:tc>
        <w:tc>
          <w:tcPr>
            <w:tcW w:w="776" w:type="pct"/>
            <w:tcBorders>
              <w:top w:val="nil"/>
              <w:left w:val="nil"/>
              <w:bottom w:val="dotted" w:color="auto" w:sz="4" w:space="0"/>
              <w:right w:val="dotted" w:color="auto" w:sz="4" w:space="0"/>
            </w:tcBorders>
            <w:shd w:val="clear" w:color="auto" w:fill="auto"/>
          </w:tcPr>
          <w:p>
            <w:pPr>
              <w:tabs>
                <w:tab w:val="left" w:pos="0"/>
              </w:tabs>
              <w:spacing w:line="400" w:lineRule="exact"/>
              <w:ind w:firstLine="2"/>
              <w:contextualSpacing/>
              <w:jc w:val="right"/>
            </w:pPr>
            <w:r>
              <w:t xml:space="preserve"> 89,138.51 </w:t>
            </w:r>
          </w:p>
        </w:tc>
        <w:tc>
          <w:tcPr>
            <w:tcW w:w="800" w:type="pct"/>
            <w:tcBorders>
              <w:top w:val="nil"/>
              <w:left w:val="nil"/>
              <w:bottom w:val="dotted" w:color="auto" w:sz="4" w:space="0"/>
              <w:right w:val="nil"/>
            </w:tcBorders>
            <w:shd w:val="clear" w:color="auto" w:fill="auto"/>
          </w:tcPr>
          <w:p>
            <w:pPr>
              <w:tabs>
                <w:tab w:val="left" w:pos="0"/>
              </w:tabs>
              <w:spacing w:line="400" w:lineRule="exact"/>
              <w:ind w:firstLine="2"/>
              <w:contextualSpacing/>
              <w:jc w:val="right"/>
            </w:pPr>
            <w:r>
              <w:t xml:space="preserve"> 30,085,427.85 </w:t>
            </w:r>
          </w:p>
        </w:tc>
      </w:tr>
      <w:tr>
        <w:tblPrEx>
          <w:tblCellMar>
            <w:top w:w="0" w:type="dxa"/>
            <w:left w:w="108" w:type="dxa"/>
            <w:bottom w:w="0" w:type="dxa"/>
            <w:right w:w="108" w:type="dxa"/>
          </w:tblCellMar>
        </w:tblPrEx>
        <w:trPr>
          <w:trHeight w:val="270" w:hRule="atLeast"/>
        </w:trPr>
        <w:tc>
          <w:tcPr>
            <w:tcW w:w="1165" w:type="pct"/>
            <w:tcBorders>
              <w:top w:val="nil"/>
              <w:left w:val="nil"/>
              <w:bottom w:val="dotted" w:color="auto" w:sz="4" w:space="0"/>
              <w:right w:val="dotted" w:color="auto" w:sz="4" w:space="0"/>
            </w:tcBorders>
            <w:shd w:val="clear" w:color="auto" w:fill="auto"/>
            <w:noWrap/>
            <w:vAlign w:val="center"/>
          </w:tcPr>
          <w:p>
            <w:pPr>
              <w:spacing w:line="400" w:lineRule="exact"/>
              <w:contextualSpacing/>
            </w:pPr>
            <w:r>
              <w:rPr>
                <w:rFonts w:hint="eastAsia"/>
              </w:rPr>
              <w:t>外币金融负债：</w:t>
            </w:r>
          </w:p>
        </w:tc>
        <w:tc>
          <w:tcPr>
            <w:tcW w:w="736" w:type="pct"/>
            <w:tcBorders>
              <w:top w:val="dotted" w:color="auto" w:sz="4" w:space="0"/>
              <w:left w:val="nil"/>
              <w:bottom w:val="dotted" w:color="auto" w:sz="4" w:space="0"/>
              <w:right w:val="dotted" w:color="auto" w:sz="4" w:space="0"/>
            </w:tcBorders>
            <w:vAlign w:val="bottom"/>
          </w:tcPr>
          <w:p>
            <w:pPr>
              <w:spacing w:line="400" w:lineRule="exact"/>
              <w:jc w:val="right"/>
              <w:rPr>
                <w:color w:val="000000"/>
              </w:rPr>
            </w:pPr>
          </w:p>
        </w:tc>
        <w:tc>
          <w:tcPr>
            <w:tcW w:w="736" w:type="pct"/>
            <w:tcBorders>
              <w:top w:val="nil"/>
              <w:left w:val="dotted" w:color="auto" w:sz="4" w:space="0"/>
              <w:bottom w:val="dotted" w:color="auto" w:sz="4" w:space="0"/>
              <w:right w:val="dotted" w:color="auto" w:sz="4" w:space="0"/>
            </w:tcBorders>
            <w:shd w:val="clear" w:color="auto" w:fill="auto"/>
            <w:vAlign w:val="bottom"/>
          </w:tcPr>
          <w:p>
            <w:pPr>
              <w:spacing w:line="400" w:lineRule="exact"/>
              <w:jc w:val="right"/>
              <w:rPr>
                <w:color w:val="000000"/>
              </w:rPr>
            </w:pPr>
          </w:p>
        </w:tc>
        <w:tc>
          <w:tcPr>
            <w:tcW w:w="787" w:type="pct"/>
            <w:tcBorders>
              <w:top w:val="nil"/>
              <w:left w:val="nil"/>
              <w:bottom w:val="dotted" w:color="auto" w:sz="4" w:space="0"/>
              <w:right w:val="dotted" w:color="auto" w:sz="4" w:space="0"/>
            </w:tcBorders>
            <w:shd w:val="clear" w:color="auto" w:fill="auto"/>
            <w:noWrap/>
            <w:vAlign w:val="bottom"/>
          </w:tcPr>
          <w:p>
            <w:pPr>
              <w:spacing w:line="400" w:lineRule="exact"/>
              <w:jc w:val="right"/>
              <w:rPr>
                <w:color w:val="000000"/>
              </w:rPr>
            </w:pPr>
          </w:p>
        </w:tc>
        <w:tc>
          <w:tcPr>
            <w:tcW w:w="776" w:type="pct"/>
            <w:tcBorders>
              <w:top w:val="nil"/>
              <w:left w:val="nil"/>
              <w:bottom w:val="dotted" w:color="auto" w:sz="4" w:space="0"/>
              <w:right w:val="dotted" w:color="auto" w:sz="4" w:space="0"/>
            </w:tcBorders>
            <w:shd w:val="clear" w:color="auto" w:fill="auto"/>
            <w:noWrap/>
            <w:vAlign w:val="bottom"/>
          </w:tcPr>
          <w:p>
            <w:pPr>
              <w:spacing w:line="400" w:lineRule="exact"/>
              <w:jc w:val="right"/>
              <w:rPr>
                <w:color w:val="000000"/>
              </w:rPr>
            </w:pPr>
          </w:p>
        </w:tc>
        <w:tc>
          <w:tcPr>
            <w:tcW w:w="800" w:type="pct"/>
            <w:tcBorders>
              <w:top w:val="nil"/>
              <w:left w:val="nil"/>
              <w:bottom w:val="dotted" w:color="auto" w:sz="4" w:space="0"/>
              <w:right w:val="nil"/>
            </w:tcBorders>
            <w:shd w:val="clear" w:color="auto" w:fill="auto"/>
            <w:vAlign w:val="bottom"/>
          </w:tcPr>
          <w:p>
            <w:pPr>
              <w:spacing w:line="400" w:lineRule="exact"/>
              <w:jc w:val="right"/>
              <w:rPr>
                <w:color w:val="000000"/>
              </w:rPr>
            </w:pPr>
          </w:p>
        </w:tc>
      </w:tr>
      <w:tr>
        <w:tblPrEx>
          <w:tblCellMar>
            <w:top w:w="0" w:type="dxa"/>
            <w:left w:w="108" w:type="dxa"/>
            <w:bottom w:w="0" w:type="dxa"/>
            <w:right w:w="108" w:type="dxa"/>
          </w:tblCellMar>
        </w:tblPrEx>
        <w:trPr>
          <w:trHeight w:val="270" w:hRule="atLeast"/>
        </w:trPr>
        <w:tc>
          <w:tcPr>
            <w:tcW w:w="1165" w:type="pct"/>
            <w:tcBorders>
              <w:top w:val="nil"/>
              <w:left w:val="nil"/>
              <w:bottom w:val="dotted" w:color="auto" w:sz="4" w:space="0"/>
              <w:right w:val="dotted" w:color="auto" w:sz="4" w:space="0"/>
            </w:tcBorders>
            <w:shd w:val="clear" w:color="auto" w:fill="auto"/>
            <w:noWrap/>
            <w:vAlign w:val="center"/>
          </w:tcPr>
          <w:p>
            <w:pPr>
              <w:spacing w:line="400" w:lineRule="exact"/>
              <w:contextualSpacing/>
            </w:pPr>
            <w:r>
              <w:rPr>
                <w:rFonts w:hint="eastAsia"/>
              </w:rPr>
              <w:t>应付账款</w:t>
            </w:r>
          </w:p>
        </w:tc>
        <w:tc>
          <w:tcPr>
            <w:tcW w:w="736" w:type="pct"/>
            <w:tcBorders>
              <w:top w:val="dotted" w:color="auto" w:sz="4" w:space="0"/>
              <w:left w:val="nil"/>
              <w:bottom w:val="dotted" w:color="auto" w:sz="4" w:space="0"/>
              <w:right w:val="dotted" w:color="auto" w:sz="4" w:space="0"/>
            </w:tcBorders>
            <w:vAlign w:val="bottom"/>
          </w:tcPr>
          <w:p>
            <w:pPr>
              <w:spacing w:line="400" w:lineRule="exact"/>
              <w:jc w:val="right"/>
              <w:rPr>
                <w:color w:val="000000"/>
              </w:rPr>
            </w:pPr>
          </w:p>
        </w:tc>
        <w:tc>
          <w:tcPr>
            <w:tcW w:w="736" w:type="pct"/>
            <w:tcBorders>
              <w:top w:val="nil"/>
              <w:left w:val="dotted" w:color="auto" w:sz="4" w:space="0"/>
              <w:bottom w:val="dotted" w:color="auto" w:sz="4" w:space="0"/>
              <w:right w:val="dotted" w:color="auto" w:sz="4" w:space="0"/>
            </w:tcBorders>
            <w:shd w:val="clear" w:color="auto" w:fill="auto"/>
          </w:tcPr>
          <w:p>
            <w:pPr>
              <w:tabs>
                <w:tab w:val="left" w:pos="0"/>
              </w:tabs>
              <w:spacing w:line="400" w:lineRule="exact"/>
              <w:ind w:firstLine="2"/>
              <w:contextualSpacing/>
              <w:jc w:val="right"/>
            </w:pPr>
            <w:r>
              <w:t xml:space="preserve"> 523,454.45 </w:t>
            </w:r>
          </w:p>
        </w:tc>
        <w:tc>
          <w:tcPr>
            <w:tcW w:w="787" w:type="pct"/>
            <w:tcBorders>
              <w:top w:val="nil"/>
              <w:left w:val="nil"/>
              <w:bottom w:val="dotted" w:color="auto" w:sz="4" w:space="0"/>
              <w:right w:val="dotted" w:color="auto" w:sz="4" w:space="0"/>
            </w:tcBorders>
            <w:shd w:val="clear" w:color="auto" w:fill="auto"/>
            <w:noWrap/>
          </w:tcPr>
          <w:p>
            <w:pPr>
              <w:tabs>
                <w:tab w:val="left" w:pos="0"/>
              </w:tabs>
              <w:spacing w:line="400" w:lineRule="exact"/>
              <w:ind w:firstLine="2"/>
              <w:contextualSpacing/>
              <w:jc w:val="right"/>
            </w:pPr>
            <w:r>
              <w:t xml:space="preserve"> 7,461,140.01 </w:t>
            </w:r>
          </w:p>
        </w:tc>
        <w:tc>
          <w:tcPr>
            <w:tcW w:w="776" w:type="pct"/>
            <w:tcBorders>
              <w:top w:val="nil"/>
              <w:left w:val="nil"/>
              <w:bottom w:val="dotted" w:color="auto" w:sz="4" w:space="0"/>
              <w:right w:val="dotted" w:color="auto" w:sz="4" w:space="0"/>
            </w:tcBorders>
            <w:shd w:val="clear" w:color="auto" w:fill="auto"/>
            <w:noWrap/>
          </w:tcPr>
          <w:p>
            <w:pPr>
              <w:tabs>
                <w:tab w:val="left" w:pos="0"/>
              </w:tabs>
              <w:spacing w:line="400" w:lineRule="exact"/>
              <w:ind w:firstLine="2"/>
              <w:contextualSpacing/>
              <w:jc w:val="right"/>
            </w:pPr>
            <w:r>
              <w:t xml:space="preserve"> 15,240.23 </w:t>
            </w:r>
          </w:p>
        </w:tc>
        <w:tc>
          <w:tcPr>
            <w:tcW w:w="800" w:type="pct"/>
            <w:tcBorders>
              <w:top w:val="nil"/>
              <w:left w:val="nil"/>
              <w:bottom w:val="dotted" w:color="auto" w:sz="4" w:space="0"/>
              <w:right w:val="nil"/>
            </w:tcBorders>
            <w:shd w:val="clear" w:color="auto" w:fill="auto"/>
          </w:tcPr>
          <w:p>
            <w:pPr>
              <w:tabs>
                <w:tab w:val="left" w:pos="0"/>
              </w:tabs>
              <w:spacing w:line="400" w:lineRule="exact"/>
              <w:ind w:firstLine="2"/>
              <w:contextualSpacing/>
              <w:jc w:val="right"/>
            </w:pPr>
            <w:r>
              <w:t xml:space="preserve"> 7,999,834.69 </w:t>
            </w:r>
          </w:p>
        </w:tc>
      </w:tr>
      <w:tr>
        <w:tblPrEx>
          <w:tblCellMar>
            <w:top w:w="0" w:type="dxa"/>
            <w:left w:w="108" w:type="dxa"/>
            <w:bottom w:w="0" w:type="dxa"/>
            <w:right w:w="108" w:type="dxa"/>
          </w:tblCellMar>
        </w:tblPrEx>
        <w:trPr>
          <w:trHeight w:val="270" w:hRule="atLeast"/>
        </w:trPr>
        <w:tc>
          <w:tcPr>
            <w:tcW w:w="1165" w:type="pct"/>
            <w:tcBorders>
              <w:top w:val="nil"/>
              <w:left w:val="nil"/>
              <w:bottom w:val="dotted" w:color="auto" w:sz="4" w:space="0"/>
              <w:right w:val="dotted" w:color="auto" w:sz="4" w:space="0"/>
            </w:tcBorders>
            <w:shd w:val="clear" w:color="auto" w:fill="auto"/>
            <w:noWrap/>
            <w:vAlign w:val="center"/>
          </w:tcPr>
          <w:p>
            <w:pPr>
              <w:spacing w:line="400" w:lineRule="exact"/>
              <w:contextualSpacing/>
            </w:pPr>
            <w:r>
              <w:rPr>
                <w:rFonts w:hint="eastAsia"/>
              </w:rPr>
              <w:t>其他应付款</w:t>
            </w:r>
          </w:p>
        </w:tc>
        <w:tc>
          <w:tcPr>
            <w:tcW w:w="736" w:type="pct"/>
            <w:tcBorders>
              <w:top w:val="dotted" w:color="auto" w:sz="4" w:space="0"/>
              <w:left w:val="nil"/>
              <w:bottom w:val="dotted" w:color="auto" w:sz="4" w:space="0"/>
              <w:right w:val="dotted" w:color="auto" w:sz="4" w:space="0"/>
            </w:tcBorders>
            <w:vAlign w:val="bottom"/>
          </w:tcPr>
          <w:p>
            <w:pPr>
              <w:spacing w:line="400" w:lineRule="exact"/>
              <w:jc w:val="right"/>
              <w:rPr>
                <w:color w:val="000000"/>
              </w:rPr>
            </w:pPr>
          </w:p>
        </w:tc>
        <w:tc>
          <w:tcPr>
            <w:tcW w:w="736" w:type="pct"/>
            <w:tcBorders>
              <w:top w:val="nil"/>
              <w:left w:val="dotted" w:color="auto" w:sz="4" w:space="0"/>
              <w:bottom w:val="dotted" w:color="auto" w:sz="4" w:space="0"/>
              <w:right w:val="dotted" w:color="auto" w:sz="4" w:space="0"/>
            </w:tcBorders>
            <w:shd w:val="clear" w:color="auto" w:fill="auto"/>
          </w:tcPr>
          <w:p>
            <w:pPr>
              <w:tabs>
                <w:tab w:val="left" w:pos="0"/>
              </w:tabs>
              <w:spacing w:line="400" w:lineRule="exact"/>
              <w:ind w:firstLine="2"/>
              <w:contextualSpacing/>
              <w:jc w:val="right"/>
            </w:pPr>
            <w:r>
              <w:t xml:space="preserve">  </w:t>
            </w:r>
          </w:p>
        </w:tc>
        <w:tc>
          <w:tcPr>
            <w:tcW w:w="787" w:type="pct"/>
            <w:tcBorders>
              <w:top w:val="nil"/>
              <w:left w:val="nil"/>
              <w:bottom w:val="dotted" w:color="auto" w:sz="4" w:space="0"/>
              <w:right w:val="dotted" w:color="auto" w:sz="4" w:space="0"/>
            </w:tcBorders>
            <w:shd w:val="clear" w:color="auto" w:fill="auto"/>
            <w:noWrap/>
          </w:tcPr>
          <w:p>
            <w:pPr>
              <w:tabs>
                <w:tab w:val="left" w:pos="0"/>
              </w:tabs>
              <w:spacing w:line="400" w:lineRule="exact"/>
              <w:ind w:firstLine="2"/>
              <w:contextualSpacing/>
              <w:jc w:val="right"/>
            </w:pPr>
            <w:r>
              <w:t xml:space="preserve"> 2,234,567.27  </w:t>
            </w:r>
          </w:p>
        </w:tc>
        <w:tc>
          <w:tcPr>
            <w:tcW w:w="776" w:type="pct"/>
            <w:tcBorders>
              <w:top w:val="nil"/>
              <w:left w:val="nil"/>
              <w:bottom w:val="dotted" w:color="auto" w:sz="4" w:space="0"/>
              <w:right w:val="dotted" w:color="auto" w:sz="4" w:space="0"/>
            </w:tcBorders>
            <w:shd w:val="clear" w:color="auto" w:fill="auto"/>
            <w:noWrap/>
          </w:tcPr>
          <w:p>
            <w:pPr>
              <w:tabs>
                <w:tab w:val="left" w:pos="0"/>
              </w:tabs>
              <w:spacing w:line="400" w:lineRule="exact"/>
              <w:ind w:firstLine="2"/>
              <w:contextualSpacing/>
              <w:jc w:val="right"/>
            </w:pPr>
            <w:r>
              <w:t xml:space="preserve">  </w:t>
            </w:r>
          </w:p>
        </w:tc>
        <w:tc>
          <w:tcPr>
            <w:tcW w:w="800" w:type="pct"/>
            <w:tcBorders>
              <w:top w:val="nil"/>
              <w:left w:val="nil"/>
              <w:bottom w:val="dotted" w:color="auto" w:sz="4" w:space="0"/>
              <w:right w:val="nil"/>
            </w:tcBorders>
            <w:shd w:val="clear" w:color="auto" w:fill="auto"/>
          </w:tcPr>
          <w:p>
            <w:pPr>
              <w:tabs>
                <w:tab w:val="left" w:pos="0"/>
              </w:tabs>
              <w:spacing w:line="400" w:lineRule="exact"/>
              <w:ind w:firstLine="2"/>
              <w:contextualSpacing/>
              <w:jc w:val="right"/>
            </w:pPr>
            <w:r>
              <w:t xml:space="preserve">  2,234,567.27</w:t>
            </w:r>
          </w:p>
        </w:tc>
      </w:tr>
      <w:tr>
        <w:tblPrEx>
          <w:tblCellMar>
            <w:top w:w="0" w:type="dxa"/>
            <w:left w:w="108" w:type="dxa"/>
            <w:bottom w:w="0" w:type="dxa"/>
            <w:right w:w="108" w:type="dxa"/>
          </w:tblCellMar>
        </w:tblPrEx>
        <w:trPr>
          <w:trHeight w:val="285" w:hRule="atLeast"/>
        </w:trPr>
        <w:tc>
          <w:tcPr>
            <w:tcW w:w="1165" w:type="pct"/>
            <w:tcBorders>
              <w:top w:val="nil"/>
              <w:left w:val="nil"/>
              <w:bottom w:val="single" w:color="auto" w:sz="12" w:space="0"/>
              <w:right w:val="dotted" w:color="auto" w:sz="4" w:space="0"/>
            </w:tcBorders>
            <w:shd w:val="clear" w:color="auto" w:fill="auto"/>
            <w:noWrap/>
            <w:vAlign w:val="center"/>
          </w:tcPr>
          <w:p>
            <w:pPr>
              <w:spacing w:line="400" w:lineRule="exact"/>
              <w:contextualSpacing/>
              <w:jc w:val="center"/>
            </w:pPr>
            <w:r>
              <w:rPr>
                <w:rFonts w:hint="eastAsia"/>
              </w:rPr>
              <w:t>小计</w:t>
            </w:r>
          </w:p>
        </w:tc>
        <w:tc>
          <w:tcPr>
            <w:tcW w:w="736" w:type="pct"/>
            <w:tcBorders>
              <w:top w:val="dotted" w:color="auto" w:sz="4" w:space="0"/>
              <w:left w:val="nil"/>
              <w:bottom w:val="single" w:color="auto" w:sz="12" w:space="0"/>
              <w:right w:val="dotted" w:color="auto" w:sz="4" w:space="0"/>
            </w:tcBorders>
            <w:vAlign w:val="bottom"/>
          </w:tcPr>
          <w:p>
            <w:pPr>
              <w:spacing w:line="400" w:lineRule="exact"/>
              <w:jc w:val="right"/>
              <w:rPr>
                <w:color w:val="000000"/>
              </w:rPr>
            </w:pPr>
          </w:p>
        </w:tc>
        <w:tc>
          <w:tcPr>
            <w:tcW w:w="736" w:type="pct"/>
            <w:tcBorders>
              <w:top w:val="nil"/>
              <w:left w:val="dotted" w:color="auto" w:sz="4" w:space="0"/>
              <w:bottom w:val="single" w:color="auto" w:sz="12" w:space="0"/>
              <w:right w:val="dotted" w:color="auto" w:sz="4" w:space="0"/>
            </w:tcBorders>
            <w:shd w:val="clear" w:color="auto" w:fill="auto"/>
          </w:tcPr>
          <w:p>
            <w:pPr>
              <w:tabs>
                <w:tab w:val="left" w:pos="0"/>
              </w:tabs>
              <w:spacing w:line="400" w:lineRule="exact"/>
              <w:ind w:firstLine="2"/>
              <w:contextualSpacing/>
              <w:jc w:val="right"/>
            </w:pPr>
            <w:r>
              <w:t xml:space="preserve"> 523,454.45 </w:t>
            </w:r>
          </w:p>
        </w:tc>
        <w:tc>
          <w:tcPr>
            <w:tcW w:w="787" w:type="pct"/>
            <w:tcBorders>
              <w:top w:val="nil"/>
              <w:left w:val="nil"/>
              <w:bottom w:val="single" w:color="auto" w:sz="12" w:space="0"/>
              <w:right w:val="dotted" w:color="auto" w:sz="4" w:space="0"/>
            </w:tcBorders>
            <w:shd w:val="clear" w:color="auto" w:fill="auto"/>
          </w:tcPr>
          <w:p>
            <w:pPr>
              <w:tabs>
                <w:tab w:val="left" w:pos="0"/>
              </w:tabs>
              <w:spacing w:line="400" w:lineRule="exact"/>
              <w:ind w:firstLine="2"/>
              <w:contextualSpacing/>
              <w:jc w:val="right"/>
            </w:pPr>
            <w:r>
              <w:t xml:space="preserve">9,695,707.28  </w:t>
            </w:r>
          </w:p>
        </w:tc>
        <w:tc>
          <w:tcPr>
            <w:tcW w:w="776" w:type="pct"/>
            <w:tcBorders>
              <w:top w:val="nil"/>
              <w:left w:val="nil"/>
              <w:bottom w:val="single" w:color="auto" w:sz="12" w:space="0"/>
              <w:right w:val="dotted" w:color="auto" w:sz="4" w:space="0"/>
            </w:tcBorders>
            <w:shd w:val="clear" w:color="auto" w:fill="auto"/>
          </w:tcPr>
          <w:p>
            <w:pPr>
              <w:tabs>
                <w:tab w:val="left" w:pos="0"/>
              </w:tabs>
              <w:spacing w:line="400" w:lineRule="exact"/>
              <w:ind w:firstLine="2"/>
              <w:contextualSpacing/>
              <w:jc w:val="right"/>
            </w:pPr>
            <w:r>
              <w:t xml:space="preserve"> 15,240.23 </w:t>
            </w:r>
          </w:p>
        </w:tc>
        <w:tc>
          <w:tcPr>
            <w:tcW w:w="800" w:type="pct"/>
            <w:tcBorders>
              <w:top w:val="nil"/>
              <w:left w:val="nil"/>
              <w:bottom w:val="single" w:color="auto" w:sz="12" w:space="0"/>
              <w:right w:val="nil"/>
            </w:tcBorders>
            <w:shd w:val="clear" w:color="auto" w:fill="auto"/>
          </w:tcPr>
          <w:p>
            <w:pPr>
              <w:tabs>
                <w:tab w:val="left" w:pos="0"/>
              </w:tabs>
              <w:spacing w:line="400" w:lineRule="exact"/>
              <w:ind w:firstLine="2"/>
              <w:contextualSpacing/>
              <w:jc w:val="right"/>
            </w:pPr>
            <w:r>
              <w:t xml:space="preserve">10,234,401.96 </w:t>
            </w:r>
          </w:p>
        </w:tc>
      </w:tr>
    </w:tbl>
    <w:p>
      <w:pPr>
        <w:autoSpaceDE w:val="0"/>
        <w:autoSpaceDN w:val="0"/>
        <w:adjustRightInd w:val="0"/>
        <w:spacing w:before="0" w:after="0"/>
        <w:ind w:left="709"/>
        <w:rPr>
          <w:rFonts w:eastAsiaTheme="minorEastAsia"/>
          <w:kern w:val="0"/>
          <w:sz w:val="21"/>
          <w:szCs w:val="24"/>
          <w:lang w:val="zh-CN"/>
        </w:rPr>
      </w:pPr>
    </w:p>
    <w:tbl>
      <w:tblPr>
        <w:tblStyle w:val="9"/>
        <w:tblW w:w="5000" w:type="pct"/>
        <w:tblInd w:w="0" w:type="dxa"/>
        <w:tblLayout w:type="autofit"/>
        <w:tblCellMar>
          <w:top w:w="0" w:type="dxa"/>
          <w:left w:w="108" w:type="dxa"/>
          <w:bottom w:w="0" w:type="dxa"/>
          <w:right w:w="108" w:type="dxa"/>
        </w:tblCellMar>
      </w:tblPr>
      <w:tblGrid>
        <w:gridCol w:w="2295"/>
        <w:gridCol w:w="1451"/>
        <w:gridCol w:w="1451"/>
        <w:gridCol w:w="1549"/>
        <w:gridCol w:w="1529"/>
        <w:gridCol w:w="1579"/>
      </w:tblGrid>
      <w:tr>
        <w:tblPrEx>
          <w:tblCellMar>
            <w:top w:w="0" w:type="dxa"/>
            <w:left w:w="108" w:type="dxa"/>
            <w:bottom w:w="0" w:type="dxa"/>
            <w:right w:w="108" w:type="dxa"/>
          </w:tblCellMar>
        </w:tblPrEx>
        <w:trPr>
          <w:trHeight w:val="285" w:hRule="atLeast"/>
        </w:trPr>
        <w:tc>
          <w:tcPr>
            <w:tcW w:w="1165" w:type="pct"/>
            <w:vMerge w:val="restart"/>
            <w:tcBorders>
              <w:top w:val="single" w:color="auto" w:sz="12" w:space="0"/>
              <w:left w:val="nil"/>
              <w:bottom w:val="dotted" w:color="000000" w:sz="4" w:space="0"/>
              <w:right w:val="dotted" w:color="auto" w:sz="4" w:space="0"/>
            </w:tcBorders>
            <w:shd w:val="clear" w:color="auto" w:fill="auto"/>
            <w:noWrap/>
            <w:vAlign w:val="center"/>
          </w:tcPr>
          <w:p>
            <w:pPr>
              <w:spacing w:line="400" w:lineRule="exact"/>
              <w:contextualSpacing/>
              <w:jc w:val="center"/>
            </w:pPr>
            <w:r>
              <w:rPr>
                <w:rFonts w:hint="eastAsia"/>
              </w:rPr>
              <w:t>项目</w:t>
            </w:r>
          </w:p>
        </w:tc>
        <w:tc>
          <w:tcPr>
            <w:tcW w:w="3835" w:type="pct"/>
            <w:gridSpan w:val="5"/>
            <w:tcBorders>
              <w:top w:val="single" w:color="auto" w:sz="12" w:space="0"/>
              <w:left w:val="nil"/>
              <w:bottom w:val="dotted" w:color="auto" w:sz="4" w:space="0"/>
              <w:right w:val="nil"/>
            </w:tcBorders>
          </w:tcPr>
          <w:p>
            <w:pPr>
              <w:spacing w:line="400" w:lineRule="exact"/>
              <w:contextualSpacing/>
              <w:jc w:val="center"/>
            </w:pPr>
            <w:r>
              <w:t>201</w:t>
            </w:r>
            <w:r>
              <w:rPr>
                <w:rFonts w:hint="eastAsia"/>
              </w:rPr>
              <w:t>8年</w:t>
            </w:r>
            <w:r>
              <w:t>12</w:t>
            </w:r>
            <w:r>
              <w:rPr>
                <w:rFonts w:hint="eastAsia"/>
              </w:rPr>
              <w:t>月</w:t>
            </w:r>
            <w:r>
              <w:t>31</w:t>
            </w:r>
            <w:r>
              <w:rPr>
                <w:rFonts w:hint="eastAsia"/>
              </w:rPr>
              <w:t>日</w:t>
            </w:r>
          </w:p>
        </w:tc>
      </w:tr>
      <w:tr>
        <w:tblPrEx>
          <w:tblCellMar>
            <w:top w:w="0" w:type="dxa"/>
            <w:left w:w="108" w:type="dxa"/>
            <w:bottom w:w="0" w:type="dxa"/>
            <w:right w:w="108" w:type="dxa"/>
          </w:tblCellMar>
        </w:tblPrEx>
        <w:trPr>
          <w:trHeight w:val="270" w:hRule="atLeast"/>
        </w:trPr>
        <w:tc>
          <w:tcPr>
            <w:tcW w:w="1165" w:type="pct"/>
            <w:vMerge w:val="continue"/>
            <w:tcBorders>
              <w:top w:val="single" w:color="auto" w:sz="12" w:space="0"/>
              <w:left w:val="nil"/>
              <w:bottom w:val="dotted" w:color="000000" w:sz="4" w:space="0"/>
              <w:right w:val="dotted" w:color="auto" w:sz="4" w:space="0"/>
            </w:tcBorders>
            <w:vAlign w:val="center"/>
          </w:tcPr>
          <w:p>
            <w:pPr>
              <w:spacing w:line="400" w:lineRule="exact"/>
              <w:contextualSpacing/>
              <w:jc w:val="center"/>
            </w:pPr>
          </w:p>
        </w:tc>
        <w:tc>
          <w:tcPr>
            <w:tcW w:w="736" w:type="pct"/>
            <w:tcBorders>
              <w:top w:val="dotted" w:color="auto" w:sz="4" w:space="0"/>
              <w:left w:val="nil"/>
              <w:bottom w:val="dotted" w:color="auto" w:sz="4" w:space="0"/>
              <w:right w:val="dotted" w:color="auto" w:sz="4" w:space="0"/>
            </w:tcBorders>
          </w:tcPr>
          <w:p>
            <w:pPr>
              <w:spacing w:line="400" w:lineRule="exact"/>
              <w:contextualSpacing/>
              <w:jc w:val="center"/>
            </w:pPr>
            <w:r>
              <w:rPr>
                <w:rFonts w:hint="eastAsia"/>
              </w:rPr>
              <w:t>港币</w:t>
            </w:r>
          </w:p>
        </w:tc>
        <w:tc>
          <w:tcPr>
            <w:tcW w:w="736" w:type="pct"/>
            <w:tcBorders>
              <w:top w:val="nil"/>
              <w:left w:val="dotted" w:color="auto" w:sz="4" w:space="0"/>
              <w:bottom w:val="dotted" w:color="auto" w:sz="4" w:space="0"/>
              <w:right w:val="dotted" w:color="auto" w:sz="4" w:space="0"/>
            </w:tcBorders>
            <w:shd w:val="clear" w:color="auto" w:fill="auto"/>
            <w:vAlign w:val="center"/>
          </w:tcPr>
          <w:p>
            <w:pPr>
              <w:spacing w:line="400" w:lineRule="exact"/>
              <w:contextualSpacing/>
              <w:jc w:val="center"/>
            </w:pPr>
            <w:r>
              <w:rPr>
                <w:rFonts w:hint="eastAsia"/>
              </w:rPr>
              <w:t>日元</w:t>
            </w:r>
          </w:p>
        </w:tc>
        <w:tc>
          <w:tcPr>
            <w:tcW w:w="786" w:type="pct"/>
            <w:tcBorders>
              <w:top w:val="nil"/>
              <w:left w:val="nil"/>
              <w:bottom w:val="dotted" w:color="auto" w:sz="4" w:space="0"/>
              <w:right w:val="dotted" w:color="auto" w:sz="4" w:space="0"/>
            </w:tcBorders>
            <w:shd w:val="clear" w:color="auto" w:fill="auto"/>
            <w:noWrap/>
            <w:vAlign w:val="center"/>
          </w:tcPr>
          <w:p>
            <w:pPr>
              <w:spacing w:line="400" w:lineRule="exact"/>
              <w:contextualSpacing/>
              <w:jc w:val="center"/>
            </w:pPr>
            <w:r>
              <w:rPr>
                <w:rFonts w:hint="eastAsia"/>
              </w:rPr>
              <w:t>美元</w:t>
            </w:r>
          </w:p>
        </w:tc>
        <w:tc>
          <w:tcPr>
            <w:tcW w:w="776" w:type="pct"/>
            <w:tcBorders>
              <w:top w:val="nil"/>
              <w:left w:val="nil"/>
              <w:bottom w:val="dotted" w:color="auto" w:sz="4" w:space="0"/>
              <w:right w:val="dotted" w:color="auto" w:sz="4" w:space="0"/>
            </w:tcBorders>
            <w:shd w:val="clear" w:color="auto" w:fill="auto"/>
            <w:noWrap/>
            <w:vAlign w:val="center"/>
          </w:tcPr>
          <w:p>
            <w:pPr>
              <w:spacing w:line="400" w:lineRule="exact"/>
              <w:contextualSpacing/>
              <w:jc w:val="center"/>
            </w:pPr>
            <w:r>
              <w:rPr>
                <w:rFonts w:hint="eastAsia"/>
              </w:rPr>
              <w:t>欧元</w:t>
            </w:r>
          </w:p>
        </w:tc>
        <w:tc>
          <w:tcPr>
            <w:tcW w:w="801" w:type="pct"/>
            <w:tcBorders>
              <w:top w:val="nil"/>
              <w:left w:val="nil"/>
              <w:bottom w:val="dotted" w:color="auto" w:sz="4" w:space="0"/>
              <w:right w:val="nil"/>
            </w:tcBorders>
            <w:shd w:val="clear" w:color="auto" w:fill="auto"/>
            <w:vAlign w:val="center"/>
          </w:tcPr>
          <w:p>
            <w:pPr>
              <w:spacing w:line="400" w:lineRule="exact"/>
              <w:contextualSpacing/>
              <w:jc w:val="center"/>
            </w:pPr>
            <w:r>
              <w:rPr>
                <w:rFonts w:hint="eastAsia"/>
              </w:rPr>
              <w:t>合计</w:t>
            </w:r>
          </w:p>
        </w:tc>
      </w:tr>
      <w:tr>
        <w:trPr>
          <w:trHeight w:val="270" w:hRule="atLeast"/>
        </w:trPr>
        <w:tc>
          <w:tcPr>
            <w:tcW w:w="1165" w:type="pct"/>
            <w:tcBorders>
              <w:top w:val="nil"/>
              <w:left w:val="nil"/>
              <w:bottom w:val="dotted" w:color="auto" w:sz="4" w:space="0"/>
              <w:right w:val="dotted" w:color="auto" w:sz="4" w:space="0"/>
            </w:tcBorders>
            <w:shd w:val="clear" w:color="auto" w:fill="auto"/>
            <w:noWrap/>
            <w:vAlign w:val="center"/>
          </w:tcPr>
          <w:p>
            <w:pPr>
              <w:spacing w:line="400" w:lineRule="exact"/>
              <w:contextualSpacing/>
            </w:pPr>
            <w:r>
              <w:rPr>
                <w:rFonts w:hint="eastAsia"/>
              </w:rPr>
              <w:t>外币金融资产：</w:t>
            </w:r>
          </w:p>
        </w:tc>
        <w:tc>
          <w:tcPr>
            <w:tcW w:w="736" w:type="pct"/>
            <w:tcBorders>
              <w:top w:val="dotted" w:color="auto" w:sz="4" w:space="0"/>
              <w:left w:val="nil"/>
              <w:bottom w:val="dotted" w:color="auto" w:sz="4" w:space="0"/>
              <w:right w:val="dotted" w:color="auto" w:sz="4" w:space="0"/>
            </w:tcBorders>
          </w:tcPr>
          <w:p>
            <w:pPr>
              <w:spacing w:line="400" w:lineRule="exact"/>
              <w:contextualSpacing/>
              <w:jc w:val="right"/>
            </w:pPr>
          </w:p>
        </w:tc>
        <w:tc>
          <w:tcPr>
            <w:tcW w:w="736" w:type="pct"/>
            <w:tcBorders>
              <w:top w:val="nil"/>
              <w:left w:val="dotted" w:color="auto" w:sz="4" w:space="0"/>
              <w:bottom w:val="dotted" w:color="auto" w:sz="4" w:space="0"/>
              <w:right w:val="dotted" w:color="auto" w:sz="4" w:space="0"/>
            </w:tcBorders>
            <w:shd w:val="clear" w:color="auto" w:fill="auto"/>
            <w:vAlign w:val="center"/>
          </w:tcPr>
          <w:p>
            <w:pPr>
              <w:spacing w:line="400" w:lineRule="exact"/>
              <w:contextualSpacing/>
              <w:jc w:val="right"/>
            </w:pPr>
          </w:p>
        </w:tc>
        <w:tc>
          <w:tcPr>
            <w:tcW w:w="786" w:type="pct"/>
            <w:tcBorders>
              <w:top w:val="nil"/>
              <w:left w:val="nil"/>
              <w:bottom w:val="dotted" w:color="auto" w:sz="4" w:space="0"/>
              <w:right w:val="dotted" w:color="auto" w:sz="4" w:space="0"/>
            </w:tcBorders>
            <w:shd w:val="clear" w:color="auto" w:fill="auto"/>
            <w:noWrap/>
            <w:vAlign w:val="center"/>
          </w:tcPr>
          <w:p>
            <w:pPr>
              <w:spacing w:line="400" w:lineRule="exact"/>
              <w:contextualSpacing/>
              <w:jc w:val="right"/>
            </w:pPr>
          </w:p>
        </w:tc>
        <w:tc>
          <w:tcPr>
            <w:tcW w:w="776" w:type="pct"/>
            <w:tcBorders>
              <w:top w:val="nil"/>
              <w:left w:val="nil"/>
              <w:bottom w:val="dotted" w:color="auto" w:sz="4" w:space="0"/>
              <w:right w:val="dotted" w:color="auto" w:sz="4" w:space="0"/>
            </w:tcBorders>
            <w:shd w:val="clear" w:color="auto" w:fill="auto"/>
            <w:noWrap/>
            <w:vAlign w:val="center"/>
          </w:tcPr>
          <w:p>
            <w:pPr>
              <w:spacing w:line="400" w:lineRule="exact"/>
              <w:contextualSpacing/>
              <w:jc w:val="right"/>
            </w:pPr>
          </w:p>
        </w:tc>
        <w:tc>
          <w:tcPr>
            <w:tcW w:w="801" w:type="pct"/>
            <w:tcBorders>
              <w:top w:val="nil"/>
              <w:left w:val="nil"/>
              <w:bottom w:val="dotted" w:color="auto" w:sz="4" w:space="0"/>
              <w:right w:val="nil"/>
            </w:tcBorders>
            <w:shd w:val="clear" w:color="auto" w:fill="auto"/>
            <w:vAlign w:val="center"/>
          </w:tcPr>
          <w:p>
            <w:pPr>
              <w:spacing w:line="400" w:lineRule="exact"/>
              <w:contextualSpacing/>
              <w:jc w:val="right"/>
            </w:pPr>
          </w:p>
        </w:tc>
      </w:tr>
      <w:tr>
        <w:tblPrEx>
          <w:tblCellMar>
            <w:top w:w="0" w:type="dxa"/>
            <w:left w:w="108" w:type="dxa"/>
            <w:bottom w:w="0" w:type="dxa"/>
            <w:right w:w="108" w:type="dxa"/>
          </w:tblCellMar>
        </w:tblPrEx>
        <w:trPr>
          <w:trHeight w:val="270" w:hRule="atLeast"/>
        </w:trPr>
        <w:tc>
          <w:tcPr>
            <w:tcW w:w="1165" w:type="pct"/>
            <w:tcBorders>
              <w:top w:val="nil"/>
              <w:left w:val="nil"/>
              <w:bottom w:val="dotted" w:color="auto" w:sz="4" w:space="0"/>
              <w:right w:val="dotted" w:color="auto" w:sz="4" w:space="0"/>
            </w:tcBorders>
            <w:shd w:val="clear" w:color="auto" w:fill="auto"/>
            <w:noWrap/>
            <w:vAlign w:val="center"/>
          </w:tcPr>
          <w:p>
            <w:pPr>
              <w:spacing w:line="400" w:lineRule="exact"/>
              <w:contextualSpacing/>
            </w:pPr>
            <w:r>
              <w:rPr>
                <w:rFonts w:hint="eastAsia"/>
              </w:rPr>
              <w:t>货币资金</w:t>
            </w:r>
          </w:p>
        </w:tc>
        <w:tc>
          <w:tcPr>
            <w:tcW w:w="736" w:type="pct"/>
            <w:tcBorders>
              <w:top w:val="dotted" w:color="auto" w:sz="4" w:space="0"/>
              <w:left w:val="nil"/>
              <w:bottom w:val="dotted" w:color="auto" w:sz="4" w:space="0"/>
              <w:right w:val="dotted" w:color="auto" w:sz="4" w:space="0"/>
            </w:tcBorders>
            <w:vAlign w:val="bottom"/>
          </w:tcPr>
          <w:p>
            <w:pPr>
              <w:spacing w:line="400" w:lineRule="exact"/>
              <w:jc w:val="right"/>
              <w:rPr>
                <w:color w:val="000000"/>
              </w:rPr>
            </w:pPr>
            <w:r>
              <w:rPr>
                <w:color w:val="000000"/>
              </w:rPr>
              <w:t xml:space="preserve">458,771.20 </w:t>
            </w:r>
          </w:p>
        </w:tc>
        <w:tc>
          <w:tcPr>
            <w:tcW w:w="736" w:type="pct"/>
            <w:tcBorders>
              <w:top w:val="nil"/>
              <w:left w:val="dotted" w:color="auto" w:sz="4" w:space="0"/>
              <w:bottom w:val="dotted" w:color="auto" w:sz="4" w:space="0"/>
              <w:right w:val="dotted" w:color="auto" w:sz="4" w:space="0"/>
            </w:tcBorders>
            <w:shd w:val="clear" w:color="auto" w:fill="auto"/>
            <w:vAlign w:val="bottom"/>
          </w:tcPr>
          <w:p>
            <w:pPr>
              <w:spacing w:line="400" w:lineRule="exact"/>
              <w:jc w:val="right"/>
              <w:rPr>
                <w:color w:val="000000"/>
              </w:rPr>
            </w:pPr>
            <w:r>
              <w:rPr>
                <w:color w:val="000000"/>
              </w:rPr>
              <w:t xml:space="preserve">1,519,035.54 </w:t>
            </w:r>
          </w:p>
        </w:tc>
        <w:tc>
          <w:tcPr>
            <w:tcW w:w="786" w:type="pct"/>
            <w:tcBorders>
              <w:top w:val="nil"/>
              <w:left w:val="nil"/>
              <w:bottom w:val="dotted" w:color="auto" w:sz="4" w:space="0"/>
              <w:right w:val="dotted" w:color="auto" w:sz="4" w:space="0"/>
            </w:tcBorders>
            <w:shd w:val="clear" w:color="auto" w:fill="auto"/>
            <w:noWrap/>
            <w:vAlign w:val="bottom"/>
          </w:tcPr>
          <w:p>
            <w:pPr>
              <w:spacing w:line="400" w:lineRule="exact"/>
              <w:jc w:val="right"/>
              <w:rPr>
                <w:color w:val="000000"/>
              </w:rPr>
            </w:pPr>
            <w:r>
              <w:rPr>
                <w:color w:val="000000"/>
              </w:rPr>
              <w:t xml:space="preserve">11,238,955.87 </w:t>
            </w:r>
          </w:p>
        </w:tc>
        <w:tc>
          <w:tcPr>
            <w:tcW w:w="776" w:type="pct"/>
            <w:tcBorders>
              <w:top w:val="nil"/>
              <w:left w:val="nil"/>
              <w:bottom w:val="dotted" w:color="auto" w:sz="4" w:space="0"/>
              <w:right w:val="dotted" w:color="auto" w:sz="4" w:space="0"/>
            </w:tcBorders>
            <w:shd w:val="clear" w:color="auto" w:fill="auto"/>
            <w:noWrap/>
            <w:vAlign w:val="bottom"/>
          </w:tcPr>
          <w:p>
            <w:pPr>
              <w:spacing w:line="400" w:lineRule="exact"/>
              <w:jc w:val="right"/>
              <w:rPr>
                <w:color w:val="000000"/>
              </w:rPr>
            </w:pPr>
            <w:r>
              <w:rPr>
                <w:color w:val="000000"/>
              </w:rPr>
              <w:t xml:space="preserve">72,359.95 </w:t>
            </w:r>
          </w:p>
        </w:tc>
        <w:tc>
          <w:tcPr>
            <w:tcW w:w="801" w:type="pct"/>
            <w:tcBorders>
              <w:top w:val="nil"/>
              <w:left w:val="nil"/>
              <w:bottom w:val="dotted" w:color="auto" w:sz="4" w:space="0"/>
              <w:right w:val="nil"/>
            </w:tcBorders>
            <w:shd w:val="clear" w:color="auto" w:fill="auto"/>
            <w:vAlign w:val="bottom"/>
          </w:tcPr>
          <w:p>
            <w:pPr>
              <w:spacing w:line="400" w:lineRule="exact"/>
              <w:jc w:val="right"/>
              <w:rPr>
                <w:color w:val="000000"/>
              </w:rPr>
            </w:pPr>
            <w:r>
              <w:rPr>
                <w:color w:val="000000"/>
              </w:rPr>
              <w:t xml:space="preserve">13,289,122.56 </w:t>
            </w:r>
          </w:p>
        </w:tc>
      </w:tr>
      <w:tr>
        <w:tblPrEx>
          <w:tblCellMar>
            <w:top w:w="0" w:type="dxa"/>
            <w:left w:w="108" w:type="dxa"/>
            <w:bottom w:w="0" w:type="dxa"/>
            <w:right w:w="108" w:type="dxa"/>
          </w:tblCellMar>
        </w:tblPrEx>
        <w:trPr>
          <w:trHeight w:val="270" w:hRule="atLeast"/>
        </w:trPr>
        <w:tc>
          <w:tcPr>
            <w:tcW w:w="1165" w:type="pct"/>
            <w:tcBorders>
              <w:top w:val="nil"/>
              <w:left w:val="nil"/>
              <w:bottom w:val="dotted" w:color="auto" w:sz="4" w:space="0"/>
              <w:right w:val="dotted" w:color="auto" w:sz="4" w:space="0"/>
            </w:tcBorders>
            <w:shd w:val="clear" w:color="auto" w:fill="auto"/>
            <w:noWrap/>
            <w:vAlign w:val="center"/>
          </w:tcPr>
          <w:p>
            <w:pPr>
              <w:spacing w:line="400" w:lineRule="exact"/>
              <w:contextualSpacing/>
            </w:pPr>
            <w:r>
              <w:rPr>
                <w:rFonts w:hint="eastAsia"/>
              </w:rPr>
              <w:t>应收账款</w:t>
            </w:r>
          </w:p>
        </w:tc>
        <w:tc>
          <w:tcPr>
            <w:tcW w:w="736" w:type="pct"/>
            <w:tcBorders>
              <w:top w:val="dotted" w:color="auto" w:sz="4" w:space="0"/>
              <w:left w:val="nil"/>
              <w:bottom w:val="dotted" w:color="auto" w:sz="4" w:space="0"/>
              <w:right w:val="dotted" w:color="auto" w:sz="4" w:space="0"/>
            </w:tcBorders>
            <w:vAlign w:val="bottom"/>
          </w:tcPr>
          <w:p>
            <w:pPr>
              <w:spacing w:line="400" w:lineRule="exact"/>
              <w:jc w:val="right"/>
              <w:rPr>
                <w:color w:val="000000"/>
              </w:rPr>
            </w:pPr>
            <w:r>
              <w:rPr>
                <w:color w:val="000000"/>
              </w:rPr>
              <w:t xml:space="preserve">322,569.79 </w:t>
            </w:r>
          </w:p>
        </w:tc>
        <w:tc>
          <w:tcPr>
            <w:tcW w:w="736" w:type="pct"/>
            <w:tcBorders>
              <w:top w:val="nil"/>
              <w:left w:val="dotted" w:color="auto" w:sz="4" w:space="0"/>
              <w:bottom w:val="dotted" w:color="auto" w:sz="4" w:space="0"/>
              <w:right w:val="dotted" w:color="auto" w:sz="4" w:space="0"/>
            </w:tcBorders>
            <w:shd w:val="clear" w:color="auto" w:fill="auto"/>
            <w:vAlign w:val="bottom"/>
          </w:tcPr>
          <w:p>
            <w:pPr>
              <w:spacing w:line="400" w:lineRule="exact"/>
              <w:jc w:val="right"/>
              <w:rPr>
                <w:color w:val="000000"/>
              </w:rPr>
            </w:pPr>
            <w:r>
              <w:rPr>
                <w:color w:val="000000"/>
              </w:rPr>
              <w:t>　</w:t>
            </w:r>
          </w:p>
        </w:tc>
        <w:tc>
          <w:tcPr>
            <w:tcW w:w="786" w:type="pct"/>
            <w:tcBorders>
              <w:top w:val="nil"/>
              <w:left w:val="nil"/>
              <w:bottom w:val="dotted" w:color="auto" w:sz="4" w:space="0"/>
              <w:right w:val="dotted" w:color="auto" w:sz="4" w:space="0"/>
            </w:tcBorders>
            <w:shd w:val="clear" w:color="auto" w:fill="auto"/>
            <w:noWrap/>
            <w:vAlign w:val="bottom"/>
          </w:tcPr>
          <w:p>
            <w:pPr>
              <w:spacing w:line="400" w:lineRule="exact"/>
              <w:jc w:val="right"/>
              <w:rPr>
                <w:color w:val="000000"/>
              </w:rPr>
            </w:pPr>
            <w:r>
              <w:rPr>
                <w:color w:val="000000"/>
              </w:rPr>
              <w:t xml:space="preserve">2,837,192.25 </w:t>
            </w:r>
          </w:p>
        </w:tc>
        <w:tc>
          <w:tcPr>
            <w:tcW w:w="776" w:type="pct"/>
            <w:tcBorders>
              <w:top w:val="nil"/>
              <w:left w:val="nil"/>
              <w:bottom w:val="dotted" w:color="auto" w:sz="4" w:space="0"/>
              <w:right w:val="dotted" w:color="auto" w:sz="4" w:space="0"/>
            </w:tcBorders>
            <w:shd w:val="clear" w:color="auto" w:fill="auto"/>
            <w:noWrap/>
            <w:vAlign w:val="bottom"/>
          </w:tcPr>
          <w:p>
            <w:pPr>
              <w:spacing w:line="400" w:lineRule="exact"/>
              <w:jc w:val="right"/>
              <w:rPr>
                <w:color w:val="000000"/>
              </w:rPr>
            </w:pPr>
            <w:r>
              <w:rPr>
                <w:color w:val="000000"/>
              </w:rPr>
              <w:t>　</w:t>
            </w:r>
          </w:p>
        </w:tc>
        <w:tc>
          <w:tcPr>
            <w:tcW w:w="801" w:type="pct"/>
            <w:tcBorders>
              <w:top w:val="nil"/>
              <w:left w:val="nil"/>
              <w:bottom w:val="dotted" w:color="auto" w:sz="4" w:space="0"/>
              <w:right w:val="nil"/>
            </w:tcBorders>
            <w:shd w:val="clear" w:color="auto" w:fill="auto"/>
            <w:vAlign w:val="bottom"/>
          </w:tcPr>
          <w:p>
            <w:pPr>
              <w:spacing w:line="400" w:lineRule="exact"/>
              <w:jc w:val="right"/>
              <w:rPr>
                <w:color w:val="000000"/>
              </w:rPr>
            </w:pPr>
            <w:r>
              <w:rPr>
                <w:color w:val="000000"/>
              </w:rPr>
              <w:t xml:space="preserve">3,159,762.04 </w:t>
            </w:r>
          </w:p>
        </w:tc>
      </w:tr>
      <w:tr>
        <w:tblPrEx>
          <w:tblCellMar>
            <w:top w:w="0" w:type="dxa"/>
            <w:left w:w="108" w:type="dxa"/>
            <w:bottom w:w="0" w:type="dxa"/>
            <w:right w:w="108" w:type="dxa"/>
          </w:tblCellMar>
        </w:tblPrEx>
        <w:trPr>
          <w:trHeight w:val="270" w:hRule="atLeast"/>
        </w:trPr>
        <w:tc>
          <w:tcPr>
            <w:tcW w:w="1165" w:type="pct"/>
            <w:tcBorders>
              <w:top w:val="nil"/>
              <w:left w:val="nil"/>
              <w:bottom w:val="dotted" w:color="auto" w:sz="4" w:space="0"/>
              <w:right w:val="dotted" w:color="auto" w:sz="4" w:space="0"/>
            </w:tcBorders>
            <w:shd w:val="clear" w:color="auto" w:fill="auto"/>
            <w:noWrap/>
            <w:vAlign w:val="center"/>
          </w:tcPr>
          <w:p>
            <w:pPr>
              <w:spacing w:line="400" w:lineRule="exact"/>
              <w:contextualSpacing/>
            </w:pPr>
            <w:r>
              <w:rPr>
                <w:rFonts w:hint="eastAsia"/>
              </w:rPr>
              <w:t>其他应收款</w:t>
            </w:r>
          </w:p>
        </w:tc>
        <w:tc>
          <w:tcPr>
            <w:tcW w:w="736" w:type="pct"/>
            <w:tcBorders>
              <w:top w:val="dotted" w:color="auto" w:sz="4" w:space="0"/>
              <w:left w:val="nil"/>
              <w:bottom w:val="dotted" w:color="auto" w:sz="4" w:space="0"/>
              <w:right w:val="dotted" w:color="auto" w:sz="4" w:space="0"/>
            </w:tcBorders>
            <w:vAlign w:val="bottom"/>
          </w:tcPr>
          <w:p>
            <w:pPr>
              <w:spacing w:line="400" w:lineRule="exact"/>
              <w:jc w:val="right"/>
              <w:rPr>
                <w:color w:val="000000"/>
              </w:rPr>
            </w:pPr>
            <w:r>
              <w:rPr>
                <w:color w:val="000000"/>
              </w:rPr>
              <w:t>　</w:t>
            </w:r>
          </w:p>
        </w:tc>
        <w:tc>
          <w:tcPr>
            <w:tcW w:w="736" w:type="pct"/>
            <w:tcBorders>
              <w:top w:val="nil"/>
              <w:left w:val="dotted" w:color="auto" w:sz="4" w:space="0"/>
              <w:bottom w:val="dotted" w:color="auto" w:sz="4" w:space="0"/>
              <w:right w:val="dotted" w:color="auto" w:sz="4" w:space="0"/>
            </w:tcBorders>
            <w:shd w:val="clear" w:color="auto" w:fill="auto"/>
            <w:vAlign w:val="bottom"/>
          </w:tcPr>
          <w:p>
            <w:pPr>
              <w:spacing w:line="400" w:lineRule="exact"/>
              <w:jc w:val="right"/>
              <w:rPr>
                <w:color w:val="000000"/>
              </w:rPr>
            </w:pPr>
            <w:r>
              <w:rPr>
                <w:color w:val="000000"/>
              </w:rPr>
              <w:t>　</w:t>
            </w:r>
          </w:p>
        </w:tc>
        <w:tc>
          <w:tcPr>
            <w:tcW w:w="786" w:type="pct"/>
            <w:tcBorders>
              <w:top w:val="nil"/>
              <w:left w:val="nil"/>
              <w:bottom w:val="dotted" w:color="auto" w:sz="4" w:space="0"/>
              <w:right w:val="dotted" w:color="auto" w:sz="4" w:space="0"/>
            </w:tcBorders>
            <w:shd w:val="clear" w:color="auto" w:fill="auto"/>
            <w:noWrap/>
            <w:vAlign w:val="bottom"/>
          </w:tcPr>
          <w:p>
            <w:pPr>
              <w:spacing w:line="400" w:lineRule="exact"/>
              <w:jc w:val="right"/>
              <w:rPr>
                <w:color w:val="000000"/>
              </w:rPr>
            </w:pPr>
            <w:r>
              <w:rPr>
                <w:color w:val="000000"/>
              </w:rPr>
              <w:t xml:space="preserve">14,943,333.90 </w:t>
            </w:r>
          </w:p>
        </w:tc>
        <w:tc>
          <w:tcPr>
            <w:tcW w:w="776" w:type="pct"/>
            <w:tcBorders>
              <w:top w:val="nil"/>
              <w:left w:val="nil"/>
              <w:bottom w:val="dotted" w:color="auto" w:sz="4" w:space="0"/>
              <w:right w:val="dotted" w:color="auto" w:sz="4" w:space="0"/>
            </w:tcBorders>
            <w:shd w:val="clear" w:color="auto" w:fill="auto"/>
            <w:noWrap/>
            <w:vAlign w:val="bottom"/>
          </w:tcPr>
          <w:p>
            <w:pPr>
              <w:spacing w:line="400" w:lineRule="exact"/>
              <w:jc w:val="right"/>
              <w:rPr>
                <w:color w:val="000000"/>
              </w:rPr>
            </w:pPr>
            <w:r>
              <w:rPr>
                <w:color w:val="000000"/>
              </w:rPr>
              <w:t>　</w:t>
            </w:r>
          </w:p>
        </w:tc>
        <w:tc>
          <w:tcPr>
            <w:tcW w:w="801" w:type="pct"/>
            <w:tcBorders>
              <w:top w:val="nil"/>
              <w:left w:val="nil"/>
              <w:bottom w:val="dotted" w:color="auto" w:sz="4" w:space="0"/>
              <w:right w:val="nil"/>
            </w:tcBorders>
            <w:shd w:val="clear" w:color="auto" w:fill="auto"/>
            <w:vAlign w:val="bottom"/>
          </w:tcPr>
          <w:p>
            <w:pPr>
              <w:spacing w:line="400" w:lineRule="exact"/>
              <w:jc w:val="right"/>
              <w:rPr>
                <w:color w:val="000000"/>
              </w:rPr>
            </w:pPr>
            <w:r>
              <w:rPr>
                <w:color w:val="000000"/>
              </w:rPr>
              <w:t xml:space="preserve">14,943,333.90 </w:t>
            </w:r>
          </w:p>
        </w:tc>
      </w:tr>
      <w:tr>
        <w:tblPrEx>
          <w:tblCellMar>
            <w:top w:w="0" w:type="dxa"/>
            <w:left w:w="108" w:type="dxa"/>
            <w:bottom w:w="0" w:type="dxa"/>
            <w:right w:w="108" w:type="dxa"/>
          </w:tblCellMar>
        </w:tblPrEx>
        <w:trPr>
          <w:trHeight w:val="270" w:hRule="atLeast"/>
        </w:trPr>
        <w:tc>
          <w:tcPr>
            <w:tcW w:w="1165" w:type="pct"/>
            <w:tcBorders>
              <w:top w:val="nil"/>
              <w:left w:val="nil"/>
              <w:bottom w:val="dotted" w:color="auto" w:sz="4" w:space="0"/>
              <w:right w:val="dotted" w:color="auto" w:sz="4" w:space="0"/>
            </w:tcBorders>
            <w:shd w:val="clear" w:color="auto" w:fill="auto"/>
            <w:noWrap/>
            <w:vAlign w:val="center"/>
          </w:tcPr>
          <w:p>
            <w:pPr>
              <w:spacing w:line="400" w:lineRule="exact"/>
              <w:contextualSpacing/>
              <w:jc w:val="center"/>
            </w:pPr>
            <w:r>
              <w:rPr>
                <w:rFonts w:hint="eastAsia"/>
              </w:rPr>
              <w:t>小计</w:t>
            </w:r>
          </w:p>
        </w:tc>
        <w:tc>
          <w:tcPr>
            <w:tcW w:w="736" w:type="pct"/>
            <w:tcBorders>
              <w:top w:val="dotted" w:color="auto" w:sz="4" w:space="0"/>
              <w:left w:val="nil"/>
              <w:bottom w:val="dotted" w:color="auto" w:sz="4" w:space="0"/>
              <w:right w:val="dotted" w:color="auto" w:sz="4" w:space="0"/>
            </w:tcBorders>
            <w:vAlign w:val="bottom"/>
          </w:tcPr>
          <w:p>
            <w:pPr>
              <w:spacing w:line="400" w:lineRule="exact"/>
              <w:jc w:val="right"/>
              <w:rPr>
                <w:sz w:val="20"/>
                <w:szCs w:val="20"/>
              </w:rPr>
            </w:pPr>
            <w:r>
              <w:rPr>
                <w:sz w:val="20"/>
                <w:szCs w:val="20"/>
              </w:rPr>
              <w:t>781,340.99</w:t>
            </w:r>
          </w:p>
        </w:tc>
        <w:tc>
          <w:tcPr>
            <w:tcW w:w="736" w:type="pct"/>
            <w:tcBorders>
              <w:top w:val="nil"/>
              <w:left w:val="dotted" w:color="auto" w:sz="4" w:space="0"/>
              <w:bottom w:val="dotted" w:color="auto" w:sz="4" w:space="0"/>
              <w:right w:val="dotted" w:color="auto" w:sz="4" w:space="0"/>
            </w:tcBorders>
            <w:shd w:val="clear" w:color="auto" w:fill="auto"/>
            <w:vAlign w:val="bottom"/>
          </w:tcPr>
          <w:p>
            <w:pPr>
              <w:spacing w:line="400" w:lineRule="exact"/>
              <w:jc w:val="right"/>
              <w:rPr>
                <w:color w:val="000000"/>
              </w:rPr>
            </w:pPr>
            <w:r>
              <w:rPr>
                <w:color w:val="000000"/>
              </w:rPr>
              <w:t xml:space="preserve">1,519,035.54 </w:t>
            </w:r>
          </w:p>
        </w:tc>
        <w:tc>
          <w:tcPr>
            <w:tcW w:w="786" w:type="pct"/>
            <w:tcBorders>
              <w:top w:val="nil"/>
              <w:left w:val="nil"/>
              <w:bottom w:val="dotted" w:color="auto" w:sz="4" w:space="0"/>
              <w:right w:val="dotted" w:color="auto" w:sz="4" w:space="0"/>
            </w:tcBorders>
            <w:shd w:val="clear" w:color="auto" w:fill="auto"/>
            <w:vAlign w:val="bottom"/>
          </w:tcPr>
          <w:p>
            <w:pPr>
              <w:spacing w:line="400" w:lineRule="exact"/>
              <w:jc w:val="right"/>
              <w:rPr>
                <w:color w:val="000000"/>
              </w:rPr>
            </w:pPr>
            <w:r>
              <w:rPr>
                <w:color w:val="000000"/>
              </w:rPr>
              <w:t xml:space="preserve">29,019,482.02 </w:t>
            </w:r>
          </w:p>
        </w:tc>
        <w:tc>
          <w:tcPr>
            <w:tcW w:w="776" w:type="pct"/>
            <w:tcBorders>
              <w:top w:val="nil"/>
              <w:left w:val="nil"/>
              <w:bottom w:val="dotted" w:color="auto" w:sz="4" w:space="0"/>
              <w:right w:val="dotted" w:color="auto" w:sz="4" w:space="0"/>
            </w:tcBorders>
            <w:shd w:val="clear" w:color="auto" w:fill="auto"/>
            <w:vAlign w:val="bottom"/>
          </w:tcPr>
          <w:p>
            <w:pPr>
              <w:spacing w:line="400" w:lineRule="exact"/>
              <w:jc w:val="right"/>
              <w:rPr>
                <w:color w:val="000000"/>
              </w:rPr>
            </w:pPr>
            <w:r>
              <w:rPr>
                <w:color w:val="000000"/>
              </w:rPr>
              <w:t xml:space="preserve">72,359.95 </w:t>
            </w:r>
          </w:p>
        </w:tc>
        <w:tc>
          <w:tcPr>
            <w:tcW w:w="801" w:type="pct"/>
            <w:tcBorders>
              <w:top w:val="nil"/>
              <w:left w:val="nil"/>
              <w:bottom w:val="dotted" w:color="auto" w:sz="4" w:space="0"/>
              <w:right w:val="nil"/>
            </w:tcBorders>
            <w:shd w:val="clear" w:color="auto" w:fill="auto"/>
            <w:vAlign w:val="bottom"/>
          </w:tcPr>
          <w:p>
            <w:pPr>
              <w:spacing w:line="400" w:lineRule="exact"/>
              <w:jc w:val="right"/>
              <w:rPr>
                <w:sz w:val="20"/>
                <w:szCs w:val="20"/>
              </w:rPr>
            </w:pPr>
            <w:r>
              <w:rPr>
                <w:sz w:val="20"/>
                <w:szCs w:val="20"/>
              </w:rPr>
              <w:t>31,392,218.50</w:t>
            </w:r>
          </w:p>
        </w:tc>
      </w:tr>
      <w:tr>
        <w:tblPrEx>
          <w:tblCellMar>
            <w:top w:w="0" w:type="dxa"/>
            <w:left w:w="108" w:type="dxa"/>
            <w:bottom w:w="0" w:type="dxa"/>
            <w:right w:w="108" w:type="dxa"/>
          </w:tblCellMar>
        </w:tblPrEx>
        <w:trPr>
          <w:trHeight w:val="270" w:hRule="atLeast"/>
        </w:trPr>
        <w:tc>
          <w:tcPr>
            <w:tcW w:w="1165" w:type="pct"/>
            <w:tcBorders>
              <w:top w:val="nil"/>
              <w:left w:val="nil"/>
              <w:bottom w:val="dotted" w:color="auto" w:sz="4" w:space="0"/>
              <w:right w:val="dotted" w:color="auto" w:sz="4" w:space="0"/>
            </w:tcBorders>
            <w:shd w:val="clear" w:color="auto" w:fill="auto"/>
            <w:noWrap/>
            <w:vAlign w:val="center"/>
          </w:tcPr>
          <w:p>
            <w:pPr>
              <w:spacing w:line="400" w:lineRule="exact"/>
              <w:contextualSpacing/>
            </w:pPr>
            <w:r>
              <w:rPr>
                <w:rFonts w:hint="eastAsia"/>
              </w:rPr>
              <w:t>外币金融负债：</w:t>
            </w:r>
          </w:p>
        </w:tc>
        <w:tc>
          <w:tcPr>
            <w:tcW w:w="736" w:type="pct"/>
            <w:tcBorders>
              <w:top w:val="dotted" w:color="auto" w:sz="4" w:space="0"/>
              <w:left w:val="nil"/>
              <w:bottom w:val="dotted" w:color="auto" w:sz="4" w:space="0"/>
              <w:right w:val="dotted" w:color="auto" w:sz="4" w:space="0"/>
            </w:tcBorders>
            <w:vAlign w:val="bottom"/>
          </w:tcPr>
          <w:p>
            <w:pPr>
              <w:spacing w:line="400" w:lineRule="exact"/>
              <w:jc w:val="right"/>
              <w:rPr>
                <w:color w:val="000000"/>
              </w:rPr>
            </w:pPr>
            <w:r>
              <w:rPr>
                <w:color w:val="000000"/>
              </w:rPr>
              <w:t>　</w:t>
            </w:r>
          </w:p>
        </w:tc>
        <w:tc>
          <w:tcPr>
            <w:tcW w:w="736" w:type="pct"/>
            <w:tcBorders>
              <w:top w:val="nil"/>
              <w:left w:val="dotted" w:color="auto" w:sz="4" w:space="0"/>
              <w:bottom w:val="dotted" w:color="auto" w:sz="4" w:space="0"/>
              <w:right w:val="dotted" w:color="auto" w:sz="4" w:space="0"/>
            </w:tcBorders>
            <w:shd w:val="clear" w:color="auto" w:fill="auto"/>
            <w:vAlign w:val="bottom"/>
          </w:tcPr>
          <w:p>
            <w:pPr>
              <w:spacing w:line="400" w:lineRule="exact"/>
              <w:jc w:val="right"/>
              <w:rPr>
                <w:color w:val="000000"/>
              </w:rPr>
            </w:pPr>
            <w:r>
              <w:rPr>
                <w:color w:val="000000"/>
              </w:rPr>
              <w:t>　</w:t>
            </w:r>
          </w:p>
        </w:tc>
        <w:tc>
          <w:tcPr>
            <w:tcW w:w="786" w:type="pct"/>
            <w:tcBorders>
              <w:top w:val="nil"/>
              <w:left w:val="nil"/>
              <w:bottom w:val="dotted" w:color="auto" w:sz="4" w:space="0"/>
              <w:right w:val="dotted" w:color="auto" w:sz="4" w:space="0"/>
            </w:tcBorders>
            <w:shd w:val="clear" w:color="auto" w:fill="auto"/>
            <w:noWrap/>
            <w:vAlign w:val="bottom"/>
          </w:tcPr>
          <w:p>
            <w:pPr>
              <w:spacing w:line="400" w:lineRule="exact"/>
              <w:jc w:val="right"/>
              <w:rPr>
                <w:color w:val="000000"/>
              </w:rPr>
            </w:pPr>
            <w:r>
              <w:rPr>
                <w:color w:val="000000"/>
              </w:rPr>
              <w:t>　</w:t>
            </w:r>
          </w:p>
        </w:tc>
        <w:tc>
          <w:tcPr>
            <w:tcW w:w="776" w:type="pct"/>
            <w:tcBorders>
              <w:top w:val="nil"/>
              <w:left w:val="nil"/>
              <w:bottom w:val="dotted" w:color="auto" w:sz="4" w:space="0"/>
              <w:right w:val="dotted" w:color="auto" w:sz="4" w:space="0"/>
            </w:tcBorders>
            <w:shd w:val="clear" w:color="auto" w:fill="auto"/>
            <w:noWrap/>
            <w:vAlign w:val="bottom"/>
          </w:tcPr>
          <w:p>
            <w:pPr>
              <w:spacing w:line="400" w:lineRule="exact"/>
              <w:jc w:val="right"/>
              <w:rPr>
                <w:color w:val="000000"/>
              </w:rPr>
            </w:pPr>
            <w:r>
              <w:rPr>
                <w:color w:val="000000"/>
              </w:rPr>
              <w:t>　</w:t>
            </w:r>
          </w:p>
        </w:tc>
        <w:tc>
          <w:tcPr>
            <w:tcW w:w="801" w:type="pct"/>
            <w:tcBorders>
              <w:top w:val="nil"/>
              <w:left w:val="nil"/>
              <w:bottom w:val="dotted" w:color="auto" w:sz="4" w:space="0"/>
              <w:right w:val="nil"/>
            </w:tcBorders>
            <w:shd w:val="clear" w:color="auto" w:fill="auto"/>
            <w:vAlign w:val="bottom"/>
          </w:tcPr>
          <w:p>
            <w:pPr>
              <w:spacing w:line="400" w:lineRule="exact"/>
              <w:jc w:val="right"/>
              <w:rPr>
                <w:color w:val="000000"/>
              </w:rPr>
            </w:pPr>
            <w:r>
              <w:rPr>
                <w:color w:val="000000"/>
              </w:rPr>
              <w:t>　</w:t>
            </w:r>
          </w:p>
        </w:tc>
      </w:tr>
      <w:tr>
        <w:tblPrEx>
          <w:tblCellMar>
            <w:top w:w="0" w:type="dxa"/>
            <w:left w:w="108" w:type="dxa"/>
            <w:bottom w:w="0" w:type="dxa"/>
            <w:right w:w="108" w:type="dxa"/>
          </w:tblCellMar>
        </w:tblPrEx>
        <w:trPr>
          <w:trHeight w:val="270" w:hRule="atLeast"/>
        </w:trPr>
        <w:tc>
          <w:tcPr>
            <w:tcW w:w="1165" w:type="pct"/>
            <w:tcBorders>
              <w:top w:val="nil"/>
              <w:left w:val="nil"/>
              <w:bottom w:val="dotted" w:color="auto" w:sz="4" w:space="0"/>
              <w:right w:val="dotted" w:color="auto" w:sz="4" w:space="0"/>
            </w:tcBorders>
            <w:shd w:val="clear" w:color="auto" w:fill="auto"/>
            <w:noWrap/>
            <w:vAlign w:val="center"/>
          </w:tcPr>
          <w:p>
            <w:pPr>
              <w:spacing w:line="400" w:lineRule="exact"/>
              <w:contextualSpacing/>
            </w:pPr>
            <w:r>
              <w:rPr>
                <w:rFonts w:hint="eastAsia"/>
              </w:rPr>
              <w:t>应付账款</w:t>
            </w:r>
          </w:p>
        </w:tc>
        <w:tc>
          <w:tcPr>
            <w:tcW w:w="736" w:type="pct"/>
            <w:tcBorders>
              <w:top w:val="dotted" w:color="auto" w:sz="4" w:space="0"/>
              <w:left w:val="nil"/>
              <w:bottom w:val="dotted" w:color="auto" w:sz="4" w:space="0"/>
              <w:right w:val="dotted" w:color="auto" w:sz="4" w:space="0"/>
            </w:tcBorders>
            <w:vAlign w:val="bottom"/>
          </w:tcPr>
          <w:p>
            <w:pPr>
              <w:spacing w:line="400" w:lineRule="exact"/>
              <w:jc w:val="right"/>
              <w:rPr>
                <w:color w:val="000000"/>
              </w:rPr>
            </w:pPr>
            <w:r>
              <w:rPr>
                <w:color w:val="000000"/>
              </w:rPr>
              <w:t>　</w:t>
            </w:r>
          </w:p>
        </w:tc>
        <w:tc>
          <w:tcPr>
            <w:tcW w:w="736" w:type="pct"/>
            <w:tcBorders>
              <w:top w:val="nil"/>
              <w:left w:val="dotted" w:color="auto" w:sz="4" w:space="0"/>
              <w:bottom w:val="dotted" w:color="auto" w:sz="4" w:space="0"/>
              <w:right w:val="dotted" w:color="auto" w:sz="4" w:space="0"/>
            </w:tcBorders>
            <w:shd w:val="clear" w:color="auto" w:fill="auto"/>
            <w:vAlign w:val="bottom"/>
          </w:tcPr>
          <w:p>
            <w:pPr>
              <w:spacing w:line="400" w:lineRule="exact"/>
              <w:jc w:val="right"/>
              <w:rPr>
                <w:color w:val="000000"/>
              </w:rPr>
            </w:pPr>
            <w:r>
              <w:rPr>
                <w:color w:val="000000"/>
              </w:rPr>
              <w:t xml:space="preserve">236,098.91 </w:t>
            </w:r>
          </w:p>
        </w:tc>
        <w:tc>
          <w:tcPr>
            <w:tcW w:w="786" w:type="pct"/>
            <w:tcBorders>
              <w:top w:val="nil"/>
              <w:left w:val="nil"/>
              <w:bottom w:val="dotted" w:color="auto" w:sz="4" w:space="0"/>
              <w:right w:val="dotted" w:color="auto" w:sz="4" w:space="0"/>
            </w:tcBorders>
            <w:shd w:val="clear" w:color="auto" w:fill="auto"/>
            <w:noWrap/>
            <w:vAlign w:val="bottom"/>
          </w:tcPr>
          <w:p>
            <w:pPr>
              <w:spacing w:line="400" w:lineRule="exact"/>
              <w:jc w:val="right"/>
              <w:rPr>
                <w:color w:val="000000"/>
              </w:rPr>
            </w:pPr>
            <w:r>
              <w:rPr>
                <w:color w:val="000000"/>
              </w:rPr>
              <w:t xml:space="preserve">5,818,965.63 </w:t>
            </w:r>
          </w:p>
        </w:tc>
        <w:tc>
          <w:tcPr>
            <w:tcW w:w="776" w:type="pct"/>
            <w:tcBorders>
              <w:top w:val="nil"/>
              <w:left w:val="nil"/>
              <w:bottom w:val="dotted" w:color="auto" w:sz="4" w:space="0"/>
              <w:right w:val="dotted" w:color="auto" w:sz="4" w:space="0"/>
            </w:tcBorders>
            <w:shd w:val="clear" w:color="auto" w:fill="auto"/>
            <w:noWrap/>
            <w:vAlign w:val="bottom"/>
          </w:tcPr>
          <w:p>
            <w:pPr>
              <w:spacing w:line="400" w:lineRule="exact"/>
              <w:jc w:val="right"/>
              <w:rPr>
                <w:color w:val="000000"/>
              </w:rPr>
            </w:pPr>
            <w:r>
              <w:rPr>
                <w:color w:val="000000"/>
              </w:rPr>
              <w:t xml:space="preserve">15,302.24 </w:t>
            </w:r>
          </w:p>
        </w:tc>
        <w:tc>
          <w:tcPr>
            <w:tcW w:w="801" w:type="pct"/>
            <w:tcBorders>
              <w:top w:val="nil"/>
              <w:left w:val="nil"/>
              <w:bottom w:val="dotted" w:color="auto" w:sz="4" w:space="0"/>
              <w:right w:val="nil"/>
            </w:tcBorders>
            <w:shd w:val="clear" w:color="auto" w:fill="auto"/>
            <w:vAlign w:val="bottom"/>
          </w:tcPr>
          <w:p>
            <w:pPr>
              <w:spacing w:line="400" w:lineRule="exact"/>
              <w:jc w:val="right"/>
              <w:rPr>
                <w:color w:val="000000"/>
              </w:rPr>
            </w:pPr>
            <w:r>
              <w:rPr>
                <w:color w:val="000000"/>
              </w:rPr>
              <w:t xml:space="preserve">6,070,366.78 </w:t>
            </w:r>
          </w:p>
        </w:tc>
      </w:tr>
      <w:tr>
        <w:tblPrEx>
          <w:tblCellMar>
            <w:top w:w="0" w:type="dxa"/>
            <w:left w:w="108" w:type="dxa"/>
            <w:bottom w:w="0" w:type="dxa"/>
            <w:right w:w="108" w:type="dxa"/>
          </w:tblCellMar>
        </w:tblPrEx>
        <w:trPr>
          <w:trHeight w:val="270" w:hRule="atLeast"/>
        </w:trPr>
        <w:tc>
          <w:tcPr>
            <w:tcW w:w="1165" w:type="pct"/>
            <w:tcBorders>
              <w:top w:val="nil"/>
              <w:left w:val="nil"/>
              <w:bottom w:val="dotted" w:color="auto" w:sz="4" w:space="0"/>
              <w:right w:val="dotted" w:color="auto" w:sz="4" w:space="0"/>
            </w:tcBorders>
            <w:shd w:val="clear" w:color="auto" w:fill="auto"/>
            <w:noWrap/>
            <w:vAlign w:val="center"/>
          </w:tcPr>
          <w:p>
            <w:pPr>
              <w:spacing w:line="400" w:lineRule="exact"/>
              <w:contextualSpacing/>
            </w:pPr>
            <w:r>
              <w:rPr>
                <w:rFonts w:hint="eastAsia"/>
              </w:rPr>
              <w:t>其他应付款</w:t>
            </w:r>
          </w:p>
        </w:tc>
        <w:tc>
          <w:tcPr>
            <w:tcW w:w="736" w:type="pct"/>
            <w:tcBorders>
              <w:top w:val="dotted" w:color="auto" w:sz="4" w:space="0"/>
              <w:left w:val="nil"/>
              <w:bottom w:val="dotted" w:color="auto" w:sz="4" w:space="0"/>
              <w:right w:val="dotted" w:color="auto" w:sz="4" w:space="0"/>
            </w:tcBorders>
            <w:vAlign w:val="bottom"/>
          </w:tcPr>
          <w:p>
            <w:pPr>
              <w:spacing w:line="400" w:lineRule="exact"/>
              <w:jc w:val="right"/>
              <w:rPr>
                <w:color w:val="000000"/>
              </w:rPr>
            </w:pPr>
            <w:r>
              <w:rPr>
                <w:color w:val="000000"/>
              </w:rPr>
              <w:t>　</w:t>
            </w:r>
          </w:p>
        </w:tc>
        <w:tc>
          <w:tcPr>
            <w:tcW w:w="736" w:type="pct"/>
            <w:tcBorders>
              <w:top w:val="nil"/>
              <w:left w:val="dotted" w:color="auto" w:sz="4" w:space="0"/>
              <w:bottom w:val="dotted" w:color="auto" w:sz="4" w:space="0"/>
              <w:right w:val="dotted" w:color="auto" w:sz="4" w:space="0"/>
            </w:tcBorders>
            <w:shd w:val="clear" w:color="auto" w:fill="auto"/>
            <w:vAlign w:val="bottom"/>
          </w:tcPr>
          <w:p>
            <w:pPr>
              <w:spacing w:line="400" w:lineRule="exact"/>
              <w:jc w:val="right"/>
              <w:rPr>
                <w:color w:val="000000"/>
              </w:rPr>
            </w:pPr>
            <w:r>
              <w:rPr>
                <w:color w:val="000000"/>
              </w:rPr>
              <w:t>　</w:t>
            </w:r>
          </w:p>
        </w:tc>
        <w:tc>
          <w:tcPr>
            <w:tcW w:w="786" w:type="pct"/>
            <w:tcBorders>
              <w:top w:val="nil"/>
              <w:left w:val="nil"/>
              <w:bottom w:val="dotted" w:color="auto" w:sz="4" w:space="0"/>
              <w:right w:val="dotted" w:color="auto" w:sz="4" w:space="0"/>
            </w:tcBorders>
            <w:shd w:val="clear" w:color="auto" w:fill="auto"/>
            <w:noWrap/>
            <w:vAlign w:val="bottom"/>
          </w:tcPr>
          <w:p>
            <w:pPr>
              <w:spacing w:line="400" w:lineRule="exact"/>
              <w:jc w:val="right"/>
              <w:rPr>
                <w:color w:val="000000"/>
              </w:rPr>
            </w:pPr>
            <w:r>
              <w:rPr>
                <w:color w:val="000000"/>
              </w:rPr>
              <w:t xml:space="preserve">161,263.24 </w:t>
            </w:r>
          </w:p>
        </w:tc>
        <w:tc>
          <w:tcPr>
            <w:tcW w:w="776" w:type="pct"/>
            <w:tcBorders>
              <w:top w:val="nil"/>
              <w:left w:val="nil"/>
              <w:bottom w:val="dotted" w:color="auto" w:sz="4" w:space="0"/>
              <w:right w:val="dotted" w:color="auto" w:sz="4" w:space="0"/>
            </w:tcBorders>
            <w:shd w:val="clear" w:color="auto" w:fill="auto"/>
            <w:noWrap/>
            <w:vAlign w:val="bottom"/>
          </w:tcPr>
          <w:p>
            <w:pPr>
              <w:spacing w:line="400" w:lineRule="exact"/>
              <w:jc w:val="right"/>
              <w:rPr>
                <w:color w:val="000000"/>
              </w:rPr>
            </w:pPr>
            <w:r>
              <w:rPr>
                <w:color w:val="000000"/>
              </w:rPr>
              <w:t>　</w:t>
            </w:r>
          </w:p>
        </w:tc>
        <w:tc>
          <w:tcPr>
            <w:tcW w:w="801" w:type="pct"/>
            <w:tcBorders>
              <w:top w:val="nil"/>
              <w:left w:val="nil"/>
              <w:bottom w:val="dotted" w:color="auto" w:sz="4" w:space="0"/>
              <w:right w:val="nil"/>
            </w:tcBorders>
            <w:shd w:val="clear" w:color="auto" w:fill="auto"/>
            <w:vAlign w:val="bottom"/>
          </w:tcPr>
          <w:p>
            <w:pPr>
              <w:spacing w:line="400" w:lineRule="exact"/>
              <w:jc w:val="right"/>
              <w:rPr>
                <w:color w:val="000000"/>
              </w:rPr>
            </w:pPr>
            <w:r>
              <w:rPr>
                <w:color w:val="000000"/>
              </w:rPr>
              <w:t xml:space="preserve">161,263.24 </w:t>
            </w:r>
          </w:p>
        </w:tc>
      </w:tr>
      <w:tr>
        <w:tblPrEx>
          <w:tblCellMar>
            <w:top w:w="0" w:type="dxa"/>
            <w:left w:w="108" w:type="dxa"/>
            <w:bottom w:w="0" w:type="dxa"/>
            <w:right w:w="108" w:type="dxa"/>
          </w:tblCellMar>
        </w:tblPrEx>
        <w:trPr>
          <w:trHeight w:val="285" w:hRule="atLeast"/>
        </w:trPr>
        <w:tc>
          <w:tcPr>
            <w:tcW w:w="1165" w:type="pct"/>
            <w:tcBorders>
              <w:top w:val="nil"/>
              <w:left w:val="nil"/>
              <w:bottom w:val="single" w:color="auto" w:sz="12" w:space="0"/>
              <w:right w:val="dotted" w:color="auto" w:sz="4" w:space="0"/>
            </w:tcBorders>
            <w:shd w:val="clear" w:color="auto" w:fill="auto"/>
            <w:noWrap/>
            <w:vAlign w:val="center"/>
          </w:tcPr>
          <w:p>
            <w:pPr>
              <w:spacing w:line="400" w:lineRule="exact"/>
              <w:contextualSpacing/>
              <w:jc w:val="center"/>
            </w:pPr>
            <w:r>
              <w:rPr>
                <w:rFonts w:hint="eastAsia"/>
              </w:rPr>
              <w:t>小计</w:t>
            </w:r>
          </w:p>
        </w:tc>
        <w:tc>
          <w:tcPr>
            <w:tcW w:w="736" w:type="pct"/>
            <w:tcBorders>
              <w:top w:val="dotted" w:color="auto" w:sz="4" w:space="0"/>
              <w:left w:val="nil"/>
              <w:bottom w:val="single" w:color="auto" w:sz="12" w:space="0"/>
              <w:right w:val="dotted" w:color="auto" w:sz="4" w:space="0"/>
            </w:tcBorders>
            <w:vAlign w:val="bottom"/>
          </w:tcPr>
          <w:p>
            <w:pPr>
              <w:spacing w:line="400" w:lineRule="exact"/>
              <w:jc w:val="right"/>
              <w:rPr>
                <w:color w:val="000000"/>
              </w:rPr>
            </w:pPr>
            <w:r>
              <w:rPr>
                <w:color w:val="000000"/>
              </w:rPr>
              <w:t>　</w:t>
            </w:r>
          </w:p>
        </w:tc>
        <w:tc>
          <w:tcPr>
            <w:tcW w:w="736" w:type="pct"/>
            <w:tcBorders>
              <w:top w:val="nil"/>
              <w:left w:val="dotted" w:color="auto" w:sz="4" w:space="0"/>
              <w:bottom w:val="single" w:color="auto" w:sz="12" w:space="0"/>
              <w:right w:val="dotted" w:color="auto" w:sz="4" w:space="0"/>
            </w:tcBorders>
            <w:shd w:val="clear" w:color="auto" w:fill="auto"/>
            <w:vAlign w:val="bottom"/>
          </w:tcPr>
          <w:p>
            <w:pPr>
              <w:spacing w:line="400" w:lineRule="exact"/>
              <w:jc w:val="right"/>
              <w:rPr>
                <w:color w:val="000000"/>
              </w:rPr>
            </w:pPr>
            <w:r>
              <w:rPr>
                <w:color w:val="000000"/>
              </w:rPr>
              <w:t xml:space="preserve">236,098.91 </w:t>
            </w:r>
          </w:p>
        </w:tc>
        <w:tc>
          <w:tcPr>
            <w:tcW w:w="786" w:type="pct"/>
            <w:tcBorders>
              <w:top w:val="nil"/>
              <w:left w:val="nil"/>
              <w:bottom w:val="single" w:color="auto" w:sz="12" w:space="0"/>
              <w:right w:val="dotted" w:color="auto" w:sz="4" w:space="0"/>
            </w:tcBorders>
            <w:shd w:val="clear" w:color="auto" w:fill="auto"/>
            <w:vAlign w:val="bottom"/>
          </w:tcPr>
          <w:p>
            <w:pPr>
              <w:spacing w:line="400" w:lineRule="exact"/>
              <w:jc w:val="right"/>
              <w:rPr>
                <w:color w:val="000000"/>
              </w:rPr>
            </w:pPr>
            <w:r>
              <w:rPr>
                <w:color w:val="000000"/>
              </w:rPr>
              <w:t xml:space="preserve">5,980,228.87 </w:t>
            </w:r>
          </w:p>
        </w:tc>
        <w:tc>
          <w:tcPr>
            <w:tcW w:w="776" w:type="pct"/>
            <w:tcBorders>
              <w:top w:val="nil"/>
              <w:left w:val="nil"/>
              <w:bottom w:val="single" w:color="auto" w:sz="12" w:space="0"/>
              <w:right w:val="dotted" w:color="auto" w:sz="4" w:space="0"/>
            </w:tcBorders>
            <w:shd w:val="clear" w:color="auto" w:fill="auto"/>
            <w:vAlign w:val="bottom"/>
          </w:tcPr>
          <w:p>
            <w:pPr>
              <w:spacing w:line="400" w:lineRule="exact"/>
              <w:jc w:val="right"/>
              <w:rPr>
                <w:color w:val="000000"/>
              </w:rPr>
            </w:pPr>
            <w:r>
              <w:rPr>
                <w:color w:val="000000"/>
              </w:rPr>
              <w:t xml:space="preserve">15,302.24 </w:t>
            </w:r>
          </w:p>
        </w:tc>
        <w:tc>
          <w:tcPr>
            <w:tcW w:w="801" w:type="pct"/>
            <w:tcBorders>
              <w:top w:val="nil"/>
              <w:left w:val="nil"/>
              <w:bottom w:val="single" w:color="auto" w:sz="12" w:space="0"/>
              <w:right w:val="nil"/>
            </w:tcBorders>
            <w:shd w:val="clear" w:color="auto" w:fill="auto"/>
            <w:vAlign w:val="bottom"/>
          </w:tcPr>
          <w:p>
            <w:pPr>
              <w:spacing w:line="400" w:lineRule="exact"/>
              <w:jc w:val="right"/>
              <w:rPr>
                <w:color w:val="000000"/>
              </w:rPr>
            </w:pPr>
            <w:r>
              <w:rPr>
                <w:color w:val="000000"/>
              </w:rPr>
              <w:t xml:space="preserve">6,231,630.02 </w:t>
            </w:r>
          </w:p>
        </w:tc>
      </w:tr>
    </w:tbl>
    <w:p>
      <w:pPr>
        <w:autoSpaceDE w:val="0"/>
        <w:autoSpaceDN w:val="0"/>
        <w:adjustRightInd w:val="0"/>
        <w:spacing w:before="0" w:after="0"/>
        <w:rPr>
          <w:rFonts w:eastAsiaTheme="minorEastAsia"/>
          <w:kern w:val="0"/>
          <w:lang w:val="zh-CN"/>
        </w:rPr>
      </w:pPr>
    </w:p>
    <w:p>
      <w:pPr>
        <w:pStyle w:val="17"/>
        <w:numPr>
          <w:ilvl w:val="0"/>
          <w:numId w:val="0"/>
        </w:numPr>
        <w:ind w:firstLine="360" w:firstLineChars="200"/>
        <w:rPr>
          <w:b w:val="0"/>
          <w:sz w:val="18"/>
          <w:szCs w:val="18"/>
        </w:rPr>
      </w:pPr>
      <w:r>
        <w:rPr>
          <w:rFonts w:hint="eastAsia"/>
          <w:b w:val="0"/>
          <w:sz w:val="18"/>
          <w:szCs w:val="18"/>
        </w:rPr>
        <w:t>于</w:t>
      </w:r>
      <w:r>
        <w:rPr>
          <w:b w:val="0"/>
          <w:sz w:val="18"/>
          <w:szCs w:val="18"/>
        </w:rPr>
        <w:fldChar w:fldCharType="begin"/>
      </w:r>
      <w:r>
        <w:rPr>
          <w:b w:val="0"/>
          <w:sz w:val="18"/>
          <w:szCs w:val="18"/>
        </w:rPr>
        <w:instrText xml:space="preserve"> DOCVARIABLE  </w:instrText>
      </w:r>
      <w:r>
        <w:rPr>
          <w:rFonts w:hint="eastAsia"/>
          <w:b w:val="0"/>
          <w:sz w:val="18"/>
          <w:szCs w:val="18"/>
        </w:rPr>
        <w:instrText xml:space="preserve">基本信息</w:instrText>
      </w:r>
      <w:r>
        <w:rPr>
          <w:b w:val="0"/>
          <w:sz w:val="18"/>
          <w:szCs w:val="18"/>
        </w:rPr>
        <w:instrText xml:space="preserve">_</w:instrText>
      </w:r>
      <w:r>
        <w:rPr>
          <w:rFonts w:hint="eastAsia"/>
          <w:b w:val="0"/>
          <w:sz w:val="18"/>
          <w:szCs w:val="18"/>
        </w:rPr>
        <w:instrText xml:space="preserve">资产负债表日</w:instrText>
      </w:r>
      <w:r>
        <w:rPr>
          <w:b w:val="0"/>
          <w:sz w:val="18"/>
          <w:szCs w:val="18"/>
        </w:rPr>
        <w:instrText xml:space="preserve">  \* MERGEFORMAT </w:instrText>
      </w:r>
      <w:r>
        <w:rPr>
          <w:b w:val="0"/>
          <w:sz w:val="18"/>
          <w:szCs w:val="18"/>
        </w:rPr>
        <w:fldChar w:fldCharType="separate"/>
      </w:r>
      <w:r>
        <w:rPr>
          <w:b w:val="0"/>
          <w:sz w:val="18"/>
          <w:szCs w:val="18"/>
        </w:rPr>
        <w:t>2019</w:t>
      </w:r>
      <w:r>
        <w:rPr>
          <w:rFonts w:hint="eastAsia"/>
          <w:b w:val="0"/>
          <w:sz w:val="18"/>
          <w:szCs w:val="18"/>
        </w:rPr>
        <w:t>年</w:t>
      </w:r>
      <w:r>
        <w:rPr>
          <w:b w:val="0"/>
          <w:sz w:val="18"/>
          <w:szCs w:val="18"/>
        </w:rPr>
        <w:t>12</w:t>
      </w:r>
      <w:r>
        <w:rPr>
          <w:rFonts w:hint="eastAsia"/>
          <w:b w:val="0"/>
          <w:sz w:val="18"/>
          <w:szCs w:val="18"/>
        </w:rPr>
        <w:t>月</w:t>
      </w:r>
      <w:r>
        <w:rPr>
          <w:b w:val="0"/>
          <w:sz w:val="18"/>
          <w:szCs w:val="18"/>
        </w:rPr>
        <w:t>31</w:t>
      </w:r>
      <w:r>
        <w:rPr>
          <w:rFonts w:hint="eastAsia"/>
          <w:b w:val="0"/>
          <w:sz w:val="18"/>
          <w:szCs w:val="18"/>
        </w:rPr>
        <w:t>日</w:t>
      </w:r>
      <w:r>
        <w:rPr>
          <w:b w:val="0"/>
          <w:sz w:val="18"/>
          <w:szCs w:val="18"/>
        </w:rPr>
        <w:fldChar w:fldCharType="end"/>
      </w:r>
      <w:r>
        <w:rPr>
          <w:rFonts w:hint="eastAsia"/>
          <w:b w:val="0"/>
          <w:sz w:val="18"/>
          <w:szCs w:val="18"/>
        </w:rPr>
        <w:t>，在所有其他变量保持不变的情况下，如果人民币对美元升值或贬值</w:t>
      </w:r>
      <w:r>
        <w:rPr>
          <w:b w:val="0"/>
          <w:sz w:val="18"/>
          <w:szCs w:val="18"/>
        </w:rPr>
        <w:t>5%</w:t>
      </w:r>
      <w:r>
        <w:rPr>
          <w:rFonts w:hint="eastAsia"/>
          <w:b w:val="0"/>
          <w:sz w:val="18"/>
          <w:szCs w:val="18"/>
        </w:rPr>
        <w:t>，则公司将减少或增加净利润</w:t>
      </w:r>
      <w:r>
        <w:rPr>
          <w:b w:val="0"/>
          <w:sz w:val="18"/>
          <w:szCs w:val="18"/>
        </w:rPr>
        <w:t>85.98</w:t>
      </w:r>
      <w:r>
        <w:rPr>
          <w:rFonts w:hint="eastAsia"/>
          <w:b w:val="0"/>
          <w:sz w:val="18"/>
          <w:szCs w:val="18"/>
        </w:rPr>
        <w:t>万元（</w:t>
      </w:r>
      <w:r>
        <w:rPr>
          <w:b w:val="0"/>
          <w:sz w:val="18"/>
          <w:szCs w:val="18"/>
        </w:rPr>
        <w:fldChar w:fldCharType="begin"/>
      </w:r>
      <w:r>
        <w:rPr>
          <w:b w:val="0"/>
          <w:sz w:val="18"/>
          <w:szCs w:val="18"/>
        </w:rPr>
        <w:instrText xml:space="preserve"> = </w:instrText>
      </w:r>
      <w:r>
        <w:rPr>
          <w:b w:val="0"/>
          <w:sz w:val="18"/>
          <w:szCs w:val="18"/>
        </w:rPr>
        <w:fldChar w:fldCharType="begin"/>
      </w:r>
      <w:r>
        <w:rPr>
          <w:b w:val="0"/>
          <w:sz w:val="18"/>
          <w:szCs w:val="18"/>
        </w:rPr>
        <w:instrText xml:space="preserve"> DOCVARIABLE  </w:instrText>
      </w:r>
      <w:r>
        <w:rPr>
          <w:rFonts w:hint="eastAsia"/>
          <w:b w:val="0"/>
          <w:sz w:val="18"/>
          <w:szCs w:val="18"/>
        </w:rPr>
        <w:instrText xml:space="preserve">基本信息</w:instrText>
      </w:r>
      <w:r>
        <w:rPr>
          <w:b w:val="0"/>
          <w:sz w:val="18"/>
          <w:szCs w:val="18"/>
        </w:rPr>
        <w:instrText xml:space="preserve">_</w:instrText>
      </w:r>
      <w:r>
        <w:rPr>
          <w:rFonts w:hint="eastAsia"/>
          <w:b w:val="0"/>
          <w:sz w:val="18"/>
          <w:szCs w:val="18"/>
        </w:rPr>
        <w:instrText xml:space="preserve">项目年度数字</w:instrText>
      </w:r>
      <w:r>
        <w:rPr>
          <w:b w:val="0"/>
          <w:sz w:val="18"/>
          <w:szCs w:val="18"/>
        </w:rPr>
        <w:instrText xml:space="preserve">  \* MERGEFORMAT </w:instrText>
      </w:r>
      <w:r>
        <w:rPr>
          <w:b w:val="0"/>
          <w:sz w:val="18"/>
          <w:szCs w:val="18"/>
        </w:rPr>
        <w:fldChar w:fldCharType="separate"/>
      </w:r>
      <w:r>
        <w:rPr>
          <w:b w:val="0"/>
          <w:sz w:val="18"/>
          <w:szCs w:val="18"/>
        </w:rPr>
        <w:instrText xml:space="preserve">2019</w:instrText>
      </w:r>
      <w:r>
        <w:rPr>
          <w:b w:val="0"/>
          <w:sz w:val="18"/>
          <w:szCs w:val="18"/>
        </w:rPr>
        <w:fldChar w:fldCharType="end"/>
      </w:r>
      <w:r>
        <w:rPr>
          <w:b w:val="0"/>
          <w:sz w:val="18"/>
          <w:szCs w:val="18"/>
        </w:rPr>
        <w:instrText xml:space="preserve">-1 \* MERGEFORMAT </w:instrText>
      </w:r>
      <w:r>
        <w:rPr>
          <w:b w:val="0"/>
          <w:sz w:val="18"/>
          <w:szCs w:val="18"/>
        </w:rPr>
        <w:fldChar w:fldCharType="separate"/>
      </w:r>
      <w:r>
        <w:rPr>
          <w:b w:val="0"/>
          <w:sz w:val="18"/>
          <w:szCs w:val="18"/>
        </w:rPr>
        <w:t>2018</w:t>
      </w:r>
      <w:r>
        <w:rPr>
          <w:b w:val="0"/>
          <w:sz w:val="18"/>
          <w:szCs w:val="18"/>
        </w:rPr>
        <w:fldChar w:fldCharType="end"/>
      </w:r>
      <w:r>
        <w:rPr>
          <w:rFonts w:hint="eastAsia"/>
          <w:b w:val="0"/>
          <w:sz w:val="18"/>
          <w:szCs w:val="18"/>
        </w:rPr>
        <w:t>年</w:t>
      </w:r>
      <w:r>
        <w:rPr>
          <w:b w:val="0"/>
          <w:sz w:val="18"/>
          <w:szCs w:val="18"/>
        </w:rPr>
        <w:t>12</w:t>
      </w:r>
      <w:r>
        <w:rPr>
          <w:rFonts w:hint="eastAsia"/>
          <w:b w:val="0"/>
          <w:sz w:val="18"/>
          <w:szCs w:val="18"/>
        </w:rPr>
        <w:t>月</w:t>
      </w:r>
      <w:r>
        <w:rPr>
          <w:b w:val="0"/>
          <w:sz w:val="18"/>
          <w:szCs w:val="18"/>
        </w:rPr>
        <w:t>31</w:t>
      </w:r>
      <w:r>
        <w:rPr>
          <w:rFonts w:hint="eastAsia"/>
          <w:b w:val="0"/>
          <w:sz w:val="18"/>
          <w:szCs w:val="18"/>
        </w:rPr>
        <w:t>日：</w:t>
      </w:r>
      <w:r>
        <w:rPr>
          <w:b w:val="0"/>
          <w:sz w:val="18"/>
          <w:szCs w:val="18"/>
        </w:rPr>
        <w:t xml:space="preserve"> 115.20</w:t>
      </w:r>
      <w:r>
        <w:rPr>
          <w:rFonts w:hint="eastAsia"/>
          <w:b w:val="0"/>
          <w:sz w:val="18"/>
          <w:szCs w:val="18"/>
        </w:rPr>
        <w:t>万元）。管理层认为</w:t>
      </w:r>
      <w:r>
        <w:rPr>
          <w:b w:val="0"/>
          <w:sz w:val="18"/>
          <w:szCs w:val="18"/>
        </w:rPr>
        <w:t>5%</w:t>
      </w:r>
      <w:r>
        <w:rPr>
          <w:rFonts w:hint="eastAsia"/>
          <w:b w:val="0"/>
          <w:sz w:val="18"/>
          <w:szCs w:val="18"/>
        </w:rPr>
        <w:t>合理反映了下一年度人民币对美元可能发生变动的合理范围。</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）其他价格风险</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本公司持有其他公司的权益投资，管理层认为这些投资活动面临的市场价格风险是可以接受的。</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本公司持有的其他公司权益投资列示如下：</w:t>
      </w:r>
    </w:p>
    <w:p>
      <w:pPr>
        <w:autoSpaceDE w:val="0"/>
        <w:autoSpaceDN w:val="0"/>
        <w:adjustRightInd w:val="0"/>
        <w:spacing w:before="0" w:after="0"/>
        <w:ind w:left="709"/>
        <w:rPr>
          <w:rFonts w:eastAsia="Times New Roman"/>
          <w:kern w:val="0"/>
          <w:sz w:val="21"/>
          <w:szCs w:val="24"/>
          <w:lang w:val="zh-CN"/>
        </w:rPr>
      </w:pPr>
    </w:p>
    <w:tbl>
      <w:tblPr>
        <w:tblStyle w:val="9"/>
        <w:tblW w:w="0" w:type="auto"/>
        <w:tblInd w:w="6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 w:type="dxa"/>
          <w:left w:w="10" w:type="dxa"/>
          <w:bottom w:w="10" w:type="dxa"/>
          <w:right w:w="10" w:type="dxa"/>
        </w:tblCellMar>
      </w:tblPr>
      <w:tblGrid>
        <w:gridCol w:w="4384"/>
        <w:gridCol w:w="1623"/>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4384" w:type="dxa"/>
          </w:tcPr>
          <w:p>
            <w:pPr>
              <w:autoSpaceDE w:val="0"/>
              <w:autoSpaceDN w:val="0"/>
              <w:adjustRightInd w:val="0"/>
              <w:spacing w:before="0" w:after="0"/>
              <w:ind w:firstLine="360" w:firstLineChars="200"/>
              <w:jc w:val="center"/>
              <w:rPr>
                <w:rFonts w:eastAsia="Times New Roman"/>
                <w:kern w:val="0"/>
                <w:lang w:val="zh-CN"/>
              </w:rPr>
            </w:pPr>
            <w:r>
              <w:rPr>
                <w:rFonts w:hint="eastAsia" w:ascii="宋体" w:hAnsi="宋体" w:cs="宋体"/>
                <w:kern w:val="0"/>
                <w:lang w:val="zh-CN"/>
              </w:rPr>
              <w:t>项目</w:t>
            </w:r>
          </w:p>
        </w:tc>
        <w:tc>
          <w:tcPr>
            <w:tcW w:w="1623" w:type="dxa"/>
          </w:tcPr>
          <w:p>
            <w:pPr>
              <w:autoSpaceDE w:val="0"/>
              <w:autoSpaceDN w:val="0"/>
              <w:adjustRightInd w:val="0"/>
              <w:spacing w:before="0" w:after="0"/>
              <w:ind w:firstLine="360" w:firstLineChars="200"/>
              <w:jc w:val="center"/>
              <w:rPr>
                <w:rFonts w:eastAsia="Times New Roman"/>
                <w:kern w:val="0"/>
                <w:lang w:val="zh-CN"/>
              </w:rPr>
            </w:pPr>
            <w:r>
              <w:rPr>
                <w:rFonts w:hint="eastAsia" w:ascii="宋体" w:hAnsi="宋体" w:cs="宋体"/>
                <w:kern w:val="0"/>
                <w:lang w:val="zh-CN"/>
              </w:rPr>
              <w:t>期末余额</w:t>
            </w:r>
          </w:p>
        </w:tc>
        <w:tc>
          <w:tcPr>
            <w:tcW w:w="1806" w:type="dxa"/>
          </w:tcPr>
          <w:p>
            <w:pPr>
              <w:autoSpaceDE w:val="0"/>
              <w:autoSpaceDN w:val="0"/>
              <w:adjustRightInd w:val="0"/>
              <w:spacing w:before="0" w:after="0"/>
              <w:ind w:firstLine="360" w:firstLineChars="200"/>
              <w:jc w:val="center"/>
              <w:rPr>
                <w:rFonts w:eastAsia="Times New Roman"/>
                <w:kern w:val="0"/>
                <w:lang w:val="zh-CN"/>
              </w:rPr>
            </w:pPr>
            <w:r>
              <w:rPr>
                <w:rFonts w:hint="eastAsia" w:ascii="宋体" w:hAnsi="宋体" w:cs="宋体"/>
                <w:kern w:val="0"/>
                <w:lang w:val="zh-CN"/>
              </w:rPr>
              <w:t>上年年末余额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4384" w:type="dxa"/>
          </w:tcPr>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可供出售金融资产</w:t>
            </w:r>
          </w:p>
        </w:tc>
        <w:tc>
          <w:tcPr>
            <w:tcW w:w="1623" w:type="dxa"/>
          </w:tcPr>
          <w:p>
            <w:pPr>
              <w:autoSpaceDE w:val="0"/>
              <w:autoSpaceDN w:val="0"/>
              <w:adjustRightInd w:val="0"/>
              <w:spacing w:before="0" w:after="0"/>
              <w:ind w:firstLine="360" w:firstLineChars="200"/>
              <w:jc w:val="right"/>
              <w:rPr>
                <w:rFonts w:eastAsia="Times New Roman"/>
                <w:kern w:val="0"/>
                <w:lang w:val="zh-CN"/>
              </w:rPr>
            </w:pPr>
          </w:p>
        </w:tc>
        <w:tc>
          <w:tcPr>
            <w:tcW w:w="1806" w:type="dxa"/>
          </w:tcPr>
          <w:p>
            <w:pPr>
              <w:autoSpaceDE w:val="0"/>
              <w:autoSpaceDN w:val="0"/>
              <w:adjustRightInd w:val="0"/>
              <w:spacing w:before="0" w:after="0"/>
              <w:ind w:firstLine="360" w:firstLineChars="200"/>
              <w:jc w:val="right"/>
              <w:rPr>
                <w:rFonts w:eastAsia="Times New Roman"/>
                <w:kern w:val="0"/>
                <w:lang w:val="zh-CN"/>
              </w:rPr>
            </w:pPr>
            <w:r>
              <w:rPr>
                <w:rFonts w:eastAsia="Times New Roman"/>
                <w:kern w:val="0"/>
                <w:lang w:val="zh-CN"/>
              </w:rPr>
              <w:t>30,600,000.00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4384" w:type="dxa"/>
          </w:tcPr>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其他权益工具投资</w:t>
            </w:r>
          </w:p>
        </w:tc>
        <w:tc>
          <w:tcPr>
            <w:tcW w:w="1623" w:type="dxa"/>
          </w:tcPr>
          <w:p>
            <w:pPr>
              <w:autoSpaceDE w:val="0"/>
              <w:autoSpaceDN w:val="0"/>
              <w:adjustRightInd w:val="0"/>
              <w:spacing w:before="0" w:after="0"/>
              <w:ind w:firstLine="360" w:firstLineChars="200"/>
              <w:jc w:val="right"/>
              <w:rPr>
                <w:rFonts w:eastAsia="Times New Roman"/>
                <w:kern w:val="0"/>
                <w:lang w:val="zh-CN"/>
              </w:rPr>
            </w:pPr>
            <w:r>
              <w:rPr>
                <w:rFonts w:eastAsia="Times New Roman"/>
                <w:kern w:val="0"/>
                <w:lang w:val="zh-CN"/>
              </w:rPr>
              <w:t>30,006,000.00</w:t>
            </w:r>
          </w:p>
        </w:tc>
        <w:tc>
          <w:tcPr>
            <w:tcW w:w="1806" w:type="dxa"/>
          </w:tcPr>
          <w:p>
            <w:pPr>
              <w:autoSpaceDE w:val="0"/>
              <w:autoSpaceDN w:val="0"/>
              <w:adjustRightInd w:val="0"/>
              <w:spacing w:before="0" w:after="0"/>
              <w:ind w:firstLine="360" w:firstLineChars="200"/>
              <w:jc w:val="right"/>
              <w:rPr>
                <w:rFonts w:eastAsia="Times New Roman"/>
                <w:kern w:val="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10" w:type="dxa"/>
            <w:bottom w:w="10" w:type="dxa"/>
            <w:right w:w="10" w:type="dxa"/>
          </w:tblCellMar>
        </w:tblPrEx>
        <w:tc>
          <w:tcPr>
            <w:tcW w:w="4384" w:type="dxa"/>
          </w:tcPr>
          <w:p>
            <w:pPr>
              <w:autoSpaceDE w:val="0"/>
              <w:autoSpaceDN w:val="0"/>
              <w:adjustRightInd w:val="0"/>
              <w:spacing w:before="0" w:after="0"/>
              <w:ind w:firstLine="360" w:firstLineChars="200"/>
              <w:jc w:val="center"/>
              <w:rPr>
                <w:rFonts w:eastAsia="Times New Roman"/>
                <w:kern w:val="0"/>
                <w:lang w:val="zh-CN"/>
              </w:rPr>
            </w:pPr>
            <w:r>
              <w:rPr>
                <w:rFonts w:hint="eastAsia" w:ascii="宋体" w:hAnsi="宋体" w:cs="宋体"/>
                <w:kern w:val="0"/>
                <w:lang w:val="zh-CN"/>
              </w:rPr>
              <w:t>合计</w:t>
            </w:r>
          </w:p>
        </w:tc>
        <w:tc>
          <w:tcPr>
            <w:tcW w:w="1623" w:type="dxa"/>
          </w:tcPr>
          <w:p>
            <w:pPr>
              <w:autoSpaceDE w:val="0"/>
              <w:autoSpaceDN w:val="0"/>
              <w:adjustRightInd w:val="0"/>
              <w:spacing w:before="0" w:after="0"/>
              <w:ind w:firstLine="360" w:firstLineChars="200"/>
              <w:jc w:val="right"/>
              <w:rPr>
                <w:rFonts w:eastAsia="Times New Roman"/>
                <w:kern w:val="0"/>
                <w:lang w:val="zh-CN"/>
              </w:rPr>
            </w:pPr>
            <w:r>
              <w:rPr>
                <w:rFonts w:eastAsia="Times New Roman"/>
                <w:kern w:val="0"/>
                <w:lang w:val="zh-CN"/>
              </w:rPr>
              <w:t>30,006,000.00</w:t>
            </w:r>
          </w:p>
        </w:tc>
        <w:tc>
          <w:tcPr>
            <w:tcW w:w="1806" w:type="dxa"/>
          </w:tcPr>
          <w:p>
            <w:pPr>
              <w:autoSpaceDE w:val="0"/>
              <w:autoSpaceDN w:val="0"/>
              <w:adjustRightInd w:val="0"/>
              <w:spacing w:before="0" w:after="0"/>
              <w:ind w:firstLine="360" w:firstLineChars="200"/>
              <w:jc w:val="right"/>
              <w:rPr>
                <w:rFonts w:eastAsia="Times New Roman"/>
                <w:kern w:val="0"/>
                <w:lang w:val="zh-CN"/>
              </w:rPr>
            </w:pPr>
            <w:r>
              <w:rPr>
                <w:rFonts w:eastAsia="Times New Roman"/>
                <w:kern w:val="0"/>
                <w:lang w:val="zh-CN"/>
              </w:rPr>
              <w:t>30,600,000.00</w:t>
            </w:r>
          </w:p>
        </w:tc>
      </w:tr>
    </w:tbl>
    <w:p>
      <w:pPr>
        <w:autoSpaceDE w:val="0"/>
        <w:autoSpaceDN w:val="0"/>
        <w:adjustRightInd w:val="0"/>
        <w:spacing w:before="0" w:after="0"/>
        <w:ind w:left="709"/>
        <w:rPr>
          <w:rFonts w:eastAsia="Times New Roman"/>
          <w:b/>
          <w:kern w:val="0"/>
          <w:sz w:val="21"/>
          <w:szCs w:val="24"/>
          <w:lang w:val="zh-CN"/>
        </w:rPr>
      </w:pP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于</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日，在所有其他变量保持不变的情况下，如果权益工具的价值上涨或下跌</w:t>
      </w:r>
      <w:r>
        <w:rPr>
          <w:rFonts w:eastAsia="Times New Roman"/>
          <w:kern w:val="0"/>
          <w:lang w:val="zh-CN"/>
        </w:rPr>
        <w:t>5%</w:t>
      </w:r>
      <w:r>
        <w:rPr>
          <w:rFonts w:hint="eastAsia" w:ascii="宋体" w:hAnsi="宋体" w:cs="宋体"/>
          <w:kern w:val="0"/>
          <w:lang w:val="zh-CN"/>
        </w:rPr>
        <w:t>，则本公司将减少或增加其他综合收益</w:t>
      </w:r>
      <w:r>
        <w:rPr>
          <w:rFonts w:eastAsia="Times New Roman"/>
          <w:kern w:val="0"/>
          <w:lang w:val="zh-CN"/>
        </w:rPr>
        <w:t>150.03</w:t>
      </w:r>
      <w:r>
        <w:rPr>
          <w:rFonts w:hint="eastAsia" w:ascii="宋体" w:hAnsi="宋体" w:cs="宋体"/>
          <w:kern w:val="0"/>
          <w:lang w:val="zh-CN"/>
        </w:rPr>
        <w:t>万元（</w:t>
      </w:r>
      <w:r>
        <w:rPr>
          <w:rFonts w:eastAsia="Times New Roman"/>
          <w:kern w:val="0"/>
          <w:lang w:val="zh-CN"/>
        </w:rPr>
        <w:t>2018</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日：其他综合收益</w:t>
      </w:r>
      <w:r>
        <w:rPr>
          <w:rFonts w:eastAsia="Times New Roman"/>
          <w:kern w:val="0"/>
          <w:lang w:val="zh-CN"/>
        </w:rPr>
        <w:t>153.00</w:t>
      </w:r>
      <w:r>
        <w:rPr>
          <w:rFonts w:hint="eastAsia" w:ascii="宋体" w:hAnsi="宋体" w:cs="宋体"/>
          <w:kern w:val="0"/>
          <w:lang w:val="zh-CN"/>
        </w:rPr>
        <w:t>万元）。管理层认为</w:t>
      </w:r>
      <w:r>
        <w:rPr>
          <w:rFonts w:eastAsia="Times New Roman"/>
          <w:kern w:val="0"/>
          <w:lang w:val="zh-CN"/>
        </w:rPr>
        <w:t>5%</w:t>
      </w:r>
      <w:r>
        <w:rPr>
          <w:rFonts w:hint="eastAsia" w:ascii="宋体" w:hAnsi="宋体" w:cs="宋体"/>
          <w:kern w:val="0"/>
          <w:lang w:val="zh-CN"/>
        </w:rPr>
        <w:t>合理反映了下一年度权益工具价值可能发生变动的合理范围。</w:t>
      </w:r>
    </w:p>
    <w:p>
      <w:pPr>
        <w:autoSpaceDE w:val="0"/>
        <w:autoSpaceDN w:val="0"/>
        <w:adjustRightInd w:val="0"/>
        <w:spacing w:before="0" w:after="0"/>
        <w:ind w:firstLine="360" w:firstLineChars="200"/>
        <w:rPr>
          <w:rFonts w:eastAsia="Times New Roman"/>
          <w:b/>
          <w:kern w:val="0"/>
          <w:lang w:val="zh-CN"/>
        </w:rPr>
      </w:pPr>
      <w:r>
        <w:rPr>
          <w:rFonts w:eastAsia="Times New Roman"/>
          <w:b/>
          <w:kern w:val="0"/>
          <w:lang w:val="zh-CN"/>
        </w:rPr>
        <w:t>3</w:t>
      </w:r>
      <w:r>
        <w:rPr>
          <w:rFonts w:hint="eastAsia" w:ascii="宋体" w:hAnsi="宋体" w:cs="宋体"/>
          <w:b/>
          <w:kern w:val="0"/>
          <w:lang w:val="zh-CN"/>
        </w:rPr>
        <w:t>、流动性风险</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流动性风险，是指企业在履行以交付现金或其他金融资产的方式结算的义务时发生资金短缺的风险。本公司的政策是确保拥有充足的现金以偿还到期债务。流动性风险由本公司的财务部门集中控制。财务部门通过监控现金余额、可随时变现的有价证券以及对未来</w:t>
      </w:r>
      <w:r>
        <w:rPr>
          <w:rFonts w:eastAsia="Times New Roman"/>
          <w:kern w:val="0"/>
          <w:lang w:val="zh-CN"/>
        </w:rPr>
        <w:t>12</w:t>
      </w:r>
      <w:r>
        <w:rPr>
          <w:rFonts w:hint="eastAsia" w:ascii="宋体" w:hAnsi="宋体" w:cs="宋体"/>
          <w:kern w:val="0"/>
          <w:lang w:val="zh-CN"/>
        </w:rPr>
        <w:t>个月现金流量的滚动预测，确保公司在所有合理预测的情况下拥有充足的资金偿还债务。</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本公司各项金融负债以未折现的合同现金流量按到期日列示如下：</w:t>
      </w:r>
    </w:p>
    <w:p>
      <w:pPr>
        <w:autoSpaceDE w:val="0"/>
        <w:autoSpaceDN w:val="0"/>
        <w:adjustRightInd w:val="0"/>
        <w:spacing w:before="0" w:after="0"/>
        <w:jc w:val="left"/>
        <w:rPr>
          <w:rFonts w:eastAsiaTheme="minorEastAsia"/>
          <w:kern w:val="0"/>
          <w:sz w:val="21"/>
          <w:szCs w:val="24"/>
          <w:lang w:val="zh-CN"/>
        </w:rPr>
      </w:pPr>
    </w:p>
    <w:tbl>
      <w:tblPr>
        <w:tblStyle w:val="9"/>
        <w:tblW w:w="5000" w:type="pct"/>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1741"/>
        <w:gridCol w:w="1821"/>
        <w:gridCol w:w="1447"/>
        <w:gridCol w:w="1447"/>
        <w:gridCol w:w="1447"/>
        <w:gridCol w:w="195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0" w:hRule="atLeast"/>
          <w:tblHeader/>
          <w:jc w:val="center"/>
        </w:trPr>
        <w:tc>
          <w:tcPr>
            <w:tcW w:w="884" w:type="pct"/>
            <w:vMerge w:val="restart"/>
            <w:shd w:val="clear" w:color="auto" w:fill="auto"/>
            <w:vAlign w:val="center"/>
          </w:tcPr>
          <w:p>
            <w:pPr>
              <w:spacing w:line="400" w:lineRule="exact"/>
              <w:contextualSpacing/>
              <w:jc w:val="center"/>
            </w:pPr>
            <w:r>
              <w:rPr>
                <w:rFonts w:hint="eastAsia"/>
              </w:rPr>
              <w:t>项目</w:t>
            </w:r>
          </w:p>
        </w:tc>
        <w:tc>
          <w:tcPr>
            <w:tcW w:w="4116" w:type="pct"/>
            <w:gridSpan w:val="5"/>
            <w:shd w:val="clear" w:color="auto" w:fill="auto"/>
            <w:vAlign w:val="center"/>
          </w:tcPr>
          <w:p>
            <w:pPr>
              <w:spacing w:line="400" w:lineRule="exact"/>
              <w:contextualSpacing/>
              <w:jc w:val="center"/>
            </w:pPr>
            <w:r>
              <w:t>201</w:t>
            </w:r>
            <w:r>
              <w:rPr>
                <w:rFonts w:hint="eastAsia"/>
              </w:rPr>
              <w:t>9年</w:t>
            </w:r>
            <w:r>
              <w:t>12</w:t>
            </w:r>
            <w:r>
              <w:rPr>
                <w:rFonts w:hint="eastAsia"/>
              </w:rPr>
              <w:t>月</w:t>
            </w:r>
            <w:r>
              <w:t>31</w:t>
            </w:r>
            <w:r>
              <w:rPr>
                <w:rFonts w:hint="eastAsia"/>
              </w:rPr>
              <w:t>日</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tblHeader/>
          <w:jc w:val="center"/>
        </w:trPr>
        <w:tc>
          <w:tcPr>
            <w:tcW w:w="884" w:type="pct"/>
            <w:vMerge w:val="continue"/>
            <w:vAlign w:val="center"/>
          </w:tcPr>
          <w:p>
            <w:pPr>
              <w:spacing w:line="400" w:lineRule="exact"/>
              <w:contextualSpacing/>
              <w:jc w:val="center"/>
            </w:pPr>
          </w:p>
        </w:tc>
        <w:tc>
          <w:tcPr>
            <w:tcW w:w="924" w:type="pct"/>
            <w:shd w:val="clear" w:color="auto" w:fill="auto"/>
            <w:vAlign w:val="center"/>
          </w:tcPr>
          <w:p>
            <w:pPr>
              <w:spacing w:line="400" w:lineRule="exact"/>
              <w:contextualSpacing/>
              <w:jc w:val="center"/>
            </w:pPr>
            <w:r>
              <w:t>1</w:t>
            </w:r>
            <w:r>
              <w:rPr>
                <w:rFonts w:hint="eastAsia"/>
              </w:rPr>
              <w:t>年以内</w:t>
            </w:r>
          </w:p>
        </w:tc>
        <w:tc>
          <w:tcPr>
            <w:tcW w:w="734" w:type="pct"/>
            <w:shd w:val="clear" w:color="auto" w:fill="auto"/>
            <w:vAlign w:val="center"/>
          </w:tcPr>
          <w:p>
            <w:pPr>
              <w:spacing w:line="400" w:lineRule="exact"/>
              <w:contextualSpacing/>
              <w:jc w:val="center"/>
            </w:pPr>
            <w:r>
              <w:t>1-2</w:t>
            </w:r>
            <w:r>
              <w:rPr>
                <w:rFonts w:hint="eastAsia"/>
              </w:rPr>
              <w:t>年</w:t>
            </w:r>
          </w:p>
        </w:tc>
        <w:tc>
          <w:tcPr>
            <w:tcW w:w="734" w:type="pct"/>
            <w:shd w:val="clear" w:color="auto" w:fill="auto"/>
            <w:vAlign w:val="center"/>
          </w:tcPr>
          <w:p>
            <w:pPr>
              <w:spacing w:line="400" w:lineRule="exact"/>
              <w:contextualSpacing/>
              <w:jc w:val="center"/>
            </w:pPr>
            <w:r>
              <w:t>2-3</w:t>
            </w:r>
            <w:r>
              <w:rPr>
                <w:rFonts w:hint="eastAsia"/>
              </w:rPr>
              <w:t>年</w:t>
            </w:r>
          </w:p>
        </w:tc>
        <w:tc>
          <w:tcPr>
            <w:tcW w:w="734" w:type="pct"/>
            <w:shd w:val="clear" w:color="auto" w:fill="auto"/>
            <w:vAlign w:val="center"/>
          </w:tcPr>
          <w:p>
            <w:pPr>
              <w:spacing w:line="400" w:lineRule="exact"/>
              <w:contextualSpacing/>
              <w:jc w:val="center"/>
            </w:pPr>
            <w:r>
              <w:t>3</w:t>
            </w:r>
            <w:r>
              <w:rPr>
                <w:rFonts w:hint="eastAsia"/>
              </w:rPr>
              <w:t>年以上</w:t>
            </w:r>
          </w:p>
        </w:tc>
        <w:tc>
          <w:tcPr>
            <w:tcW w:w="990" w:type="pct"/>
            <w:shd w:val="clear" w:color="auto" w:fill="auto"/>
            <w:vAlign w:val="center"/>
          </w:tcPr>
          <w:p>
            <w:pPr>
              <w:spacing w:line="400" w:lineRule="exact"/>
              <w:contextualSpacing/>
              <w:jc w:val="center"/>
            </w:pPr>
            <w:r>
              <w:rPr>
                <w:rFonts w:hint="eastAsia"/>
              </w:rPr>
              <w:t>合计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jc w:val="center"/>
        </w:trPr>
        <w:tc>
          <w:tcPr>
            <w:tcW w:w="884" w:type="pct"/>
            <w:shd w:val="clear" w:color="auto" w:fill="auto"/>
            <w:vAlign w:val="center"/>
          </w:tcPr>
          <w:p>
            <w:pPr>
              <w:spacing w:line="400" w:lineRule="exact"/>
              <w:contextualSpacing/>
            </w:pPr>
            <w:r>
              <w:rPr>
                <w:rFonts w:hint="eastAsia"/>
              </w:rPr>
              <w:t>短期借款</w:t>
            </w:r>
          </w:p>
        </w:tc>
        <w:tc>
          <w:tcPr>
            <w:tcW w:w="924" w:type="pct"/>
            <w:shd w:val="clear" w:color="auto" w:fill="auto"/>
            <w:vAlign w:val="center"/>
          </w:tcPr>
          <w:p>
            <w:pPr>
              <w:spacing w:line="400" w:lineRule="exact"/>
              <w:jc w:val="right"/>
            </w:pPr>
            <w:r>
              <w:t>1,207,438,720.83</w:t>
            </w:r>
          </w:p>
        </w:tc>
        <w:tc>
          <w:tcPr>
            <w:tcW w:w="734" w:type="pct"/>
            <w:shd w:val="clear" w:color="auto" w:fill="auto"/>
            <w:vAlign w:val="center"/>
          </w:tcPr>
          <w:p>
            <w:pPr>
              <w:spacing w:line="400" w:lineRule="exact"/>
              <w:jc w:val="right"/>
            </w:pPr>
          </w:p>
        </w:tc>
        <w:tc>
          <w:tcPr>
            <w:tcW w:w="734" w:type="pct"/>
            <w:shd w:val="clear" w:color="auto" w:fill="auto"/>
            <w:vAlign w:val="center"/>
          </w:tcPr>
          <w:p>
            <w:pPr>
              <w:spacing w:line="400" w:lineRule="exact"/>
              <w:jc w:val="right"/>
            </w:pPr>
          </w:p>
        </w:tc>
        <w:tc>
          <w:tcPr>
            <w:tcW w:w="734" w:type="pct"/>
            <w:shd w:val="clear" w:color="auto" w:fill="auto"/>
            <w:vAlign w:val="center"/>
          </w:tcPr>
          <w:p>
            <w:pPr>
              <w:spacing w:line="400" w:lineRule="exact"/>
              <w:jc w:val="right"/>
            </w:pPr>
          </w:p>
        </w:tc>
        <w:tc>
          <w:tcPr>
            <w:tcW w:w="990" w:type="pct"/>
            <w:shd w:val="clear" w:color="auto" w:fill="auto"/>
            <w:vAlign w:val="center"/>
          </w:tcPr>
          <w:p>
            <w:pPr>
              <w:spacing w:line="400" w:lineRule="exact"/>
              <w:jc w:val="right"/>
            </w:pPr>
            <w:r>
              <w:t>1,207,438,720.83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jc w:val="center"/>
        </w:trPr>
        <w:tc>
          <w:tcPr>
            <w:tcW w:w="884" w:type="pct"/>
            <w:shd w:val="clear" w:color="auto" w:fill="auto"/>
            <w:vAlign w:val="center"/>
          </w:tcPr>
          <w:p>
            <w:pPr>
              <w:spacing w:line="400" w:lineRule="exact"/>
              <w:contextualSpacing/>
            </w:pPr>
            <w:r>
              <w:rPr>
                <w:rFonts w:hint="eastAsia"/>
              </w:rPr>
              <w:t>应付账款</w:t>
            </w:r>
          </w:p>
        </w:tc>
        <w:tc>
          <w:tcPr>
            <w:tcW w:w="924" w:type="pct"/>
            <w:shd w:val="clear" w:color="auto" w:fill="auto"/>
          </w:tcPr>
          <w:p>
            <w:pPr>
              <w:spacing w:line="400" w:lineRule="exact"/>
              <w:jc w:val="right"/>
            </w:pPr>
            <w:r>
              <w:t>281,940,002.24</w:t>
            </w:r>
          </w:p>
        </w:tc>
        <w:tc>
          <w:tcPr>
            <w:tcW w:w="734" w:type="pct"/>
            <w:shd w:val="clear" w:color="auto" w:fill="auto"/>
          </w:tcPr>
          <w:p>
            <w:pPr>
              <w:spacing w:line="400" w:lineRule="exact"/>
              <w:jc w:val="right"/>
            </w:pPr>
          </w:p>
        </w:tc>
        <w:tc>
          <w:tcPr>
            <w:tcW w:w="734" w:type="pct"/>
            <w:shd w:val="clear" w:color="auto" w:fill="auto"/>
          </w:tcPr>
          <w:p>
            <w:pPr>
              <w:spacing w:line="400" w:lineRule="exact"/>
              <w:jc w:val="right"/>
            </w:pPr>
          </w:p>
        </w:tc>
        <w:tc>
          <w:tcPr>
            <w:tcW w:w="734" w:type="pct"/>
            <w:shd w:val="clear" w:color="auto" w:fill="auto"/>
          </w:tcPr>
          <w:p>
            <w:pPr>
              <w:spacing w:line="400" w:lineRule="exact"/>
              <w:jc w:val="right"/>
            </w:pPr>
          </w:p>
        </w:tc>
        <w:tc>
          <w:tcPr>
            <w:tcW w:w="990" w:type="pct"/>
            <w:shd w:val="clear" w:color="auto" w:fill="auto"/>
          </w:tcPr>
          <w:p>
            <w:pPr>
              <w:spacing w:line="400" w:lineRule="exact"/>
              <w:jc w:val="right"/>
            </w:pPr>
            <w:r>
              <w:t>281,940,002.24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84" w:type="pct"/>
            <w:shd w:val="clear" w:color="auto" w:fill="auto"/>
            <w:vAlign w:val="center"/>
          </w:tcPr>
          <w:p>
            <w:pPr>
              <w:spacing w:line="400" w:lineRule="exact"/>
              <w:contextualSpacing/>
            </w:pPr>
            <w:r>
              <w:rPr>
                <w:rFonts w:hint="eastAsia"/>
              </w:rPr>
              <w:t>其他应付款</w:t>
            </w:r>
          </w:p>
        </w:tc>
        <w:tc>
          <w:tcPr>
            <w:tcW w:w="924" w:type="pct"/>
            <w:shd w:val="clear" w:color="auto" w:fill="auto"/>
          </w:tcPr>
          <w:p>
            <w:pPr>
              <w:spacing w:line="400" w:lineRule="exact"/>
              <w:jc w:val="right"/>
            </w:pPr>
            <w:r>
              <w:t>319,411,811.44</w:t>
            </w:r>
          </w:p>
        </w:tc>
        <w:tc>
          <w:tcPr>
            <w:tcW w:w="734" w:type="pct"/>
            <w:shd w:val="clear" w:color="auto" w:fill="auto"/>
          </w:tcPr>
          <w:p>
            <w:pPr>
              <w:spacing w:line="400" w:lineRule="exact"/>
              <w:jc w:val="right"/>
            </w:pPr>
          </w:p>
        </w:tc>
        <w:tc>
          <w:tcPr>
            <w:tcW w:w="734" w:type="pct"/>
            <w:shd w:val="clear" w:color="auto" w:fill="auto"/>
          </w:tcPr>
          <w:p>
            <w:pPr>
              <w:spacing w:line="400" w:lineRule="exact"/>
              <w:jc w:val="right"/>
            </w:pPr>
          </w:p>
        </w:tc>
        <w:tc>
          <w:tcPr>
            <w:tcW w:w="734" w:type="pct"/>
            <w:shd w:val="clear" w:color="auto" w:fill="auto"/>
          </w:tcPr>
          <w:p>
            <w:pPr>
              <w:spacing w:line="400" w:lineRule="exact"/>
              <w:jc w:val="right"/>
            </w:pPr>
          </w:p>
        </w:tc>
        <w:tc>
          <w:tcPr>
            <w:tcW w:w="990" w:type="pct"/>
            <w:shd w:val="clear" w:color="auto" w:fill="auto"/>
          </w:tcPr>
          <w:p>
            <w:pPr>
              <w:spacing w:line="400" w:lineRule="exact"/>
              <w:jc w:val="right"/>
            </w:pPr>
            <w:r>
              <w:t>319,411,811.44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84" w:type="pct"/>
            <w:shd w:val="clear" w:color="auto" w:fill="auto"/>
            <w:vAlign w:val="center"/>
          </w:tcPr>
          <w:p>
            <w:pPr>
              <w:spacing w:line="400" w:lineRule="exact"/>
              <w:contextualSpacing/>
            </w:pPr>
            <w:r>
              <w:rPr>
                <w:rFonts w:hint="eastAsia"/>
              </w:rPr>
              <w:t>一年内到期的非流动负债</w:t>
            </w:r>
          </w:p>
        </w:tc>
        <w:tc>
          <w:tcPr>
            <w:tcW w:w="924" w:type="pct"/>
            <w:shd w:val="clear" w:color="auto" w:fill="auto"/>
            <w:vAlign w:val="center"/>
          </w:tcPr>
          <w:p>
            <w:pPr>
              <w:spacing w:line="400" w:lineRule="exact"/>
              <w:jc w:val="right"/>
            </w:pPr>
            <w:r>
              <w:t>52,430,206.25</w:t>
            </w:r>
          </w:p>
        </w:tc>
        <w:tc>
          <w:tcPr>
            <w:tcW w:w="734" w:type="pct"/>
            <w:shd w:val="clear" w:color="auto" w:fill="auto"/>
            <w:vAlign w:val="center"/>
          </w:tcPr>
          <w:p>
            <w:pPr>
              <w:spacing w:line="400" w:lineRule="exact"/>
              <w:jc w:val="right"/>
            </w:pPr>
          </w:p>
        </w:tc>
        <w:tc>
          <w:tcPr>
            <w:tcW w:w="734" w:type="pct"/>
            <w:shd w:val="clear" w:color="auto" w:fill="auto"/>
            <w:vAlign w:val="center"/>
          </w:tcPr>
          <w:p>
            <w:pPr>
              <w:spacing w:line="400" w:lineRule="exact"/>
              <w:jc w:val="right"/>
            </w:pPr>
          </w:p>
        </w:tc>
        <w:tc>
          <w:tcPr>
            <w:tcW w:w="734" w:type="pct"/>
            <w:shd w:val="clear" w:color="auto" w:fill="auto"/>
            <w:vAlign w:val="center"/>
          </w:tcPr>
          <w:p>
            <w:pPr>
              <w:spacing w:line="400" w:lineRule="exact"/>
              <w:jc w:val="right"/>
            </w:pPr>
          </w:p>
        </w:tc>
        <w:tc>
          <w:tcPr>
            <w:tcW w:w="990" w:type="pct"/>
            <w:shd w:val="clear" w:color="auto" w:fill="auto"/>
            <w:vAlign w:val="center"/>
          </w:tcPr>
          <w:p>
            <w:pPr>
              <w:spacing w:line="400" w:lineRule="exact"/>
              <w:jc w:val="right"/>
            </w:pPr>
            <w:r>
              <w:t>52,430,206.25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884" w:type="pct"/>
            <w:shd w:val="clear" w:color="auto" w:fill="auto"/>
            <w:vAlign w:val="center"/>
          </w:tcPr>
          <w:p>
            <w:pPr>
              <w:spacing w:line="400" w:lineRule="exact"/>
              <w:contextualSpacing/>
            </w:pPr>
            <w:r>
              <w:rPr>
                <w:rFonts w:hint="eastAsia"/>
              </w:rPr>
              <w:t>长期借款</w:t>
            </w:r>
          </w:p>
        </w:tc>
        <w:tc>
          <w:tcPr>
            <w:tcW w:w="924" w:type="pct"/>
            <w:shd w:val="clear" w:color="auto" w:fill="auto"/>
            <w:vAlign w:val="center"/>
          </w:tcPr>
          <w:p>
            <w:pPr>
              <w:spacing w:line="400" w:lineRule="exact"/>
              <w:jc w:val="right"/>
            </w:pPr>
          </w:p>
        </w:tc>
        <w:tc>
          <w:tcPr>
            <w:tcW w:w="734" w:type="pct"/>
            <w:shd w:val="clear" w:color="auto" w:fill="auto"/>
            <w:vAlign w:val="center"/>
          </w:tcPr>
          <w:p>
            <w:pPr>
              <w:spacing w:line="400" w:lineRule="exact"/>
              <w:jc w:val="right"/>
            </w:pPr>
            <w:r>
              <w:t>76,990,000.00</w:t>
            </w:r>
          </w:p>
        </w:tc>
        <w:tc>
          <w:tcPr>
            <w:tcW w:w="734" w:type="pct"/>
            <w:shd w:val="clear" w:color="auto" w:fill="auto"/>
            <w:vAlign w:val="center"/>
          </w:tcPr>
          <w:p>
            <w:pPr>
              <w:spacing w:line="400" w:lineRule="exact"/>
              <w:jc w:val="right"/>
            </w:pPr>
            <w:r>
              <w:t>81,990,000.00</w:t>
            </w:r>
          </w:p>
        </w:tc>
        <w:tc>
          <w:tcPr>
            <w:tcW w:w="734" w:type="pct"/>
            <w:shd w:val="clear" w:color="auto" w:fill="auto"/>
            <w:vAlign w:val="center"/>
          </w:tcPr>
          <w:p>
            <w:pPr>
              <w:spacing w:line="400" w:lineRule="exact"/>
              <w:jc w:val="right"/>
            </w:pPr>
            <w:r>
              <w:t>84,030,000.00</w:t>
            </w:r>
          </w:p>
        </w:tc>
        <w:tc>
          <w:tcPr>
            <w:tcW w:w="990" w:type="pct"/>
            <w:shd w:val="clear" w:color="auto" w:fill="auto"/>
            <w:vAlign w:val="center"/>
          </w:tcPr>
          <w:p>
            <w:pPr>
              <w:spacing w:line="400" w:lineRule="exact"/>
              <w:jc w:val="right"/>
            </w:pPr>
            <w:r>
              <w:t>243,010,000.00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5" w:hRule="atLeast"/>
          <w:jc w:val="center"/>
        </w:trPr>
        <w:tc>
          <w:tcPr>
            <w:tcW w:w="884" w:type="pct"/>
            <w:shd w:val="clear" w:color="auto" w:fill="auto"/>
            <w:vAlign w:val="center"/>
          </w:tcPr>
          <w:p>
            <w:pPr>
              <w:spacing w:line="400" w:lineRule="exact"/>
              <w:contextualSpacing/>
              <w:jc w:val="center"/>
            </w:pPr>
            <w:r>
              <w:rPr>
                <w:rFonts w:hint="eastAsia"/>
              </w:rPr>
              <w:t>合计</w:t>
            </w:r>
          </w:p>
        </w:tc>
        <w:tc>
          <w:tcPr>
            <w:tcW w:w="924" w:type="pct"/>
            <w:shd w:val="clear" w:color="auto" w:fill="auto"/>
            <w:vAlign w:val="center"/>
          </w:tcPr>
          <w:p>
            <w:pPr>
              <w:spacing w:line="400" w:lineRule="exact"/>
              <w:jc w:val="right"/>
            </w:pPr>
            <w:r>
              <w:t>1,861,220,740.76</w:t>
            </w:r>
          </w:p>
        </w:tc>
        <w:tc>
          <w:tcPr>
            <w:tcW w:w="734" w:type="pct"/>
            <w:shd w:val="clear" w:color="auto" w:fill="auto"/>
            <w:vAlign w:val="center"/>
          </w:tcPr>
          <w:p>
            <w:pPr>
              <w:spacing w:line="400" w:lineRule="exact"/>
              <w:jc w:val="right"/>
            </w:pPr>
            <w:r>
              <w:t>76,990,000.00</w:t>
            </w:r>
          </w:p>
        </w:tc>
        <w:tc>
          <w:tcPr>
            <w:tcW w:w="734" w:type="pct"/>
            <w:shd w:val="clear" w:color="auto" w:fill="auto"/>
            <w:vAlign w:val="center"/>
          </w:tcPr>
          <w:p>
            <w:pPr>
              <w:spacing w:line="400" w:lineRule="exact"/>
              <w:jc w:val="right"/>
            </w:pPr>
            <w:r>
              <w:t>81,990,000.00</w:t>
            </w:r>
          </w:p>
        </w:tc>
        <w:tc>
          <w:tcPr>
            <w:tcW w:w="734" w:type="pct"/>
            <w:shd w:val="clear" w:color="auto" w:fill="auto"/>
            <w:vAlign w:val="center"/>
          </w:tcPr>
          <w:p>
            <w:pPr>
              <w:spacing w:line="400" w:lineRule="exact"/>
              <w:jc w:val="right"/>
            </w:pPr>
            <w:r>
              <w:t>84,030,000.00</w:t>
            </w:r>
          </w:p>
        </w:tc>
        <w:tc>
          <w:tcPr>
            <w:tcW w:w="990" w:type="pct"/>
            <w:shd w:val="clear" w:color="auto" w:fill="auto"/>
            <w:vAlign w:val="center"/>
          </w:tcPr>
          <w:p>
            <w:pPr>
              <w:spacing w:line="400" w:lineRule="exact"/>
              <w:jc w:val="right"/>
            </w:pPr>
            <w:r>
              <w:t>2,104,230,740.76</w:t>
            </w:r>
          </w:p>
        </w:tc>
      </w:tr>
    </w:tbl>
    <w:p>
      <w:pPr>
        <w:autoSpaceDE w:val="0"/>
        <w:autoSpaceDN w:val="0"/>
        <w:adjustRightInd w:val="0"/>
        <w:spacing w:before="0" w:after="0"/>
        <w:jc w:val="left"/>
        <w:rPr>
          <w:rFonts w:eastAsiaTheme="minorEastAsia"/>
          <w:kern w:val="0"/>
          <w:sz w:val="21"/>
          <w:szCs w:val="24"/>
          <w:lang w:val="zh-CN"/>
        </w:rPr>
      </w:pPr>
    </w:p>
    <w:p>
      <w:pPr>
        <w:autoSpaceDE w:val="0"/>
        <w:autoSpaceDN w:val="0"/>
        <w:adjustRightInd w:val="0"/>
        <w:spacing w:before="0" w:after="0"/>
        <w:ind w:left="709"/>
        <w:rPr>
          <w:rFonts w:eastAsia="Times New Roman"/>
          <w:kern w:val="0"/>
          <w:sz w:val="21"/>
          <w:szCs w:val="24"/>
          <w:lang w:val="zh-CN"/>
        </w:rPr>
      </w:pPr>
    </w:p>
    <w:tbl>
      <w:tblPr>
        <w:tblStyle w:val="9"/>
        <w:tblW w:w="5000" w:type="pct"/>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1793"/>
        <w:gridCol w:w="1872"/>
        <w:gridCol w:w="1476"/>
        <w:gridCol w:w="1344"/>
        <w:gridCol w:w="1344"/>
        <w:gridCol w:w="202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0" w:hRule="atLeast"/>
          <w:tblHeader/>
          <w:jc w:val="center"/>
        </w:trPr>
        <w:tc>
          <w:tcPr>
            <w:tcW w:w="910" w:type="pct"/>
            <w:vMerge w:val="restart"/>
            <w:shd w:val="clear" w:color="auto" w:fill="auto"/>
            <w:vAlign w:val="center"/>
          </w:tcPr>
          <w:p>
            <w:pPr>
              <w:spacing w:line="400" w:lineRule="exact"/>
              <w:contextualSpacing/>
              <w:jc w:val="center"/>
            </w:pPr>
            <w:r>
              <w:rPr>
                <w:rFonts w:hint="eastAsia"/>
              </w:rPr>
              <w:t>项目</w:t>
            </w:r>
          </w:p>
        </w:tc>
        <w:tc>
          <w:tcPr>
            <w:tcW w:w="4090" w:type="pct"/>
            <w:gridSpan w:val="5"/>
            <w:shd w:val="clear" w:color="auto" w:fill="auto"/>
            <w:vAlign w:val="center"/>
          </w:tcPr>
          <w:p>
            <w:pPr>
              <w:spacing w:line="400" w:lineRule="exact"/>
              <w:contextualSpacing/>
              <w:jc w:val="center"/>
            </w:pPr>
            <w:r>
              <w:t>201</w:t>
            </w:r>
            <w:r>
              <w:rPr>
                <w:rFonts w:hint="eastAsia"/>
              </w:rPr>
              <w:t>8年</w:t>
            </w:r>
            <w:r>
              <w:t>12</w:t>
            </w:r>
            <w:r>
              <w:rPr>
                <w:rFonts w:hint="eastAsia"/>
              </w:rPr>
              <w:t>月</w:t>
            </w:r>
            <w:r>
              <w:t>31</w:t>
            </w:r>
            <w:r>
              <w:rPr>
                <w:rFonts w:hint="eastAsia"/>
              </w:rPr>
              <w:t>日</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tblHeader/>
          <w:jc w:val="center"/>
        </w:trPr>
        <w:tc>
          <w:tcPr>
            <w:tcW w:w="910" w:type="pct"/>
            <w:vMerge w:val="continue"/>
            <w:vAlign w:val="center"/>
          </w:tcPr>
          <w:p>
            <w:pPr>
              <w:spacing w:line="400" w:lineRule="exact"/>
              <w:contextualSpacing/>
              <w:jc w:val="center"/>
            </w:pPr>
          </w:p>
        </w:tc>
        <w:tc>
          <w:tcPr>
            <w:tcW w:w="950" w:type="pct"/>
            <w:shd w:val="clear" w:color="auto" w:fill="auto"/>
            <w:vAlign w:val="center"/>
          </w:tcPr>
          <w:p>
            <w:pPr>
              <w:spacing w:line="400" w:lineRule="exact"/>
              <w:contextualSpacing/>
              <w:jc w:val="center"/>
            </w:pPr>
            <w:r>
              <w:t>1</w:t>
            </w:r>
            <w:r>
              <w:rPr>
                <w:rFonts w:hint="eastAsia"/>
              </w:rPr>
              <w:t>年以内</w:t>
            </w:r>
          </w:p>
        </w:tc>
        <w:tc>
          <w:tcPr>
            <w:tcW w:w="749" w:type="pct"/>
            <w:shd w:val="clear" w:color="auto" w:fill="auto"/>
            <w:vAlign w:val="center"/>
          </w:tcPr>
          <w:p>
            <w:pPr>
              <w:spacing w:line="400" w:lineRule="exact"/>
              <w:contextualSpacing/>
              <w:jc w:val="center"/>
            </w:pPr>
            <w:r>
              <w:t>1-2</w:t>
            </w:r>
            <w:r>
              <w:rPr>
                <w:rFonts w:hint="eastAsia"/>
              </w:rPr>
              <w:t>年</w:t>
            </w:r>
          </w:p>
        </w:tc>
        <w:tc>
          <w:tcPr>
            <w:tcW w:w="682" w:type="pct"/>
            <w:shd w:val="clear" w:color="auto" w:fill="auto"/>
            <w:vAlign w:val="center"/>
          </w:tcPr>
          <w:p>
            <w:pPr>
              <w:spacing w:line="400" w:lineRule="exact"/>
              <w:contextualSpacing/>
              <w:jc w:val="center"/>
            </w:pPr>
            <w:r>
              <w:t>2-3</w:t>
            </w:r>
            <w:r>
              <w:rPr>
                <w:rFonts w:hint="eastAsia"/>
              </w:rPr>
              <w:t>年</w:t>
            </w:r>
          </w:p>
        </w:tc>
        <w:tc>
          <w:tcPr>
            <w:tcW w:w="682" w:type="pct"/>
            <w:shd w:val="clear" w:color="auto" w:fill="auto"/>
            <w:vAlign w:val="center"/>
          </w:tcPr>
          <w:p>
            <w:pPr>
              <w:spacing w:line="400" w:lineRule="exact"/>
              <w:contextualSpacing/>
              <w:jc w:val="center"/>
            </w:pPr>
            <w:r>
              <w:t>3</w:t>
            </w:r>
            <w:r>
              <w:rPr>
                <w:rFonts w:hint="eastAsia"/>
              </w:rPr>
              <w:t>年以上</w:t>
            </w:r>
          </w:p>
        </w:tc>
        <w:tc>
          <w:tcPr>
            <w:tcW w:w="1028" w:type="pct"/>
            <w:shd w:val="clear" w:color="auto" w:fill="auto"/>
            <w:vAlign w:val="center"/>
          </w:tcPr>
          <w:p>
            <w:pPr>
              <w:spacing w:line="400" w:lineRule="exact"/>
              <w:contextualSpacing/>
              <w:jc w:val="center"/>
            </w:pPr>
            <w:r>
              <w:rPr>
                <w:rFonts w:hint="eastAsia"/>
              </w:rPr>
              <w:t>合计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255" w:hRule="atLeast"/>
          <w:jc w:val="center"/>
        </w:trPr>
        <w:tc>
          <w:tcPr>
            <w:tcW w:w="910" w:type="pct"/>
            <w:shd w:val="clear" w:color="auto" w:fill="auto"/>
            <w:vAlign w:val="center"/>
          </w:tcPr>
          <w:p>
            <w:pPr>
              <w:spacing w:line="400" w:lineRule="exact"/>
              <w:contextualSpacing/>
            </w:pPr>
            <w:r>
              <w:rPr>
                <w:rFonts w:hint="eastAsia"/>
              </w:rPr>
              <w:t>短期借款</w:t>
            </w:r>
          </w:p>
        </w:tc>
        <w:tc>
          <w:tcPr>
            <w:tcW w:w="950" w:type="pct"/>
            <w:shd w:val="clear" w:color="auto" w:fill="auto"/>
            <w:vAlign w:val="center"/>
          </w:tcPr>
          <w:p>
            <w:pPr>
              <w:spacing w:line="400" w:lineRule="exact"/>
              <w:jc w:val="right"/>
            </w:pPr>
            <w:r>
              <w:rPr>
                <w:rFonts w:hint="eastAsia"/>
              </w:rPr>
              <w:t>1,130,490,000.00</w:t>
            </w:r>
          </w:p>
        </w:tc>
        <w:tc>
          <w:tcPr>
            <w:tcW w:w="749" w:type="pct"/>
            <w:shd w:val="clear" w:color="auto" w:fill="auto"/>
            <w:vAlign w:val="center"/>
          </w:tcPr>
          <w:p>
            <w:pPr>
              <w:spacing w:line="400" w:lineRule="exact"/>
              <w:jc w:val="right"/>
            </w:pPr>
            <w:r>
              <w:rPr>
                <w:rFonts w:hint="eastAsia"/>
              </w:rPr>
              <w:t>　</w:t>
            </w:r>
          </w:p>
        </w:tc>
        <w:tc>
          <w:tcPr>
            <w:tcW w:w="682" w:type="pct"/>
            <w:shd w:val="clear" w:color="auto" w:fill="auto"/>
            <w:vAlign w:val="center"/>
          </w:tcPr>
          <w:p>
            <w:pPr>
              <w:spacing w:line="400" w:lineRule="exact"/>
              <w:jc w:val="right"/>
            </w:pPr>
            <w:r>
              <w:rPr>
                <w:rFonts w:hint="eastAsia"/>
              </w:rPr>
              <w:t>　</w:t>
            </w:r>
          </w:p>
        </w:tc>
        <w:tc>
          <w:tcPr>
            <w:tcW w:w="682" w:type="pct"/>
            <w:shd w:val="clear" w:color="auto" w:fill="auto"/>
            <w:vAlign w:val="center"/>
          </w:tcPr>
          <w:p>
            <w:pPr>
              <w:spacing w:line="400" w:lineRule="exact"/>
              <w:jc w:val="right"/>
            </w:pPr>
            <w:r>
              <w:rPr>
                <w:rFonts w:hint="eastAsia"/>
              </w:rPr>
              <w:t>　</w:t>
            </w:r>
          </w:p>
        </w:tc>
        <w:tc>
          <w:tcPr>
            <w:tcW w:w="1028" w:type="pct"/>
            <w:shd w:val="clear" w:color="auto" w:fill="auto"/>
            <w:vAlign w:val="center"/>
          </w:tcPr>
          <w:p>
            <w:pPr>
              <w:spacing w:line="400" w:lineRule="exact"/>
              <w:jc w:val="right"/>
            </w:pPr>
            <w:r>
              <w:rPr>
                <w:rFonts w:hint="eastAsia"/>
              </w:rPr>
              <w:t>1,130,490,000.00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jc w:val="center"/>
        </w:trPr>
        <w:tc>
          <w:tcPr>
            <w:tcW w:w="910" w:type="pct"/>
            <w:shd w:val="clear" w:color="auto" w:fill="auto"/>
            <w:vAlign w:val="center"/>
          </w:tcPr>
          <w:p>
            <w:pPr>
              <w:spacing w:line="400" w:lineRule="exact"/>
              <w:contextualSpacing/>
            </w:pPr>
            <w:r>
              <w:rPr>
                <w:rFonts w:hint="eastAsia"/>
              </w:rPr>
              <w:t>应付票据</w:t>
            </w:r>
          </w:p>
        </w:tc>
        <w:tc>
          <w:tcPr>
            <w:tcW w:w="950" w:type="pct"/>
            <w:shd w:val="clear" w:color="auto" w:fill="auto"/>
            <w:vAlign w:val="center"/>
          </w:tcPr>
          <w:p>
            <w:pPr>
              <w:spacing w:line="400" w:lineRule="exact"/>
              <w:jc w:val="right"/>
            </w:pPr>
            <w:r>
              <w:rPr>
                <w:rFonts w:hint="eastAsia"/>
              </w:rPr>
              <w:t>55,090,000.00</w:t>
            </w:r>
          </w:p>
        </w:tc>
        <w:tc>
          <w:tcPr>
            <w:tcW w:w="749" w:type="pct"/>
            <w:shd w:val="clear" w:color="auto" w:fill="auto"/>
            <w:vAlign w:val="center"/>
          </w:tcPr>
          <w:p>
            <w:pPr>
              <w:spacing w:line="400" w:lineRule="exact"/>
              <w:jc w:val="right"/>
            </w:pPr>
            <w:r>
              <w:rPr>
                <w:rFonts w:hint="eastAsia"/>
              </w:rPr>
              <w:t>　</w:t>
            </w:r>
          </w:p>
        </w:tc>
        <w:tc>
          <w:tcPr>
            <w:tcW w:w="682" w:type="pct"/>
            <w:shd w:val="clear" w:color="auto" w:fill="auto"/>
            <w:vAlign w:val="center"/>
          </w:tcPr>
          <w:p>
            <w:pPr>
              <w:spacing w:line="400" w:lineRule="exact"/>
              <w:jc w:val="right"/>
            </w:pPr>
            <w:r>
              <w:rPr>
                <w:rFonts w:hint="eastAsia"/>
              </w:rPr>
              <w:t>　</w:t>
            </w:r>
          </w:p>
        </w:tc>
        <w:tc>
          <w:tcPr>
            <w:tcW w:w="682" w:type="pct"/>
            <w:shd w:val="clear" w:color="auto" w:fill="auto"/>
            <w:vAlign w:val="center"/>
          </w:tcPr>
          <w:p>
            <w:pPr>
              <w:spacing w:line="400" w:lineRule="exact"/>
              <w:jc w:val="right"/>
            </w:pPr>
            <w:r>
              <w:rPr>
                <w:rFonts w:hint="eastAsia"/>
              </w:rPr>
              <w:t>　</w:t>
            </w:r>
          </w:p>
        </w:tc>
        <w:tc>
          <w:tcPr>
            <w:tcW w:w="1028" w:type="pct"/>
            <w:shd w:val="clear" w:color="auto" w:fill="auto"/>
            <w:vAlign w:val="center"/>
          </w:tcPr>
          <w:p>
            <w:pPr>
              <w:spacing w:line="400" w:lineRule="exact"/>
              <w:jc w:val="right"/>
            </w:pPr>
            <w:r>
              <w:rPr>
                <w:rFonts w:hint="eastAsia"/>
              </w:rPr>
              <w:t>55,090,000.00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jc w:val="center"/>
        </w:trPr>
        <w:tc>
          <w:tcPr>
            <w:tcW w:w="910" w:type="pct"/>
            <w:shd w:val="clear" w:color="auto" w:fill="auto"/>
            <w:vAlign w:val="center"/>
          </w:tcPr>
          <w:p>
            <w:pPr>
              <w:spacing w:line="400" w:lineRule="exact"/>
              <w:contextualSpacing/>
            </w:pPr>
            <w:r>
              <w:rPr>
                <w:rFonts w:hint="eastAsia"/>
              </w:rPr>
              <w:t>应付账款</w:t>
            </w:r>
          </w:p>
        </w:tc>
        <w:tc>
          <w:tcPr>
            <w:tcW w:w="950" w:type="pct"/>
            <w:shd w:val="clear" w:color="auto" w:fill="auto"/>
            <w:vAlign w:val="center"/>
          </w:tcPr>
          <w:p>
            <w:pPr>
              <w:spacing w:line="400" w:lineRule="exact"/>
              <w:jc w:val="right"/>
            </w:pPr>
            <w:r>
              <w:t xml:space="preserve">176,508,332.56 </w:t>
            </w:r>
          </w:p>
        </w:tc>
        <w:tc>
          <w:tcPr>
            <w:tcW w:w="749" w:type="pct"/>
            <w:shd w:val="clear" w:color="auto" w:fill="auto"/>
            <w:vAlign w:val="center"/>
          </w:tcPr>
          <w:p>
            <w:pPr>
              <w:spacing w:line="400" w:lineRule="exact"/>
              <w:jc w:val="right"/>
            </w:pPr>
            <w:r>
              <w:rPr>
                <w:rFonts w:hint="eastAsia"/>
              </w:rPr>
              <w:t>　</w:t>
            </w:r>
          </w:p>
        </w:tc>
        <w:tc>
          <w:tcPr>
            <w:tcW w:w="682" w:type="pct"/>
            <w:shd w:val="clear" w:color="auto" w:fill="auto"/>
            <w:vAlign w:val="center"/>
          </w:tcPr>
          <w:p>
            <w:pPr>
              <w:spacing w:line="400" w:lineRule="exact"/>
              <w:jc w:val="right"/>
            </w:pPr>
            <w:r>
              <w:rPr>
                <w:rFonts w:hint="eastAsia"/>
              </w:rPr>
              <w:t>　</w:t>
            </w:r>
          </w:p>
        </w:tc>
        <w:tc>
          <w:tcPr>
            <w:tcW w:w="682" w:type="pct"/>
            <w:shd w:val="clear" w:color="auto" w:fill="auto"/>
            <w:vAlign w:val="center"/>
          </w:tcPr>
          <w:p>
            <w:pPr>
              <w:spacing w:line="400" w:lineRule="exact"/>
              <w:jc w:val="right"/>
            </w:pPr>
            <w:r>
              <w:rPr>
                <w:rFonts w:hint="eastAsia"/>
              </w:rPr>
              <w:t>　</w:t>
            </w:r>
          </w:p>
        </w:tc>
        <w:tc>
          <w:tcPr>
            <w:tcW w:w="1028" w:type="pct"/>
            <w:shd w:val="clear" w:color="auto" w:fill="auto"/>
            <w:vAlign w:val="center"/>
          </w:tcPr>
          <w:p>
            <w:pPr>
              <w:spacing w:line="400" w:lineRule="exact"/>
              <w:jc w:val="right"/>
            </w:pPr>
            <w:r>
              <w:t xml:space="preserve">176,508,332.56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910" w:type="pct"/>
            <w:shd w:val="clear" w:color="auto" w:fill="auto"/>
            <w:vAlign w:val="center"/>
          </w:tcPr>
          <w:p>
            <w:pPr>
              <w:spacing w:line="400" w:lineRule="exact"/>
              <w:contextualSpacing/>
            </w:pPr>
            <w:r>
              <w:rPr>
                <w:rFonts w:hint="eastAsia"/>
              </w:rPr>
              <w:t>其他应付款</w:t>
            </w:r>
          </w:p>
        </w:tc>
        <w:tc>
          <w:tcPr>
            <w:tcW w:w="950" w:type="pct"/>
            <w:shd w:val="clear" w:color="auto" w:fill="auto"/>
            <w:vAlign w:val="center"/>
          </w:tcPr>
          <w:p>
            <w:pPr>
              <w:spacing w:line="400" w:lineRule="exact"/>
              <w:jc w:val="right"/>
            </w:pPr>
            <w:r>
              <w:t>259,892,109.90</w:t>
            </w:r>
          </w:p>
        </w:tc>
        <w:tc>
          <w:tcPr>
            <w:tcW w:w="749" w:type="pct"/>
            <w:shd w:val="clear" w:color="auto" w:fill="auto"/>
            <w:vAlign w:val="center"/>
          </w:tcPr>
          <w:p>
            <w:pPr>
              <w:spacing w:line="400" w:lineRule="exact"/>
              <w:jc w:val="right"/>
            </w:pPr>
            <w:r>
              <w:rPr>
                <w:rFonts w:hint="eastAsia"/>
              </w:rPr>
              <w:t>　</w:t>
            </w:r>
          </w:p>
        </w:tc>
        <w:tc>
          <w:tcPr>
            <w:tcW w:w="682" w:type="pct"/>
            <w:shd w:val="clear" w:color="auto" w:fill="auto"/>
            <w:vAlign w:val="center"/>
          </w:tcPr>
          <w:p>
            <w:pPr>
              <w:spacing w:line="400" w:lineRule="exact"/>
              <w:jc w:val="right"/>
            </w:pPr>
            <w:r>
              <w:rPr>
                <w:rFonts w:hint="eastAsia"/>
              </w:rPr>
              <w:t>　</w:t>
            </w:r>
          </w:p>
        </w:tc>
        <w:tc>
          <w:tcPr>
            <w:tcW w:w="682" w:type="pct"/>
            <w:shd w:val="clear" w:color="auto" w:fill="auto"/>
            <w:vAlign w:val="center"/>
          </w:tcPr>
          <w:p>
            <w:pPr>
              <w:spacing w:line="400" w:lineRule="exact"/>
              <w:jc w:val="right"/>
            </w:pPr>
            <w:r>
              <w:rPr>
                <w:rFonts w:hint="eastAsia"/>
              </w:rPr>
              <w:t>　</w:t>
            </w:r>
          </w:p>
        </w:tc>
        <w:tc>
          <w:tcPr>
            <w:tcW w:w="1028" w:type="pct"/>
            <w:shd w:val="clear" w:color="auto" w:fill="auto"/>
            <w:vAlign w:val="center"/>
          </w:tcPr>
          <w:p>
            <w:pPr>
              <w:spacing w:line="400" w:lineRule="exact"/>
              <w:jc w:val="right"/>
            </w:pPr>
            <w:r>
              <w:t>259,892,109.90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910" w:type="pct"/>
            <w:shd w:val="clear" w:color="auto" w:fill="auto"/>
            <w:vAlign w:val="center"/>
          </w:tcPr>
          <w:p>
            <w:pPr>
              <w:spacing w:line="400" w:lineRule="exact"/>
              <w:contextualSpacing/>
            </w:pPr>
            <w:r>
              <w:rPr>
                <w:rFonts w:hint="eastAsia"/>
              </w:rPr>
              <w:t>一年内到期的非流动负债</w:t>
            </w:r>
          </w:p>
        </w:tc>
        <w:tc>
          <w:tcPr>
            <w:tcW w:w="950" w:type="pct"/>
            <w:shd w:val="clear" w:color="auto" w:fill="auto"/>
            <w:vAlign w:val="center"/>
          </w:tcPr>
          <w:p>
            <w:pPr>
              <w:spacing w:line="400" w:lineRule="exact"/>
              <w:jc w:val="right"/>
            </w:pPr>
            <w:r>
              <w:rPr>
                <w:rFonts w:hint="eastAsia"/>
              </w:rPr>
              <w:t>323,014,975.58</w:t>
            </w:r>
          </w:p>
        </w:tc>
        <w:tc>
          <w:tcPr>
            <w:tcW w:w="749" w:type="pct"/>
            <w:shd w:val="clear" w:color="auto" w:fill="auto"/>
            <w:vAlign w:val="center"/>
          </w:tcPr>
          <w:p>
            <w:pPr>
              <w:spacing w:line="400" w:lineRule="exact"/>
              <w:jc w:val="right"/>
            </w:pPr>
            <w:r>
              <w:rPr>
                <w:rFonts w:hint="eastAsia"/>
              </w:rPr>
              <w:t>　</w:t>
            </w:r>
          </w:p>
        </w:tc>
        <w:tc>
          <w:tcPr>
            <w:tcW w:w="682" w:type="pct"/>
            <w:shd w:val="clear" w:color="auto" w:fill="auto"/>
            <w:vAlign w:val="center"/>
          </w:tcPr>
          <w:p>
            <w:pPr>
              <w:spacing w:line="400" w:lineRule="exact"/>
              <w:jc w:val="right"/>
            </w:pPr>
            <w:r>
              <w:rPr>
                <w:rFonts w:hint="eastAsia"/>
              </w:rPr>
              <w:t>　</w:t>
            </w:r>
          </w:p>
        </w:tc>
        <w:tc>
          <w:tcPr>
            <w:tcW w:w="682" w:type="pct"/>
            <w:shd w:val="clear" w:color="auto" w:fill="auto"/>
            <w:vAlign w:val="center"/>
          </w:tcPr>
          <w:p>
            <w:pPr>
              <w:spacing w:line="400" w:lineRule="exact"/>
              <w:jc w:val="right"/>
            </w:pPr>
            <w:r>
              <w:rPr>
                <w:rFonts w:hint="eastAsia"/>
              </w:rPr>
              <w:t>　</w:t>
            </w:r>
          </w:p>
        </w:tc>
        <w:tc>
          <w:tcPr>
            <w:tcW w:w="1028" w:type="pct"/>
            <w:shd w:val="clear" w:color="auto" w:fill="auto"/>
            <w:vAlign w:val="center"/>
          </w:tcPr>
          <w:p>
            <w:pPr>
              <w:spacing w:line="400" w:lineRule="exact"/>
              <w:jc w:val="right"/>
            </w:pPr>
            <w:r>
              <w:rPr>
                <w:rFonts w:hint="eastAsia"/>
              </w:rPr>
              <w:t>323,014,975.58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910" w:type="pct"/>
            <w:shd w:val="clear" w:color="auto" w:fill="auto"/>
            <w:vAlign w:val="center"/>
          </w:tcPr>
          <w:p>
            <w:pPr>
              <w:spacing w:line="400" w:lineRule="exact"/>
              <w:contextualSpacing/>
            </w:pPr>
            <w:r>
              <w:rPr>
                <w:rFonts w:hint="eastAsia"/>
              </w:rPr>
              <w:t>长期借款</w:t>
            </w:r>
          </w:p>
        </w:tc>
        <w:tc>
          <w:tcPr>
            <w:tcW w:w="950" w:type="pct"/>
            <w:shd w:val="clear" w:color="auto" w:fill="auto"/>
            <w:vAlign w:val="center"/>
          </w:tcPr>
          <w:p>
            <w:pPr>
              <w:spacing w:line="400" w:lineRule="exact"/>
              <w:jc w:val="right"/>
            </w:pPr>
            <w:r>
              <w:rPr>
                <w:rFonts w:hint="eastAsia"/>
              </w:rPr>
              <w:t>　</w:t>
            </w:r>
          </w:p>
        </w:tc>
        <w:tc>
          <w:tcPr>
            <w:tcW w:w="749" w:type="pct"/>
            <w:shd w:val="clear" w:color="auto" w:fill="auto"/>
            <w:vAlign w:val="center"/>
          </w:tcPr>
          <w:p>
            <w:pPr>
              <w:spacing w:line="400" w:lineRule="exact"/>
              <w:jc w:val="right"/>
            </w:pPr>
            <w:r>
              <w:rPr>
                <w:rFonts w:hint="eastAsia"/>
              </w:rPr>
              <w:t>30,000,000.00</w:t>
            </w:r>
          </w:p>
        </w:tc>
        <w:tc>
          <w:tcPr>
            <w:tcW w:w="682" w:type="pct"/>
            <w:shd w:val="clear" w:color="auto" w:fill="auto"/>
            <w:vAlign w:val="center"/>
          </w:tcPr>
          <w:p>
            <w:pPr>
              <w:spacing w:line="400" w:lineRule="exact"/>
              <w:jc w:val="right"/>
            </w:pPr>
            <w:r>
              <w:rPr>
                <w:rFonts w:hint="eastAsia"/>
              </w:rPr>
              <w:t>60,000,000.00</w:t>
            </w:r>
          </w:p>
        </w:tc>
        <w:tc>
          <w:tcPr>
            <w:tcW w:w="682" w:type="pct"/>
            <w:shd w:val="clear" w:color="auto" w:fill="auto"/>
            <w:vAlign w:val="center"/>
          </w:tcPr>
          <w:p>
            <w:pPr>
              <w:spacing w:line="400" w:lineRule="exact"/>
              <w:jc w:val="right"/>
            </w:pPr>
            <w:r>
              <w:rPr>
                <w:rFonts w:hint="eastAsia"/>
              </w:rPr>
              <w:t>30,000,000.00</w:t>
            </w:r>
          </w:p>
        </w:tc>
        <w:tc>
          <w:tcPr>
            <w:tcW w:w="1028" w:type="pct"/>
            <w:shd w:val="clear" w:color="auto" w:fill="auto"/>
            <w:vAlign w:val="center"/>
          </w:tcPr>
          <w:p>
            <w:pPr>
              <w:spacing w:line="400" w:lineRule="exact"/>
              <w:jc w:val="right"/>
            </w:pPr>
            <w:r>
              <w:rPr>
                <w:rFonts w:hint="eastAsia"/>
              </w:rPr>
              <w:t>120,000,000.00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5" w:hRule="atLeast"/>
          <w:jc w:val="center"/>
        </w:trPr>
        <w:tc>
          <w:tcPr>
            <w:tcW w:w="910" w:type="pct"/>
            <w:shd w:val="clear" w:color="auto" w:fill="auto"/>
            <w:vAlign w:val="center"/>
          </w:tcPr>
          <w:p>
            <w:pPr>
              <w:spacing w:line="400" w:lineRule="exact"/>
              <w:contextualSpacing/>
              <w:jc w:val="center"/>
            </w:pPr>
            <w:r>
              <w:rPr>
                <w:rFonts w:hint="eastAsia"/>
              </w:rPr>
              <w:t>合计</w:t>
            </w:r>
          </w:p>
        </w:tc>
        <w:tc>
          <w:tcPr>
            <w:tcW w:w="950" w:type="pct"/>
            <w:shd w:val="clear" w:color="auto" w:fill="auto"/>
            <w:vAlign w:val="center"/>
          </w:tcPr>
          <w:p>
            <w:pPr>
              <w:spacing w:line="400" w:lineRule="exact"/>
              <w:jc w:val="right"/>
            </w:pPr>
            <w:r>
              <w:t>1,944,995,418.04</w:t>
            </w:r>
          </w:p>
        </w:tc>
        <w:tc>
          <w:tcPr>
            <w:tcW w:w="749" w:type="pct"/>
            <w:shd w:val="clear" w:color="auto" w:fill="auto"/>
            <w:vAlign w:val="center"/>
          </w:tcPr>
          <w:p>
            <w:pPr>
              <w:spacing w:line="400" w:lineRule="exact"/>
              <w:jc w:val="right"/>
            </w:pPr>
            <w:r>
              <w:rPr>
                <w:rFonts w:hint="eastAsia"/>
              </w:rPr>
              <w:t>30,000,000.00</w:t>
            </w:r>
          </w:p>
        </w:tc>
        <w:tc>
          <w:tcPr>
            <w:tcW w:w="682" w:type="pct"/>
            <w:shd w:val="clear" w:color="auto" w:fill="auto"/>
            <w:vAlign w:val="center"/>
          </w:tcPr>
          <w:p>
            <w:pPr>
              <w:spacing w:line="400" w:lineRule="exact"/>
              <w:jc w:val="right"/>
            </w:pPr>
            <w:r>
              <w:rPr>
                <w:rFonts w:hint="eastAsia"/>
              </w:rPr>
              <w:t>60,000,000.00</w:t>
            </w:r>
          </w:p>
        </w:tc>
        <w:tc>
          <w:tcPr>
            <w:tcW w:w="682" w:type="pct"/>
            <w:shd w:val="clear" w:color="auto" w:fill="auto"/>
            <w:vAlign w:val="center"/>
          </w:tcPr>
          <w:p>
            <w:pPr>
              <w:spacing w:line="400" w:lineRule="exact"/>
              <w:jc w:val="right"/>
            </w:pPr>
            <w:r>
              <w:rPr>
                <w:rFonts w:hint="eastAsia"/>
              </w:rPr>
              <w:t>30,000,000.00</w:t>
            </w:r>
          </w:p>
        </w:tc>
        <w:tc>
          <w:tcPr>
            <w:tcW w:w="1028" w:type="pct"/>
            <w:shd w:val="clear" w:color="auto" w:fill="auto"/>
            <w:vAlign w:val="center"/>
          </w:tcPr>
          <w:p>
            <w:pPr>
              <w:spacing w:line="400" w:lineRule="exact"/>
              <w:jc w:val="right"/>
            </w:pPr>
            <w:r>
              <w:t>2,064,995,418.04</w:t>
            </w:r>
          </w:p>
        </w:tc>
      </w:tr>
    </w:tbl>
    <w:p>
      <w:pPr>
        <w:autoSpaceDE w:val="0"/>
        <w:autoSpaceDN w:val="0"/>
        <w:adjustRightInd w:val="0"/>
        <w:spacing w:before="0" w:after="0"/>
        <w:jc w:val="left"/>
        <w:rPr>
          <w:rFonts w:eastAsia="Times New Roman"/>
          <w:kern w:val="0"/>
          <w:szCs w:val="24"/>
          <w:lang w:val="zh-CN"/>
        </w:rPr>
      </w:pPr>
    </w:p>
    <w:p>
      <w:pPr>
        <w:pStyle w:val="13"/>
        <w:outlineLvl w:val="1"/>
        <w:rPr>
          <w:bCs w:val="0"/>
        </w:rPr>
      </w:pPr>
      <w:r>
        <w:rPr>
          <w:rFonts w:hint="eastAsia"/>
          <w:bCs w:val="0"/>
        </w:rPr>
        <w:t>十一、公允价值的披露</w:t>
      </w:r>
    </w:p>
    <w:p>
      <w:pPr>
        <w:pStyle w:val="14"/>
        <w:outlineLvl w:val="2"/>
        <w:rPr>
          <w:bCs w:val="0"/>
          <w:szCs w:val="24"/>
        </w:rPr>
      </w:pPr>
      <w:r>
        <w:rPr>
          <w:bCs w:val="0"/>
          <w:szCs w:val="24"/>
        </w:rPr>
        <w:t>1</w:t>
      </w:r>
      <w:r>
        <w:rPr>
          <w:rFonts w:hint="eastAsia"/>
          <w:bCs w:val="0"/>
          <w:szCs w:val="24"/>
        </w:rPr>
        <w:t>、以公允价值计量的资产和负债的期末公允价值</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94"/>
        <w:gridCol w:w="1837"/>
        <w:gridCol w:w="1913"/>
        <w:gridCol w:w="1913"/>
        <w:gridCol w:w="1913"/>
      </w:tblGrid>
      <w:tr>
        <w:tblPrEx>
          <w:tblCellMar>
            <w:top w:w="0" w:type="dxa"/>
            <w:left w:w="28" w:type="dxa"/>
            <w:bottom w:w="0" w:type="dxa"/>
            <w:right w:w="28" w:type="dxa"/>
          </w:tblCellMar>
        </w:tblPrEx>
        <w:tc>
          <w:tcPr>
            <w:tcW w:w="199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7576"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期末公允价值</w:t>
            </w:r>
          </w:p>
        </w:tc>
      </w:tr>
      <w:tr>
        <w:tblPrEx>
          <w:tblCellMar>
            <w:top w:w="0" w:type="dxa"/>
            <w:left w:w="28" w:type="dxa"/>
            <w:bottom w:w="0" w:type="dxa"/>
            <w:right w:w="28" w:type="dxa"/>
          </w:tblCellMar>
        </w:tblPrEx>
        <w:tc>
          <w:tcPr>
            <w:tcW w:w="1994"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83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第一层次公允价值计量</w:t>
            </w:r>
          </w:p>
        </w:tc>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第二层次公允价值计量</w:t>
            </w:r>
          </w:p>
        </w:tc>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第三层次公允价值计量</w:t>
            </w:r>
          </w:p>
        </w:tc>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合计</w:t>
            </w:r>
          </w:p>
        </w:tc>
      </w:tr>
      <w:tr>
        <w:tblPrEx>
          <w:tblCellMar>
            <w:top w:w="0" w:type="dxa"/>
            <w:left w:w="28" w:type="dxa"/>
            <w:bottom w:w="0" w:type="dxa"/>
            <w:right w:w="28" w:type="dxa"/>
          </w:tblCellMar>
        </w:tblPrEx>
        <w:tc>
          <w:tcPr>
            <w:tcW w:w="19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一、持续的公允价值计量</w:t>
            </w:r>
          </w:p>
        </w:tc>
        <w:tc>
          <w:tcPr>
            <w:tcW w:w="183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blPrEx>
          <w:tblCellMar>
            <w:top w:w="0" w:type="dxa"/>
            <w:left w:w="28" w:type="dxa"/>
            <w:bottom w:w="0" w:type="dxa"/>
            <w:right w:w="28" w:type="dxa"/>
          </w:tblCellMar>
        </w:tblPrEx>
        <w:tc>
          <w:tcPr>
            <w:tcW w:w="19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w:t>
            </w:r>
            <w:r>
              <w:rPr>
                <w:szCs w:val="24"/>
              </w:rPr>
              <w:t>1</w:t>
            </w:r>
            <w:r>
              <w:rPr>
                <w:rFonts w:hint="eastAsia"/>
                <w:szCs w:val="24"/>
              </w:rPr>
              <w:t>）债务工具投资</w:t>
            </w:r>
          </w:p>
        </w:tc>
        <w:tc>
          <w:tcPr>
            <w:tcW w:w="18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17,370,342.71</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17,370,342.71</w:t>
            </w:r>
          </w:p>
        </w:tc>
      </w:tr>
      <w:tr>
        <w:tblPrEx>
          <w:tblCellMar>
            <w:top w:w="0" w:type="dxa"/>
            <w:left w:w="28" w:type="dxa"/>
            <w:bottom w:w="0" w:type="dxa"/>
            <w:right w:w="28" w:type="dxa"/>
          </w:tblCellMar>
        </w:tblPrEx>
        <w:tc>
          <w:tcPr>
            <w:tcW w:w="19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（三）其他权益工具投资</w:t>
            </w:r>
          </w:p>
        </w:tc>
        <w:tc>
          <w:tcPr>
            <w:tcW w:w="18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30,006,000.00</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30,006,000.00</w:t>
            </w:r>
          </w:p>
        </w:tc>
      </w:tr>
      <w:tr>
        <w:tblPrEx>
          <w:tblCellMar>
            <w:top w:w="0" w:type="dxa"/>
            <w:left w:w="28" w:type="dxa"/>
            <w:bottom w:w="0" w:type="dxa"/>
            <w:right w:w="28" w:type="dxa"/>
          </w:tblCellMar>
        </w:tblPrEx>
        <w:tc>
          <w:tcPr>
            <w:tcW w:w="19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持续以公允价值计量的资产总额</w:t>
            </w:r>
          </w:p>
        </w:tc>
        <w:tc>
          <w:tcPr>
            <w:tcW w:w="18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17,370,342.71</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30,006,000.00</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47,376,342.71</w:t>
            </w:r>
          </w:p>
        </w:tc>
      </w:tr>
      <w:tr>
        <w:tblPrEx>
          <w:tblCellMar>
            <w:top w:w="0" w:type="dxa"/>
            <w:left w:w="28" w:type="dxa"/>
            <w:bottom w:w="0" w:type="dxa"/>
            <w:right w:w="28" w:type="dxa"/>
          </w:tblCellMar>
        </w:tblPrEx>
        <w:tc>
          <w:tcPr>
            <w:tcW w:w="19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二、非持续的公允价值计量</w:t>
            </w:r>
          </w:p>
        </w:tc>
        <w:tc>
          <w:tcPr>
            <w:tcW w:w="183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pStyle w:val="14"/>
        <w:outlineLvl w:val="2"/>
        <w:rPr>
          <w:bCs w:val="0"/>
          <w:szCs w:val="24"/>
        </w:rPr>
      </w:pPr>
      <w:r>
        <w:rPr>
          <w:bCs w:val="0"/>
          <w:szCs w:val="24"/>
        </w:rPr>
        <w:t>2</w:t>
      </w:r>
      <w:r>
        <w:rPr>
          <w:rFonts w:hint="eastAsia"/>
          <w:bCs w:val="0"/>
          <w:szCs w:val="24"/>
        </w:rPr>
        <w:t>、持续和非持续第一层次公允价值计量项目市价的确定依据</w:t>
      </w:r>
    </w:p>
    <w:p>
      <w:pPr>
        <w:pStyle w:val="14"/>
        <w:outlineLvl w:val="2"/>
        <w:rPr>
          <w:bCs w:val="0"/>
          <w:szCs w:val="24"/>
        </w:rPr>
      </w:pPr>
      <w:r>
        <w:rPr>
          <w:bCs w:val="0"/>
          <w:szCs w:val="24"/>
        </w:rPr>
        <w:t>3</w:t>
      </w:r>
      <w:r>
        <w:rPr>
          <w:rFonts w:hint="eastAsia"/>
          <w:bCs w:val="0"/>
          <w:szCs w:val="24"/>
        </w:rPr>
        <w:t>、持续和非持续第二层次公允价值计量项目，采用的估值技术和重要参数的定性及定量信息</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本公司第二层次公允价值计量项目应收款项融资，其剩余期限较短，账面余额与公允价值相近。</w:t>
      </w:r>
    </w:p>
    <w:p>
      <w:pPr>
        <w:pStyle w:val="14"/>
        <w:outlineLvl w:val="2"/>
        <w:rPr>
          <w:bCs w:val="0"/>
          <w:szCs w:val="24"/>
        </w:rPr>
      </w:pPr>
      <w:r>
        <w:rPr>
          <w:bCs w:val="0"/>
          <w:szCs w:val="24"/>
        </w:rPr>
        <w:t>4</w:t>
      </w:r>
      <w:r>
        <w:rPr>
          <w:rFonts w:hint="eastAsia"/>
          <w:bCs w:val="0"/>
          <w:szCs w:val="24"/>
        </w:rPr>
        <w:t>、持续和非持续第三层次公允价值计量项目，采用的估值技术和重要参数的定性及定量信息</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本公司第三层次公允价值计量项目包括对于对与金华市美康盛德医学检验所有限公司</w:t>
      </w:r>
      <w:r>
        <w:rPr>
          <w:rFonts w:eastAsia="Times New Roman"/>
          <w:kern w:val="0"/>
          <w:lang w:val="zh-CN"/>
        </w:rPr>
        <w:t>1%</w:t>
      </w:r>
      <w:r>
        <w:rPr>
          <w:rFonts w:hint="eastAsia" w:ascii="宋体" w:hAnsi="宋体" w:cs="宋体"/>
          <w:kern w:val="0"/>
          <w:lang w:val="zh-CN"/>
        </w:rPr>
        <w:t>的股权及对网新新云联技术有限公司</w:t>
      </w:r>
      <w:r>
        <w:rPr>
          <w:rFonts w:eastAsia="Times New Roman"/>
          <w:kern w:val="0"/>
          <w:lang w:val="zh-CN"/>
        </w:rPr>
        <w:t>1.75</w:t>
      </w:r>
      <w:r>
        <w:rPr>
          <w:rFonts w:hint="eastAsia" w:ascii="宋体" w:hAnsi="宋体" w:cs="宋体"/>
          <w:kern w:val="0"/>
          <w:lang w:val="zh-CN"/>
        </w:rPr>
        <w:t>的</w:t>
      </w:r>
      <w:r>
        <w:rPr>
          <w:rFonts w:eastAsia="Times New Roman"/>
          <w:kern w:val="0"/>
          <w:lang w:val="zh-CN"/>
        </w:rPr>
        <w:t>%</w:t>
      </w:r>
      <w:r>
        <w:rPr>
          <w:rFonts w:hint="eastAsia" w:ascii="宋体" w:hAnsi="宋体" w:cs="宋体"/>
          <w:kern w:val="0"/>
          <w:lang w:val="zh-CN"/>
        </w:rPr>
        <w:t>股权。</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6</w:t>
      </w:r>
      <w:r>
        <w:rPr>
          <w:rFonts w:hint="eastAsia" w:ascii="宋体" w:hAnsi="宋体" w:cs="宋体"/>
          <w:kern w:val="0"/>
          <w:lang w:val="zh-CN"/>
        </w:rPr>
        <w:t>月</w:t>
      </w:r>
      <w:r>
        <w:rPr>
          <w:rFonts w:eastAsia="Times New Roman"/>
          <w:kern w:val="0"/>
          <w:lang w:val="zh-CN"/>
        </w:rPr>
        <w:t>21</w:t>
      </w:r>
      <w:r>
        <w:rPr>
          <w:rFonts w:hint="eastAsia" w:ascii="宋体" w:hAnsi="宋体" w:cs="宋体"/>
          <w:kern w:val="0"/>
          <w:lang w:val="zh-CN"/>
        </w:rPr>
        <w:t>日</w:t>
      </w:r>
      <w:r>
        <w:rPr>
          <w:rFonts w:eastAsia="Times New Roman"/>
          <w:kern w:val="0"/>
          <w:lang w:val="zh-CN"/>
        </w:rPr>
        <w:t>,</w:t>
      </w:r>
      <w:r>
        <w:rPr>
          <w:rFonts w:hint="eastAsia" w:ascii="宋体" w:hAnsi="宋体" w:cs="宋体"/>
          <w:kern w:val="0"/>
          <w:lang w:val="zh-CN"/>
        </w:rPr>
        <w:t>母公司与相关各方签订《股权转让协议》和《关于终止履行《投资框架意向书》之协议》。根据协议，公司将持有的金华医检所</w:t>
      </w:r>
      <w:r>
        <w:rPr>
          <w:rFonts w:eastAsia="Times New Roman"/>
          <w:kern w:val="0"/>
          <w:lang w:val="zh-CN"/>
        </w:rPr>
        <w:t>41.10%</w:t>
      </w:r>
      <w:r>
        <w:rPr>
          <w:rFonts w:hint="eastAsia" w:ascii="宋体" w:hAnsi="宋体" w:cs="宋体"/>
          <w:kern w:val="0"/>
          <w:lang w:val="zh-CN"/>
        </w:rPr>
        <w:t>的股权转让给李丰，作价</w:t>
      </w:r>
      <w:r>
        <w:rPr>
          <w:rFonts w:eastAsia="Times New Roman"/>
          <w:kern w:val="0"/>
          <w:lang w:val="zh-CN"/>
        </w:rPr>
        <w:t>24.66</w:t>
      </w:r>
      <w:r>
        <w:rPr>
          <w:rFonts w:hint="eastAsia" w:ascii="宋体" w:hAnsi="宋体" w:cs="宋体"/>
          <w:kern w:val="0"/>
          <w:lang w:val="zh-CN"/>
        </w:rPr>
        <w:t>万元；将金华医检所</w:t>
      </w:r>
      <w:r>
        <w:rPr>
          <w:rFonts w:eastAsia="Times New Roman"/>
          <w:kern w:val="0"/>
          <w:lang w:val="zh-CN"/>
        </w:rPr>
        <w:t>6%</w:t>
      </w:r>
      <w:r>
        <w:rPr>
          <w:rFonts w:hint="eastAsia" w:ascii="宋体" w:hAnsi="宋体" w:cs="宋体"/>
          <w:kern w:val="0"/>
          <w:lang w:val="zh-CN"/>
        </w:rPr>
        <w:t>的股权转让给江怀昆，作价</w:t>
      </w:r>
      <w:r>
        <w:rPr>
          <w:rFonts w:eastAsia="Times New Roman"/>
          <w:kern w:val="0"/>
          <w:lang w:val="zh-CN"/>
        </w:rPr>
        <w:t>3.60</w:t>
      </w:r>
      <w:r>
        <w:rPr>
          <w:rFonts w:hint="eastAsia" w:ascii="宋体" w:hAnsi="宋体" w:cs="宋体"/>
          <w:kern w:val="0"/>
          <w:lang w:val="zh-CN"/>
        </w:rPr>
        <w:t>万元；将持有的金华医检所</w:t>
      </w:r>
      <w:r>
        <w:rPr>
          <w:rFonts w:eastAsia="Times New Roman"/>
          <w:kern w:val="0"/>
          <w:lang w:val="zh-CN"/>
        </w:rPr>
        <w:t>2.90%</w:t>
      </w:r>
      <w:r>
        <w:rPr>
          <w:rFonts w:hint="eastAsia" w:ascii="宋体" w:hAnsi="宋体" w:cs="宋体"/>
          <w:kern w:val="0"/>
          <w:lang w:val="zh-CN"/>
        </w:rPr>
        <w:t>的股权转让给杭州普安基因工程有限公司，作价</w:t>
      </w:r>
      <w:r>
        <w:rPr>
          <w:rFonts w:eastAsia="Times New Roman"/>
          <w:kern w:val="0"/>
          <w:lang w:val="zh-CN"/>
        </w:rPr>
        <w:t>1.74</w:t>
      </w:r>
      <w:r>
        <w:rPr>
          <w:rFonts w:hint="eastAsia" w:ascii="宋体" w:hAnsi="宋体" w:cs="宋体"/>
          <w:kern w:val="0"/>
          <w:lang w:val="zh-CN"/>
        </w:rPr>
        <w:t>万元；转让完成后，公司持有金华医检所</w:t>
      </w:r>
      <w:r>
        <w:rPr>
          <w:rFonts w:eastAsia="Times New Roman"/>
          <w:kern w:val="0"/>
          <w:lang w:val="zh-CN"/>
        </w:rPr>
        <w:t>1%</w:t>
      </w:r>
      <w:r>
        <w:rPr>
          <w:rFonts w:hint="eastAsia" w:ascii="宋体" w:hAnsi="宋体" w:cs="宋体"/>
          <w:kern w:val="0"/>
          <w:lang w:val="zh-CN"/>
        </w:rPr>
        <w:t>的股权，公允价值为</w:t>
      </w:r>
      <w:r>
        <w:rPr>
          <w:rFonts w:eastAsia="Times New Roman"/>
          <w:kern w:val="0"/>
          <w:lang w:val="zh-CN"/>
        </w:rPr>
        <w:t>6,000</w:t>
      </w:r>
      <w:r>
        <w:rPr>
          <w:rFonts w:hint="eastAsia" w:ascii="宋体" w:hAnsi="宋体" w:cs="宋体"/>
          <w:kern w:val="0"/>
          <w:lang w:val="zh-CN"/>
        </w:rPr>
        <w:t>元，计入其他权益工具。</w:t>
      </w:r>
    </w:p>
    <w:p>
      <w:pPr>
        <w:autoSpaceDE w:val="0"/>
        <w:autoSpaceDN w:val="0"/>
        <w:adjustRightInd w:val="0"/>
        <w:spacing w:before="0" w:after="0"/>
        <w:ind w:firstLine="360" w:firstLineChars="200"/>
        <w:rPr>
          <w:rFonts w:eastAsiaTheme="minorEastAsia"/>
          <w:kern w:val="0"/>
          <w:lang w:val="zh-CN"/>
        </w:rPr>
      </w:pPr>
      <w:r>
        <w:rPr>
          <w:rFonts w:hint="eastAsia" w:ascii="宋体" w:hAnsi="宋体" w:cs="宋体"/>
          <w:kern w:val="0"/>
          <w:lang w:val="zh-CN"/>
        </w:rPr>
        <w:t>子公司宁波美康盈实股权投资合伙企业于</w:t>
      </w:r>
      <w:r>
        <w:rPr>
          <w:rFonts w:eastAsia="Times New Roman"/>
          <w:kern w:val="0"/>
          <w:lang w:val="zh-CN"/>
        </w:rPr>
        <w:t>2018</w:t>
      </w:r>
      <w:r>
        <w:rPr>
          <w:rFonts w:hint="eastAsia" w:ascii="宋体" w:hAnsi="宋体" w:cs="宋体"/>
          <w:kern w:val="0"/>
          <w:lang w:val="zh-CN"/>
        </w:rPr>
        <w:t>年</w:t>
      </w:r>
      <w:r>
        <w:rPr>
          <w:rFonts w:eastAsia="Times New Roman"/>
          <w:kern w:val="0"/>
          <w:lang w:val="zh-CN"/>
        </w:rPr>
        <w:t>1</w:t>
      </w:r>
      <w:r>
        <w:rPr>
          <w:rFonts w:hint="eastAsia" w:ascii="宋体" w:hAnsi="宋体" w:cs="宋体"/>
          <w:kern w:val="0"/>
          <w:lang w:val="zh-CN"/>
        </w:rPr>
        <w:t>月与浙江森马投资管理有限公司、网新新云联技术有限公司签订股权转让协议，约定浙江森马投资管理有限公司将其持有的网新新云联技术有限公司的</w:t>
      </w:r>
      <w:r>
        <w:rPr>
          <w:rFonts w:eastAsia="Times New Roman"/>
          <w:kern w:val="0"/>
          <w:lang w:val="zh-CN"/>
        </w:rPr>
        <w:t>281.785</w:t>
      </w:r>
      <w:r>
        <w:rPr>
          <w:rFonts w:hint="eastAsia" w:ascii="宋体" w:hAnsi="宋体" w:cs="宋体"/>
          <w:kern w:val="0"/>
          <w:lang w:val="zh-CN"/>
        </w:rPr>
        <w:t>万元出资额，以</w:t>
      </w:r>
      <w:r>
        <w:rPr>
          <w:rFonts w:eastAsia="Times New Roman"/>
          <w:kern w:val="0"/>
          <w:lang w:val="zh-CN"/>
        </w:rPr>
        <w:t>3000</w:t>
      </w:r>
      <w:r>
        <w:rPr>
          <w:rFonts w:hint="eastAsia" w:ascii="宋体" w:hAnsi="宋体" w:cs="宋体"/>
          <w:kern w:val="0"/>
          <w:lang w:val="zh-CN"/>
        </w:rPr>
        <w:t>万元的价格转让给盈实基金。转让后公司持有网新新云联技术有限公司的</w:t>
      </w:r>
      <w:r>
        <w:rPr>
          <w:rFonts w:eastAsia="Times New Roman"/>
          <w:kern w:val="0"/>
          <w:lang w:val="zh-CN"/>
        </w:rPr>
        <w:t>1.75%</w:t>
      </w:r>
      <w:r>
        <w:rPr>
          <w:rFonts w:hint="eastAsia" w:ascii="宋体" w:hAnsi="宋体" w:cs="宋体"/>
          <w:kern w:val="0"/>
          <w:lang w:val="zh-CN"/>
        </w:rPr>
        <w:t>股权。由于公司持股比例较低，且不派驻董事等，对网新新云联技术有限公司不具有重大影响，公司将其指定为以公允价值计量且其变动计入其他综合收益的其他权益工具投资</w:t>
      </w:r>
      <w:r>
        <w:rPr>
          <w:rFonts w:eastAsia="Times New Roman"/>
          <w:kern w:val="0"/>
          <w:lang w:val="zh-CN"/>
        </w:rPr>
        <w:t xml:space="preserve"> </w:t>
      </w:r>
      <w:r>
        <w:rPr>
          <w:rFonts w:hint="eastAsia" w:ascii="宋体" w:hAnsi="宋体" w:cs="宋体"/>
          <w:kern w:val="0"/>
          <w:lang w:val="zh-CN"/>
        </w:rPr>
        <w:t>，网新云目前能够持续经营，其他权益工具投资公允价值为</w:t>
      </w:r>
      <w:r>
        <w:rPr>
          <w:rFonts w:eastAsia="Times New Roman"/>
          <w:kern w:val="0"/>
          <w:lang w:val="zh-CN"/>
        </w:rPr>
        <w:tab/>
      </w:r>
      <w:r>
        <w:rPr>
          <w:rFonts w:eastAsia="Times New Roman"/>
          <w:kern w:val="0"/>
          <w:lang w:val="zh-CN"/>
        </w:rPr>
        <w:t>30,000,000.00</w:t>
      </w:r>
      <w:r>
        <w:rPr>
          <w:rFonts w:hint="eastAsia" w:ascii="宋体" w:hAnsi="宋体" w:cs="宋体"/>
          <w:kern w:val="0"/>
          <w:lang w:val="zh-CN"/>
        </w:rPr>
        <w:t>元。</w:t>
      </w:r>
    </w:p>
    <w:p>
      <w:pPr>
        <w:pStyle w:val="14"/>
        <w:outlineLvl w:val="2"/>
        <w:rPr>
          <w:bCs w:val="0"/>
          <w:szCs w:val="24"/>
        </w:rPr>
      </w:pPr>
      <w:r>
        <w:rPr>
          <w:bCs w:val="0"/>
          <w:szCs w:val="24"/>
        </w:rPr>
        <w:t>5</w:t>
      </w:r>
      <w:r>
        <w:rPr>
          <w:rFonts w:hint="eastAsia"/>
          <w:bCs w:val="0"/>
          <w:szCs w:val="24"/>
        </w:rPr>
        <w:t>、持续的第三层次公允价值计量项目，期初与期末账面价值间的调节信息及不可观察参数敏感性分析</w:t>
      </w:r>
    </w:p>
    <w:p>
      <w:pPr>
        <w:pStyle w:val="14"/>
        <w:outlineLvl w:val="2"/>
        <w:rPr>
          <w:bCs w:val="0"/>
          <w:szCs w:val="24"/>
        </w:rPr>
      </w:pPr>
      <w:r>
        <w:rPr>
          <w:bCs w:val="0"/>
          <w:szCs w:val="24"/>
        </w:rPr>
        <w:t>6</w:t>
      </w:r>
      <w:r>
        <w:rPr>
          <w:rFonts w:hint="eastAsia"/>
          <w:bCs w:val="0"/>
          <w:szCs w:val="24"/>
        </w:rPr>
        <w:t>、持续的公允价值计量项目，本期内发生各层级之间转换的，转换的原因及确定转换时点的政策</w:t>
      </w:r>
    </w:p>
    <w:p>
      <w:pPr>
        <w:pStyle w:val="14"/>
        <w:outlineLvl w:val="2"/>
        <w:rPr>
          <w:bCs w:val="0"/>
          <w:szCs w:val="24"/>
        </w:rPr>
      </w:pPr>
      <w:r>
        <w:rPr>
          <w:bCs w:val="0"/>
          <w:szCs w:val="24"/>
        </w:rPr>
        <w:t>7</w:t>
      </w:r>
      <w:r>
        <w:rPr>
          <w:rFonts w:hint="eastAsia"/>
          <w:bCs w:val="0"/>
          <w:szCs w:val="24"/>
        </w:rPr>
        <w:t>、本期内发生的估值技术变更及变更原因</w:t>
      </w:r>
    </w:p>
    <w:p>
      <w:pPr>
        <w:pStyle w:val="14"/>
        <w:outlineLvl w:val="2"/>
        <w:rPr>
          <w:bCs w:val="0"/>
          <w:szCs w:val="24"/>
        </w:rPr>
      </w:pPr>
      <w:r>
        <w:rPr>
          <w:bCs w:val="0"/>
          <w:szCs w:val="24"/>
        </w:rPr>
        <w:t>8</w:t>
      </w:r>
      <w:r>
        <w:rPr>
          <w:rFonts w:hint="eastAsia"/>
          <w:bCs w:val="0"/>
          <w:szCs w:val="24"/>
        </w:rPr>
        <w:t>、不以公允价值计量的金融资产和金融负债的公允价值情况</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以摊余成本计量的金融资产和金融负债主要包括：应收款项、其他应收款、短期借款、应付款项、其他应付款、一年内到期的非流动负债和长期借款等。本公司管理层认为，财务报表中的非长期金融资产和金融负债的账面价值接近该等资产及负债的公允价值。</w:t>
      </w:r>
    </w:p>
    <w:p>
      <w:pPr>
        <w:pStyle w:val="14"/>
        <w:outlineLvl w:val="2"/>
        <w:rPr>
          <w:bCs w:val="0"/>
          <w:szCs w:val="24"/>
        </w:rPr>
      </w:pPr>
      <w:r>
        <w:rPr>
          <w:bCs w:val="0"/>
          <w:szCs w:val="24"/>
        </w:rPr>
        <w:t>9</w:t>
      </w:r>
      <w:r>
        <w:rPr>
          <w:rFonts w:hint="eastAsia"/>
          <w:bCs w:val="0"/>
          <w:szCs w:val="24"/>
        </w:rPr>
        <w:t>、其他</w:t>
      </w:r>
    </w:p>
    <w:p>
      <w:pPr>
        <w:pStyle w:val="13"/>
        <w:outlineLvl w:val="1"/>
        <w:rPr>
          <w:bCs w:val="0"/>
        </w:rPr>
      </w:pPr>
      <w:r>
        <w:rPr>
          <w:rFonts w:hint="eastAsia"/>
          <w:bCs w:val="0"/>
        </w:rPr>
        <w:t>十二、关联方及关联交易</w:t>
      </w:r>
    </w:p>
    <w:p>
      <w:pPr>
        <w:pStyle w:val="14"/>
        <w:outlineLvl w:val="2"/>
        <w:rPr>
          <w:bCs w:val="0"/>
          <w:szCs w:val="24"/>
        </w:rPr>
      </w:pPr>
      <w:r>
        <w:rPr>
          <w:bCs w:val="0"/>
          <w:szCs w:val="24"/>
        </w:rPr>
        <w:t>1</w:t>
      </w:r>
      <w:r>
        <w:rPr>
          <w:rFonts w:hint="eastAsia"/>
          <w:bCs w:val="0"/>
          <w:szCs w:val="24"/>
        </w:rPr>
        <w:t>、本企业的母公司情况</w:t>
      </w:r>
    </w:p>
    <w:tbl>
      <w:tblPr>
        <w:tblStyle w:val="9"/>
        <w:tblW w:w="0" w:type="auto"/>
        <w:tblInd w:w="28" w:type="dxa"/>
        <w:tblLayout w:type="fixed"/>
        <w:tblCellMar>
          <w:top w:w="0" w:type="dxa"/>
          <w:left w:w="28" w:type="dxa"/>
          <w:bottom w:w="0" w:type="dxa"/>
          <w:right w:w="28" w:type="dxa"/>
        </w:tblCellMar>
      </w:tblPr>
      <w:tblGrid>
        <w:gridCol w:w="1595"/>
        <w:gridCol w:w="1594"/>
        <w:gridCol w:w="1594"/>
        <w:gridCol w:w="1594"/>
        <w:gridCol w:w="1594"/>
        <w:gridCol w:w="1595"/>
      </w:tblGrid>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母公司名称</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注册地</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业务性质</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注册资本</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母公司对本企业的持股比例</w:t>
            </w:r>
          </w:p>
        </w:tc>
        <w:tc>
          <w:tcPr>
            <w:tcW w:w="159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母公司对本企业的表决权比例</w:t>
            </w:r>
          </w:p>
        </w:tc>
      </w:tr>
    </w:tbl>
    <w:p>
      <w:pPr>
        <w:jc w:val="left"/>
        <w:rPr>
          <w:szCs w:val="24"/>
        </w:rPr>
      </w:pPr>
      <w:r>
        <w:rPr>
          <w:rFonts w:hint="eastAsia"/>
          <w:szCs w:val="24"/>
        </w:rPr>
        <w:t>本企业的母公司情况的说明</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本公司无母公司，自然人邹炳德直接持有本公司</w:t>
      </w:r>
      <w:r>
        <w:rPr>
          <w:rFonts w:eastAsia="Times New Roman"/>
          <w:kern w:val="0"/>
          <w:lang w:val="zh-CN"/>
        </w:rPr>
        <w:t>49.00%</w:t>
      </w:r>
      <w:r>
        <w:rPr>
          <w:rFonts w:hint="eastAsia" w:ascii="宋体" w:hAnsi="宋体" w:cs="宋体"/>
          <w:kern w:val="0"/>
          <w:lang w:val="zh-CN"/>
        </w:rPr>
        <w:t>的股份，并通过宁波美康盛德投资咨询有限公司间接拥有本公司</w:t>
      </w:r>
      <w:r>
        <w:rPr>
          <w:rFonts w:eastAsia="Times New Roman"/>
          <w:kern w:val="0"/>
          <w:lang w:val="zh-CN"/>
        </w:rPr>
        <w:t>8.91%</w:t>
      </w:r>
      <w:r>
        <w:rPr>
          <w:rFonts w:hint="eastAsia" w:ascii="宋体" w:hAnsi="宋体" w:cs="宋体"/>
          <w:kern w:val="0"/>
          <w:lang w:val="zh-CN"/>
        </w:rPr>
        <w:t>的表决权，合计拥有本公司</w:t>
      </w:r>
      <w:r>
        <w:rPr>
          <w:rFonts w:eastAsia="Times New Roman"/>
          <w:kern w:val="0"/>
          <w:lang w:val="zh-CN"/>
        </w:rPr>
        <w:t>57.91%</w:t>
      </w:r>
      <w:r>
        <w:rPr>
          <w:rFonts w:hint="eastAsia" w:ascii="宋体" w:hAnsi="宋体" w:cs="宋体"/>
          <w:kern w:val="0"/>
          <w:lang w:val="zh-CN"/>
        </w:rPr>
        <w:t>的表决权，为本公司的实际控制人。</w:t>
      </w:r>
    </w:p>
    <w:p>
      <w:pPr>
        <w:pStyle w:val="14"/>
        <w:outlineLvl w:val="2"/>
        <w:rPr>
          <w:bCs w:val="0"/>
          <w:szCs w:val="24"/>
        </w:rPr>
      </w:pPr>
      <w:r>
        <w:rPr>
          <w:bCs w:val="0"/>
          <w:szCs w:val="24"/>
        </w:rPr>
        <w:t>2</w:t>
      </w:r>
      <w:r>
        <w:rPr>
          <w:rFonts w:hint="eastAsia"/>
          <w:bCs w:val="0"/>
          <w:szCs w:val="24"/>
        </w:rPr>
        <w:t>、本企业的子公司情况</w:t>
      </w:r>
    </w:p>
    <w:p>
      <w:pPr>
        <w:jc w:val="left"/>
        <w:rPr>
          <w:szCs w:val="24"/>
        </w:rPr>
      </w:pPr>
      <w:r>
        <w:rPr>
          <w:rFonts w:hint="eastAsia"/>
          <w:szCs w:val="24"/>
        </w:rPr>
        <w:t>本企业子公司的情况详见附注七、在其他主体中的权益。</w:t>
      </w:r>
    </w:p>
    <w:p>
      <w:pPr>
        <w:pStyle w:val="14"/>
        <w:outlineLvl w:val="2"/>
        <w:rPr>
          <w:bCs w:val="0"/>
          <w:szCs w:val="24"/>
        </w:rPr>
      </w:pPr>
      <w:r>
        <w:rPr>
          <w:bCs w:val="0"/>
          <w:szCs w:val="24"/>
        </w:rPr>
        <w:t>3</w:t>
      </w:r>
      <w:r>
        <w:rPr>
          <w:rFonts w:hint="eastAsia"/>
          <w:bCs w:val="0"/>
          <w:szCs w:val="24"/>
        </w:rPr>
        <w:t>、本企业合营和联营企业情况</w:t>
      </w:r>
    </w:p>
    <w:p>
      <w:pPr>
        <w:jc w:val="left"/>
        <w:rPr>
          <w:szCs w:val="24"/>
        </w:rPr>
      </w:pPr>
      <w:r>
        <w:rPr>
          <w:rFonts w:hint="eastAsia"/>
          <w:szCs w:val="24"/>
        </w:rPr>
        <w:t>本企业重要的合营或联营企业详见附注七、在其他主体中的权益。</w:t>
      </w:r>
    </w:p>
    <w:p>
      <w:pPr>
        <w:jc w:val="left"/>
        <w:rPr>
          <w:szCs w:val="24"/>
        </w:rPr>
      </w:pPr>
      <w:r>
        <w:rPr>
          <w:rFonts w:hint="eastAsia"/>
          <w:szCs w:val="24"/>
        </w:rPr>
        <w:t>本期与本公司发生关联方交易，或前期与本公司发生关联方交易形成余额的其他合营或联营企业情况如下：</w:t>
      </w:r>
    </w:p>
    <w:tbl>
      <w:tblPr>
        <w:tblStyle w:val="9"/>
        <w:tblW w:w="0" w:type="auto"/>
        <w:tblInd w:w="28" w:type="dxa"/>
        <w:tblLayout w:type="fixed"/>
        <w:tblCellMar>
          <w:top w:w="0" w:type="dxa"/>
          <w:left w:w="28" w:type="dxa"/>
          <w:bottom w:w="0" w:type="dxa"/>
          <w:right w:w="28" w:type="dxa"/>
        </w:tblCellMar>
      </w:tblPr>
      <w:tblGrid>
        <w:gridCol w:w="4782"/>
        <w:gridCol w:w="4786"/>
      </w:tblGrid>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合营或联营企业名称</w:t>
            </w:r>
          </w:p>
        </w:tc>
        <w:tc>
          <w:tcPr>
            <w:tcW w:w="478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与本企业关系</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深圳市帝迈生物技术有限公司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联营企业</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浙江美康网新云健康科技股份有限公司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联营企业</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湖南品信生物工程有限公司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联营企业</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美康盛德生物科技泰州有限公司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联营企业</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赣州美康盛德医学检验所有限公司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联营企业</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美康生物科技（舟山）有限公司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联营企业</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浙江汉库健康科技有限公司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联营企业</w:t>
            </w:r>
          </w:p>
        </w:tc>
      </w:tr>
    </w:tbl>
    <w:p>
      <w:pPr>
        <w:pStyle w:val="14"/>
        <w:outlineLvl w:val="2"/>
        <w:rPr>
          <w:bCs w:val="0"/>
          <w:szCs w:val="24"/>
        </w:rPr>
      </w:pPr>
      <w:r>
        <w:rPr>
          <w:bCs w:val="0"/>
          <w:szCs w:val="24"/>
        </w:rPr>
        <w:t>4</w:t>
      </w:r>
      <w:r>
        <w:rPr>
          <w:rFonts w:hint="eastAsia"/>
          <w:bCs w:val="0"/>
          <w:szCs w:val="24"/>
        </w:rPr>
        <w:t>、其他关联方情况</w:t>
      </w:r>
    </w:p>
    <w:tbl>
      <w:tblPr>
        <w:tblStyle w:val="9"/>
        <w:tblW w:w="0" w:type="auto"/>
        <w:tblInd w:w="28" w:type="dxa"/>
        <w:tblLayout w:type="fixed"/>
        <w:tblCellMar>
          <w:top w:w="0" w:type="dxa"/>
          <w:left w:w="28" w:type="dxa"/>
          <w:bottom w:w="0" w:type="dxa"/>
          <w:right w:w="28" w:type="dxa"/>
        </w:tblCellMar>
      </w:tblPr>
      <w:tblGrid>
        <w:gridCol w:w="4782"/>
        <w:gridCol w:w="4786"/>
      </w:tblGrid>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其他关联方名称</w:t>
            </w:r>
          </w:p>
        </w:tc>
        <w:tc>
          <w:tcPr>
            <w:tcW w:w="478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其他关联方与本企业关系</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杭州健立生物科技有限公司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其他关联方</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浙江美康网新云健康科技股份有限公司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同一实际控制人、联营企业</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浙江盈实股权投资基金管理合伙企业（有限合伙）</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实际控制人参股企业</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宁波鄞州美康国宾门诊部</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同一实际控制人</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杭州汉库医学检验所有限公司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联营企业之子公司</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宁波鄞州美康中医医院</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同一实际控制人</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永城美康国宾健康管理有限公司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同一实际控制人</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宁波美康国宾健康管理有限公司</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同一实际控制人</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邹炳德</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实际控制人</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邹敏华</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实际控制人之妹</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邹继华</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实际控制人之弟、总经理</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袁超</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副总经理、财务总监</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卓红叶</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董事</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熊慧萍</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董事会秘书</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沈敏</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副总经理、</w:t>
            </w:r>
            <w:r>
              <w:t>研发中心（</w:t>
            </w:r>
            <w:r>
              <w:rPr>
                <w:rFonts w:hint="eastAsia"/>
              </w:rPr>
              <w:t>参考</w:t>
            </w:r>
            <w:r>
              <w:t>实验室）</w:t>
            </w:r>
            <w:r>
              <w:rPr>
                <w:rFonts w:hint="eastAsia"/>
              </w:rPr>
              <w:t>主任</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方亮</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副总经理、</w:t>
            </w:r>
            <w:r>
              <w:t>研发总监</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宋健</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监事、财务经理</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吴立山</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监事、医学检验部</w:t>
            </w:r>
            <w:r>
              <w:t>技术副</w:t>
            </w:r>
            <w:r>
              <w:rPr>
                <w:rFonts w:hint="eastAsia"/>
              </w:rPr>
              <w:t>总监</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贾江花</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监事、实际研发副总监</w:t>
            </w:r>
          </w:p>
        </w:tc>
      </w:tr>
      <w:tr>
        <w:tblPrEx>
          <w:tblCellMar>
            <w:top w:w="0" w:type="dxa"/>
            <w:left w:w="28" w:type="dxa"/>
            <w:bottom w:w="0" w:type="dxa"/>
            <w:right w:w="28" w:type="dxa"/>
          </w:tblCellMar>
        </w:tblPrEx>
        <w:tc>
          <w:tcPr>
            <w:tcW w:w="4782"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符迎军</w:t>
            </w:r>
          </w:p>
        </w:tc>
        <w:tc>
          <w:tcPr>
            <w:tcW w:w="4786"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原监事、原财务副总监</w:t>
            </w:r>
          </w:p>
        </w:tc>
      </w:tr>
    </w:tbl>
    <w:p>
      <w:pPr>
        <w:pStyle w:val="14"/>
        <w:outlineLvl w:val="2"/>
        <w:rPr>
          <w:bCs w:val="0"/>
          <w:szCs w:val="24"/>
        </w:rPr>
      </w:pPr>
      <w:r>
        <w:rPr>
          <w:bCs w:val="0"/>
          <w:szCs w:val="24"/>
        </w:rPr>
        <w:t>5</w:t>
      </w:r>
      <w:r>
        <w:rPr>
          <w:rFonts w:hint="eastAsia"/>
          <w:bCs w:val="0"/>
          <w:szCs w:val="24"/>
        </w:rPr>
        <w:t>、关联交易情况</w:t>
      </w:r>
    </w:p>
    <w:p>
      <w:pPr>
        <w:pStyle w:val="14"/>
        <w:outlineLvl w:val="3"/>
        <w:rPr>
          <w:bCs w:val="0"/>
          <w:szCs w:val="24"/>
        </w:rPr>
      </w:pPr>
      <w:r>
        <w:rPr>
          <w:rFonts w:hint="eastAsia"/>
          <w:bCs w:val="0"/>
          <w:szCs w:val="24"/>
        </w:rPr>
        <w:t>（</w:t>
      </w:r>
      <w:r>
        <w:rPr>
          <w:bCs w:val="0"/>
          <w:szCs w:val="24"/>
        </w:rPr>
        <w:t>1</w:t>
      </w:r>
      <w:r>
        <w:rPr>
          <w:rFonts w:hint="eastAsia"/>
          <w:bCs w:val="0"/>
          <w:szCs w:val="24"/>
        </w:rPr>
        <w:t>）购销商品、提供和接受劳务的关联交易</w:t>
      </w:r>
    </w:p>
    <w:p>
      <w:pPr>
        <w:jc w:val="left"/>
        <w:rPr>
          <w:szCs w:val="24"/>
        </w:rPr>
      </w:pPr>
      <w:r>
        <w:rPr>
          <w:rFonts w:hint="eastAsia"/>
          <w:szCs w:val="24"/>
        </w:rPr>
        <w:t>采购商品</w:t>
      </w:r>
      <w:r>
        <w:rPr>
          <w:szCs w:val="24"/>
        </w:rPr>
        <w:t>/</w:t>
      </w:r>
      <w:r>
        <w:rPr>
          <w:rFonts w:hint="eastAsia"/>
          <w:szCs w:val="24"/>
        </w:rPr>
        <w:t>接受劳务情况表</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540"/>
        <w:gridCol w:w="1454"/>
        <w:gridCol w:w="1454"/>
        <w:gridCol w:w="1707"/>
        <w:gridCol w:w="1707"/>
        <w:gridCol w:w="1707"/>
      </w:tblGrid>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关联方</w:t>
            </w:r>
          </w:p>
        </w:tc>
        <w:tc>
          <w:tcPr>
            <w:tcW w:w="1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关联交易内容</w:t>
            </w:r>
          </w:p>
        </w:tc>
        <w:tc>
          <w:tcPr>
            <w:tcW w:w="1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170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获批的交易额度</w:t>
            </w:r>
          </w:p>
        </w:tc>
        <w:tc>
          <w:tcPr>
            <w:tcW w:w="170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是否超过交易额度</w:t>
            </w:r>
          </w:p>
        </w:tc>
        <w:tc>
          <w:tcPr>
            <w:tcW w:w="170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深圳市帝迈生物技术有限公司</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采购商品</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6,812,065.89</w:t>
            </w: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15,319,995.92</w:t>
            </w:r>
          </w:p>
        </w:tc>
      </w:tr>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深圳市帝迈生物技术有限公司</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接受劳务</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649,822.99</w:t>
            </w: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上海日和贸易有限公司</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采购商品</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713,469.18</w:t>
            </w: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173,293.00</w:t>
            </w:r>
          </w:p>
        </w:tc>
      </w:tr>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南京三和仪器有限公司</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采购商品</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2,047,652.42</w:t>
            </w: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4,562,291.66</w:t>
            </w:r>
          </w:p>
        </w:tc>
      </w:tr>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山东日和贸易有限公司</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采购商品</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4,650,976.66</w:t>
            </w: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6,299,137.93</w:t>
            </w:r>
          </w:p>
        </w:tc>
      </w:tr>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安徽省三和医疗仪器有限公司</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采购商品</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4,870,689.48</w:t>
            </w: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杭州健立生物科技有限公司</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采购商品</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566,122.25</w:t>
            </w: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1,910,859.43</w:t>
            </w:r>
          </w:p>
        </w:tc>
      </w:tr>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浙江美康网新云健康科技股份有限公司</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采购商品</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4,866,076.11</w:t>
            </w: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19,398,015.00</w:t>
            </w:r>
          </w:p>
        </w:tc>
      </w:tr>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浙江美康网新云健康科技股份有限公司</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物业水电</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38,219.84</w:t>
            </w:r>
          </w:p>
        </w:tc>
      </w:tr>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湖南品信生物工程有限公司</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采购商品</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918,142.16</w:t>
            </w: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402,012.72</w:t>
            </w:r>
          </w:p>
        </w:tc>
      </w:tr>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杭州健立生物科技有限公司</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接受劳务</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4,102,858.94</w:t>
            </w:r>
          </w:p>
        </w:tc>
      </w:tr>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宁波鄞州美康国宾门诊部</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接受劳务</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36,940.00</w:t>
            </w: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重庆和盛医疗器械有限公司</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采购商品</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7,004,408.38</w:t>
            </w: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杭州汉库医学检验所有限公司</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接受劳务</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86,730.84</w:t>
            </w: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浙江盈实股权投资基金管理合伙企业（有限合伙）</w:t>
            </w:r>
          </w:p>
        </w:tc>
        <w:tc>
          <w:tcPr>
            <w:tcW w:w="1454"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基金管理费</w:t>
            </w:r>
          </w:p>
        </w:tc>
        <w:tc>
          <w:tcPr>
            <w:tcW w:w="1454"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1,295,808.20</w:t>
            </w:r>
          </w:p>
        </w:tc>
        <w:tc>
          <w:tcPr>
            <w:tcW w:w="1707"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3,916,035.07</w:t>
            </w:r>
          </w:p>
        </w:tc>
      </w:tr>
      <w:tr>
        <w:tblPrEx>
          <w:tblCellMar>
            <w:top w:w="0" w:type="dxa"/>
            <w:left w:w="28" w:type="dxa"/>
            <w:bottom w:w="0" w:type="dxa"/>
            <w:right w:w="28" w:type="dxa"/>
          </w:tblCellMar>
        </w:tblPrEx>
        <w:tc>
          <w:tcPr>
            <w:tcW w:w="1540"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合计</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454"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34,518,904.56</w:t>
            </w:r>
          </w:p>
        </w:tc>
        <w:tc>
          <w:tcPr>
            <w:tcW w:w="1707"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56,122,719.51</w:t>
            </w:r>
          </w:p>
        </w:tc>
      </w:tr>
    </w:tbl>
    <w:p>
      <w:pPr>
        <w:jc w:val="left"/>
        <w:rPr>
          <w:szCs w:val="24"/>
        </w:rPr>
      </w:pPr>
      <w:r>
        <w:rPr>
          <w:rFonts w:hint="eastAsia"/>
          <w:szCs w:val="24"/>
        </w:rPr>
        <w:t>出售商品</w:t>
      </w:r>
      <w:r>
        <w:rPr>
          <w:szCs w:val="24"/>
        </w:rPr>
        <w:t>/</w:t>
      </w:r>
      <w:r>
        <w:rPr>
          <w:rFonts w:hint="eastAsia"/>
          <w:szCs w:val="24"/>
        </w:rPr>
        <w:t>提供劳务情况表</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97"/>
        <w:gridCol w:w="2259"/>
        <w:gridCol w:w="2259"/>
        <w:gridCol w:w="2653"/>
      </w:tblGrid>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关联方</w:t>
            </w:r>
          </w:p>
        </w:tc>
        <w:tc>
          <w:tcPr>
            <w:tcW w:w="225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关联交易内容</w:t>
            </w:r>
          </w:p>
        </w:tc>
        <w:tc>
          <w:tcPr>
            <w:tcW w:w="225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265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宁波鄞州美康国宾门诊部</w:t>
            </w:r>
          </w:p>
        </w:tc>
        <w:tc>
          <w:tcPr>
            <w:tcW w:w="2259"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提供劳务</w:t>
            </w:r>
          </w:p>
        </w:tc>
        <w:tc>
          <w:tcPr>
            <w:tcW w:w="225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rPr>
                <w:rFonts w:hint="eastAsia"/>
              </w:rPr>
              <w:t>3,548,388.15</w:t>
            </w:r>
          </w:p>
        </w:tc>
        <w:tc>
          <w:tcPr>
            <w:tcW w:w="2653"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rPr>
                <w:rFonts w:hint="eastAsia"/>
              </w:rPr>
              <w:t>4,969,733.00</w:t>
            </w: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宁波鄞州美康中医医院</w:t>
            </w:r>
          </w:p>
        </w:tc>
        <w:tc>
          <w:tcPr>
            <w:tcW w:w="2259"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提供劳务</w:t>
            </w:r>
          </w:p>
        </w:tc>
        <w:tc>
          <w:tcPr>
            <w:tcW w:w="225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rPr>
                <w:rFonts w:hint="eastAsia"/>
              </w:rPr>
              <w:t>1,562,076.10</w:t>
            </w:r>
          </w:p>
        </w:tc>
        <w:tc>
          <w:tcPr>
            <w:tcW w:w="2653"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rPr>
                <w:rFonts w:hint="eastAsia"/>
              </w:rPr>
              <w:t>1,185,583.76</w:t>
            </w: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永城美康国宾健康管理有限公司</w:t>
            </w:r>
          </w:p>
        </w:tc>
        <w:tc>
          <w:tcPr>
            <w:tcW w:w="2259"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提供劳务</w:t>
            </w:r>
          </w:p>
        </w:tc>
        <w:tc>
          <w:tcPr>
            <w:tcW w:w="225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rPr>
                <w:rFonts w:hint="eastAsia"/>
              </w:rPr>
              <w:t>4,102,686.51</w:t>
            </w:r>
          </w:p>
        </w:tc>
        <w:tc>
          <w:tcPr>
            <w:tcW w:w="2653"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rPr>
                <w:rFonts w:hint="eastAsia"/>
              </w:rPr>
              <w:t>1,993,504.50</w:t>
            </w: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宁波鄞州美康国宾门诊部</w:t>
            </w:r>
          </w:p>
        </w:tc>
        <w:tc>
          <w:tcPr>
            <w:tcW w:w="2259"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水电费</w:t>
            </w:r>
          </w:p>
        </w:tc>
        <w:tc>
          <w:tcPr>
            <w:tcW w:w="225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rPr>
                <w:rFonts w:hint="eastAsia"/>
              </w:rPr>
              <w:t>129,132.75</w:t>
            </w:r>
          </w:p>
        </w:tc>
        <w:tc>
          <w:tcPr>
            <w:tcW w:w="2653"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rPr>
                <w:rFonts w:hint="eastAsia"/>
              </w:rPr>
              <w:t>106,882.76</w:t>
            </w: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宁波鄞州美康中医医院</w:t>
            </w:r>
          </w:p>
        </w:tc>
        <w:tc>
          <w:tcPr>
            <w:tcW w:w="2259"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水电费</w:t>
            </w:r>
          </w:p>
        </w:tc>
        <w:tc>
          <w:tcPr>
            <w:tcW w:w="225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rPr>
                <w:rFonts w:hint="eastAsia"/>
              </w:rPr>
              <w:t>367,392.34</w:t>
            </w:r>
          </w:p>
        </w:tc>
        <w:tc>
          <w:tcPr>
            <w:tcW w:w="2653"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rPr>
                <w:rFonts w:hint="eastAsia"/>
              </w:rPr>
              <w:t>91,194.83</w:t>
            </w: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宁波鄞州美康国宾门诊部</w:t>
            </w:r>
          </w:p>
        </w:tc>
        <w:tc>
          <w:tcPr>
            <w:tcW w:w="2259"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销售商品</w:t>
            </w:r>
          </w:p>
        </w:tc>
        <w:tc>
          <w:tcPr>
            <w:tcW w:w="225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p>
        </w:tc>
        <w:tc>
          <w:tcPr>
            <w:tcW w:w="2653"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rPr>
                <w:rFonts w:hint="eastAsia"/>
              </w:rPr>
              <w:t>47,169.81</w:t>
            </w: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宁波鄞州美康中医医院</w:t>
            </w:r>
          </w:p>
        </w:tc>
        <w:tc>
          <w:tcPr>
            <w:tcW w:w="2259"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销售商品</w:t>
            </w:r>
          </w:p>
        </w:tc>
        <w:tc>
          <w:tcPr>
            <w:tcW w:w="2259"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p>
        </w:tc>
        <w:tc>
          <w:tcPr>
            <w:tcW w:w="2653"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rPr>
                <w:rFonts w:hint="eastAsia"/>
              </w:rPr>
              <w:t>2,707.78</w:t>
            </w: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安徽省三和医疗仪器有限公司</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销售商品</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4,133,718.08</w:t>
            </w:r>
          </w:p>
        </w:tc>
        <w:tc>
          <w:tcPr>
            <w:tcW w:w="26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5,201,102.77</w:t>
            </w: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南京三和仪器有限公司</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销售商品</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4,741,550.32</w:t>
            </w:r>
          </w:p>
        </w:tc>
        <w:tc>
          <w:tcPr>
            <w:tcW w:w="26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3,924,645.20</w:t>
            </w: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山东日和贸易有限公司</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销售商品</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3,911,322.94</w:t>
            </w:r>
          </w:p>
        </w:tc>
        <w:tc>
          <w:tcPr>
            <w:tcW w:w="26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3,775,505.65</w:t>
            </w: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上海日和贸易有限公司</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销售商品</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3,004,121.90</w:t>
            </w:r>
          </w:p>
        </w:tc>
        <w:tc>
          <w:tcPr>
            <w:tcW w:w="26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3,596,703.57</w:t>
            </w: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杭州健立生物科技有限公司</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销售商品</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40,211,716.06</w:t>
            </w:r>
          </w:p>
        </w:tc>
        <w:tc>
          <w:tcPr>
            <w:tcW w:w="26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38,811,483.53</w:t>
            </w: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浙江美康网新云健康科技股份有限公司</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销售商品</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96,977.80</w:t>
            </w:r>
          </w:p>
        </w:tc>
        <w:tc>
          <w:tcPr>
            <w:tcW w:w="26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81,967.90</w:t>
            </w: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美康盛德生物科技泰州有限公司</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销售商品</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6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14,896.55</w:t>
            </w: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赣州美康盛德医学检验所有限公司</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销售商品</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1,800,982.18</w:t>
            </w:r>
          </w:p>
        </w:tc>
        <w:tc>
          <w:tcPr>
            <w:tcW w:w="26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美康生物科技（舟山）有限公司</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销售商品</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10,249,553.83</w:t>
            </w:r>
          </w:p>
        </w:tc>
        <w:tc>
          <w:tcPr>
            <w:tcW w:w="26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重庆和盛医疗器械有限公司</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销售商品</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1,276,034.00</w:t>
            </w:r>
          </w:p>
        </w:tc>
        <w:tc>
          <w:tcPr>
            <w:tcW w:w="26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杭州汉库医学检验所有限公司</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销售商品</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8,900.35</w:t>
            </w:r>
          </w:p>
        </w:tc>
        <w:tc>
          <w:tcPr>
            <w:tcW w:w="26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39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合计</w:t>
            </w: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2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79,144,553.31</w:t>
            </w:r>
          </w:p>
        </w:tc>
        <w:tc>
          <w:tcPr>
            <w:tcW w:w="265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63,803,081.61</w:t>
            </w:r>
          </w:p>
        </w:tc>
      </w:tr>
    </w:tbl>
    <w:p>
      <w:pPr>
        <w:jc w:val="left"/>
        <w:rPr>
          <w:szCs w:val="24"/>
        </w:rPr>
      </w:pPr>
      <w:r>
        <w:rPr>
          <w:rFonts w:hint="eastAsia"/>
          <w:szCs w:val="24"/>
        </w:rPr>
        <w:t>购销商品、提供和接受劳务的关联交易说明</w:t>
      </w:r>
    </w:p>
    <w:p>
      <w:pPr>
        <w:pStyle w:val="14"/>
        <w:outlineLvl w:val="3"/>
        <w:rPr>
          <w:bCs w:val="0"/>
          <w:szCs w:val="24"/>
        </w:rPr>
      </w:pPr>
      <w:r>
        <w:rPr>
          <w:rFonts w:hint="eastAsia"/>
          <w:bCs w:val="0"/>
          <w:szCs w:val="24"/>
        </w:rPr>
        <w:t>（</w:t>
      </w:r>
      <w:r>
        <w:rPr>
          <w:bCs w:val="0"/>
          <w:szCs w:val="24"/>
        </w:rPr>
        <w:t>2</w:t>
      </w:r>
      <w:r>
        <w:rPr>
          <w:rFonts w:hint="eastAsia"/>
          <w:bCs w:val="0"/>
          <w:szCs w:val="24"/>
        </w:rPr>
        <w:t>）关联受托管理</w:t>
      </w:r>
      <w:r>
        <w:rPr>
          <w:bCs w:val="0"/>
          <w:szCs w:val="24"/>
        </w:rPr>
        <w:t>/</w:t>
      </w:r>
      <w:r>
        <w:rPr>
          <w:rFonts w:hint="eastAsia"/>
          <w:bCs w:val="0"/>
          <w:szCs w:val="24"/>
        </w:rPr>
        <w:t>承包及委托管理</w:t>
      </w:r>
      <w:r>
        <w:rPr>
          <w:bCs w:val="0"/>
          <w:szCs w:val="24"/>
        </w:rPr>
        <w:t>/</w:t>
      </w:r>
      <w:r>
        <w:rPr>
          <w:rFonts w:hint="eastAsia"/>
          <w:bCs w:val="0"/>
          <w:szCs w:val="24"/>
        </w:rPr>
        <w:t>出包情况</w:t>
      </w:r>
    </w:p>
    <w:p>
      <w:pPr>
        <w:jc w:val="left"/>
        <w:rPr>
          <w:szCs w:val="24"/>
        </w:rPr>
      </w:pPr>
      <w:r>
        <w:rPr>
          <w:rFonts w:hint="eastAsia"/>
          <w:szCs w:val="24"/>
        </w:rPr>
        <w:t>本公司受托管理</w:t>
      </w:r>
      <w:r>
        <w:rPr>
          <w:szCs w:val="24"/>
        </w:rPr>
        <w:t>/</w:t>
      </w:r>
      <w:r>
        <w:rPr>
          <w:rFonts w:hint="eastAsia"/>
          <w:szCs w:val="24"/>
        </w:rPr>
        <w:t>承包情况表：</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368"/>
        <w:gridCol w:w="1367"/>
        <w:gridCol w:w="1368"/>
        <w:gridCol w:w="1367"/>
        <w:gridCol w:w="1367"/>
        <w:gridCol w:w="1367"/>
        <w:gridCol w:w="1367"/>
      </w:tblGrid>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委托方</w:t>
            </w:r>
            <w:r>
              <w:rPr>
                <w:szCs w:val="24"/>
              </w:rPr>
              <w:t>/</w:t>
            </w:r>
            <w:r>
              <w:rPr>
                <w:rFonts w:hint="eastAsia"/>
                <w:szCs w:val="24"/>
              </w:rPr>
              <w:t>出包方名称</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受托方</w:t>
            </w:r>
            <w:r>
              <w:rPr>
                <w:szCs w:val="24"/>
              </w:rPr>
              <w:t>/</w:t>
            </w:r>
            <w:r>
              <w:rPr>
                <w:rFonts w:hint="eastAsia"/>
                <w:szCs w:val="24"/>
              </w:rPr>
              <w:t>承包方名称</w:t>
            </w:r>
          </w:p>
        </w:tc>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受托</w:t>
            </w:r>
            <w:r>
              <w:rPr>
                <w:szCs w:val="24"/>
              </w:rPr>
              <w:t>/</w:t>
            </w:r>
            <w:r>
              <w:rPr>
                <w:rFonts w:hint="eastAsia"/>
                <w:szCs w:val="24"/>
              </w:rPr>
              <w:t>承包资产类型</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受托</w:t>
            </w:r>
            <w:r>
              <w:rPr>
                <w:szCs w:val="24"/>
              </w:rPr>
              <w:t>/</w:t>
            </w:r>
            <w:r>
              <w:rPr>
                <w:rFonts w:hint="eastAsia"/>
                <w:szCs w:val="24"/>
              </w:rPr>
              <w:t>承包起始日</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受托</w:t>
            </w:r>
            <w:r>
              <w:rPr>
                <w:szCs w:val="24"/>
              </w:rPr>
              <w:t>/</w:t>
            </w:r>
            <w:r>
              <w:rPr>
                <w:rFonts w:hint="eastAsia"/>
                <w:szCs w:val="24"/>
              </w:rPr>
              <w:t>承包终止日</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托管收益</w:t>
            </w:r>
            <w:r>
              <w:rPr>
                <w:szCs w:val="24"/>
              </w:rPr>
              <w:t>/</w:t>
            </w:r>
            <w:r>
              <w:rPr>
                <w:rFonts w:hint="eastAsia"/>
                <w:szCs w:val="24"/>
              </w:rPr>
              <w:t>承包收益定价依据</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本期确认的托管收益</w:t>
            </w:r>
            <w:r>
              <w:rPr>
                <w:szCs w:val="24"/>
              </w:rPr>
              <w:t>/</w:t>
            </w:r>
            <w:r>
              <w:rPr>
                <w:rFonts w:hint="eastAsia"/>
                <w:szCs w:val="24"/>
              </w:rPr>
              <w:t>承包收益</w:t>
            </w:r>
          </w:p>
        </w:tc>
      </w:tr>
    </w:tbl>
    <w:p>
      <w:pPr>
        <w:jc w:val="left"/>
        <w:rPr>
          <w:szCs w:val="24"/>
        </w:rPr>
      </w:pPr>
      <w:r>
        <w:rPr>
          <w:rFonts w:hint="eastAsia"/>
          <w:szCs w:val="24"/>
        </w:rPr>
        <w:t>本公司委托管理</w:t>
      </w:r>
      <w:r>
        <w:rPr>
          <w:szCs w:val="24"/>
        </w:rPr>
        <w:t>/</w:t>
      </w:r>
      <w:r>
        <w:rPr>
          <w:rFonts w:hint="eastAsia"/>
          <w:szCs w:val="24"/>
        </w:rPr>
        <w:t>出包情况表：</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368"/>
        <w:gridCol w:w="1367"/>
        <w:gridCol w:w="1368"/>
        <w:gridCol w:w="1367"/>
        <w:gridCol w:w="1367"/>
        <w:gridCol w:w="1367"/>
        <w:gridCol w:w="1367"/>
      </w:tblGrid>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委托方</w:t>
            </w:r>
            <w:r>
              <w:rPr>
                <w:szCs w:val="24"/>
              </w:rPr>
              <w:t>/</w:t>
            </w:r>
            <w:r>
              <w:rPr>
                <w:rFonts w:hint="eastAsia"/>
                <w:szCs w:val="24"/>
              </w:rPr>
              <w:t>出包方名称</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受托方</w:t>
            </w:r>
            <w:r>
              <w:rPr>
                <w:szCs w:val="24"/>
              </w:rPr>
              <w:t>/</w:t>
            </w:r>
            <w:r>
              <w:rPr>
                <w:rFonts w:hint="eastAsia"/>
                <w:szCs w:val="24"/>
              </w:rPr>
              <w:t>承包方名称</w:t>
            </w:r>
          </w:p>
        </w:tc>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委托</w:t>
            </w:r>
            <w:r>
              <w:rPr>
                <w:szCs w:val="24"/>
              </w:rPr>
              <w:t>/</w:t>
            </w:r>
            <w:r>
              <w:rPr>
                <w:rFonts w:hint="eastAsia"/>
                <w:szCs w:val="24"/>
              </w:rPr>
              <w:t>出包资产类型</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委托</w:t>
            </w:r>
            <w:r>
              <w:rPr>
                <w:szCs w:val="24"/>
              </w:rPr>
              <w:t>/</w:t>
            </w:r>
            <w:r>
              <w:rPr>
                <w:rFonts w:hint="eastAsia"/>
                <w:szCs w:val="24"/>
              </w:rPr>
              <w:t>出包起始日</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委托</w:t>
            </w:r>
            <w:r>
              <w:rPr>
                <w:szCs w:val="24"/>
              </w:rPr>
              <w:t>/</w:t>
            </w:r>
            <w:r>
              <w:rPr>
                <w:rFonts w:hint="eastAsia"/>
                <w:szCs w:val="24"/>
              </w:rPr>
              <w:t>出包终止日</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托管费</w:t>
            </w:r>
            <w:r>
              <w:rPr>
                <w:szCs w:val="24"/>
              </w:rPr>
              <w:t>/</w:t>
            </w:r>
            <w:r>
              <w:rPr>
                <w:rFonts w:hint="eastAsia"/>
                <w:szCs w:val="24"/>
              </w:rPr>
              <w:t>出包费定价依据</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本期确认的托管费</w:t>
            </w:r>
            <w:r>
              <w:rPr>
                <w:szCs w:val="24"/>
              </w:rPr>
              <w:t>/</w:t>
            </w:r>
            <w:r>
              <w:rPr>
                <w:rFonts w:hint="eastAsia"/>
                <w:szCs w:val="24"/>
              </w:rPr>
              <w:t>出包费</w:t>
            </w:r>
          </w:p>
        </w:tc>
      </w:tr>
    </w:tbl>
    <w:p>
      <w:pPr>
        <w:pStyle w:val="14"/>
        <w:outlineLvl w:val="3"/>
        <w:rPr>
          <w:bCs w:val="0"/>
          <w:szCs w:val="24"/>
        </w:rPr>
      </w:pPr>
      <w:r>
        <w:rPr>
          <w:rFonts w:hint="eastAsia"/>
          <w:bCs w:val="0"/>
          <w:szCs w:val="24"/>
        </w:rPr>
        <w:t>（</w:t>
      </w:r>
      <w:r>
        <w:rPr>
          <w:bCs w:val="0"/>
          <w:szCs w:val="24"/>
        </w:rPr>
        <w:t>3</w:t>
      </w:r>
      <w:r>
        <w:rPr>
          <w:rFonts w:hint="eastAsia"/>
          <w:bCs w:val="0"/>
          <w:szCs w:val="24"/>
        </w:rPr>
        <w:t>）关联租赁情况</w:t>
      </w:r>
    </w:p>
    <w:p>
      <w:pPr>
        <w:jc w:val="left"/>
        <w:rPr>
          <w:szCs w:val="24"/>
        </w:rPr>
      </w:pPr>
      <w:r>
        <w:rPr>
          <w:rFonts w:hint="eastAsia"/>
          <w:szCs w:val="24"/>
        </w:rPr>
        <w:t>本公司作为出租方：</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88"/>
        <w:gridCol w:w="2394"/>
        <w:gridCol w:w="2393"/>
        <w:gridCol w:w="2393"/>
      </w:tblGrid>
      <w:tr>
        <w:tblPrEx>
          <w:tblCellMar>
            <w:top w:w="0" w:type="dxa"/>
            <w:left w:w="28" w:type="dxa"/>
            <w:bottom w:w="0" w:type="dxa"/>
            <w:right w:w="28" w:type="dxa"/>
          </w:tblCellMar>
        </w:tblPrEx>
        <w:tc>
          <w:tcPr>
            <w:tcW w:w="238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承租方名称</w:t>
            </w:r>
          </w:p>
        </w:tc>
        <w:tc>
          <w:tcPr>
            <w:tcW w:w="23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租赁资产种类</w:t>
            </w:r>
          </w:p>
        </w:tc>
        <w:tc>
          <w:tcPr>
            <w:tcW w:w="23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本期确认的租赁收入</w:t>
            </w:r>
          </w:p>
        </w:tc>
        <w:tc>
          <w:tcPr>
            <w:tcW w:w="23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上期确认的租赁收入</w:t>
            </w:r>
          </w:p>
        </w:tc>
      </w:tr>
      <w:tr>
        <w:tblPrEx>
          <w:tblCellMar>
            <w:top w:w="0" w:type="dxa"/>
            <w:left w:w="28" w:type="dxa"/>
            <w:bottom w:w="0" w:type="dxa"/>
            <w:right w:w="28" w:type="dxa"/>
          </w:tblCellMar>
        </w:tblPrEx>
        <w:tc>
          <w:tcPr>
            <w:tcW w:w="238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宁波鄞州美康中医医院</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房产</w:t>
            </w: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36,000.00</w:t>
            </w: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36,000.00</w:t>
            </w:r>
          </w:p>
        </w:tc>
      </w:tr>
      <w:tr>
        <w:tblPrEx>
          <w:tblCellMar>
            <w:top w:w="0" w:type="dxa"/>
            <w:left w:w="28" w:type="dxa"/>
            <w:bottom w:w="0" w:type="dxa"/>
            <w:right w:w="28" w:type="dxa"/>
          </w:tblCellMar>
        </w:tblPrEx>
        <w:tc>
          <w:tcPr>
            <w:tcW w:w="238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宁波美康国宾健康管理有限公司</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房产</w:t>
            </w: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10,800.00</w:t>
            </w: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10,800.00</w:t>
            </w:r>
          </w:p>
        </w:tc>
      </w:tr>
      <w:tr>
        <w:tblPrEx>
          <w:tblCellMar>
            <w:top w:w="0" w:type="dxa"/>
            <w:left w:w="28" w:type="dxa"/>
            <w:bottom w:w="0" w:type="dxa"/>
            <w:right w:w="28" w:type="dxa"/>
          </w:tblCellMar>
        </w:tblPrEx>
        <w:tc>
          <w:tcPr>
            <w:tcW w:w="238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宁波鄞州美康国宾门诊部</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房产</w:t>
            </w: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36,000.00</w:t>
            </w: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36,000.00</w:t>
            </w:r>
          </w:p>
        </w:tc>
      </w:tr>
      <w:tr>
        <w:tblPrEx>
          <w:tblCellMar>
            <w:top w:w="0" w:type="dxa"/>
            <w:left w:w="28" w:type="dxa"/>
            <w:bottom w:w="0" w:type="dxa"/>
            <w:right w:w="28" w:type="dxa"/>
          </w:tblCellMar>
        </w:tblPrEx>
        <w:tc>
          <w:tcPr>
            <w:tcW w:w="238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合计</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82,800.00</w:t>
            </w: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82,800.00</w:t>
            </w:r>
          </w:p>
        </w:tc>
      </w:tr>
    </w:tbl>
    <w:p>
      <w:pPr>
        <w:jc w:val="left"/>
        <w:rPr>
          <w:szCs w:val="24"/>
        </w:rPr>
      </w:pPr>
      <w:r>
        <w:rPr>
          <w:rFonts w:hint="eastAsia"/>
          <w:szCs w:val="24"/>
        </w:rPr>
        <w:t>本公司作为承租方：</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91"/>
        <w:gridCol w:w="2393"/>
        <w:gridCol w:w="2392"/>
        <w:gridCol w:w="2392"/>
      </w:tblGrid>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出租方名称</w:t>
            </w:r>
          </w:p>
        </w:tc>
        <w:tc>
          <w:tcPr>
            <w:tcW w:w="23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租赁资产种类</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本期确认的租赁费</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上期确认的租赁费</w:t>
            </w:r>
          </w:p>
        </w:tc>
      </w:tr>
    </w:tbl>
    <w:p>
      <w:pPr>
        <w:pStyle w:val="14"/>
        <w:outlineLvl w:val="3"/>
        <w:rPr>
          <w:bCs w:val="0"/>
          <w:szCs w:val="24"/>
        </w:rPr>
      </w:pPr>
      <w:r>
        <w:rPr>
          <w:rFonts w:hint="eastAsia"/>
          <w:bCs w:val="0"/>
          <w:szCs w:val="24"/>
        </w:rPr>
        <w:t>（</w:t>
      </w:r>
      <w:r>
        <w:rPr>
          <w:bCs w:val="0"/>
          <w:szCs w:val="24"/>
        </w:rPr>
        <w:t>4</w:t>
      </w:r>
      <w:r>
        <w:rPr>
          <w:rFonts w:hint="eastAsia"/>
          <w:bCs w:val="0"/>
          <w:szCs w:val="24"/>
        </w:rPr>
        <w:t>）关联担保情况</w:t>
      </w:r>
    </w:p>
    <w:p>
      <w:pPr>
        <w:jc w:val="left"/>
        <w:rPr>
          <w:szCs w:val="24"/>
        </w:rPr>
      </w:pPr>
      <w:r>
        <w:rPr>
          <w:rFonts w:hint="eastAsia"/>
          <w:szCs w:val="24"/>
        </w:rPr>
        <w:t>本公司作为担保方</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3"/>
        <w:gridCol w:w="1915"/>
        <w:gridCol w:w="1914"/>
        <w:gridCol w:w="1914"/>
        <w:gridCol w:w="1914"/>
      </w:tblGrid>
      <w:tr>
        <w:tblPrEx>
          <w:tblCellMar>
            <w:top w:w="0" w:type="dxa"/>
            <w:left w:w="28" w:type="dxa"/>
            <w:bottom w:w="0" w:type="dxa"/>
            <w:right w:w="28" w:type="dxa"/>
          </w:tblCellMar>
        </w:tblPrEx>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被担保方</w:t>
            </w:r>
          </w:p>
        </w:tc>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担保金额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担保起始日</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担保到期日</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担保是否已经履行完毕</w:t>
            </w:r>
          </w:p>
        </w:tc>
      </w:tr>
    </w:tbl>
    <w:p>
      <w:pPr>
        <w:jc w:val="left"/>
        <w:rPr>
          <w:szCs w:val="24"/>
        </w:rPr>
      </w:pPr>
      <w:r>
        <w:rPr>
          <w:rFonts w:hint="eastAsia"/>
          <w:szCs w:val="24"/>
        </w:rPr>
        <w:t>本公司作为被担保方</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3"/>
        <w:gridCol w:w="1915"/>
        <w:gridCol w:w="1914"/>
        <w:gridCol w:w="1914"/>
        <w:gridCol w:w="1914"/>
      </w:tblGrid>
      <w:tr>
        <w:tblPrEx>
          <w:tblCellMar>
            <w:top w:w="0" w:type="dxa"/>
            <w:left w:w="28" w:type="dxa"/>
            <w:bottom w:w="0" w:type="dxa"/>
            <w:right w:w="28" w:type="dxa"/>
          </w:tblCellMar>
        </w:tblPrEx>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担保方</w:t>
            </w:r>
          </w:p>
        </w:tc>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担保金额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担保起始日</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担保到期日</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担保是否已经履行完毕</w:t>
            </w:r>
          </w:p>
        </w:tc>
      </w:tr>
      <w:tr>
        <w:tblPrEx>
          <w:tblCellMar>
            <w:top w:w="0" w:type="dxa"/>
            <w:left w:w="28" w:type="dxa"/>
            <w:bottom w:w="0" w:type="dxa"/>
            <w:right w:w="28" w:type="dxa"/>
          </w:tblCellMar>
        </w:tblPrEx>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邹炳德</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90,000,000.00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2018</w:t>
            </w:r>
            <w:r>
              <w:rPr>
                <w:rFonts w:hint="eastAsia"/>
                <w:szCs w:val="24"/>
              </w:rPr>
              <w:t>年</w:t>
            </w:r>
            <w:r>
              <w:rPr>
                <w:szCs w:val="24"/>
              </w:rPr>
              <w:t>08</w:t>
            </w:r>
            <w:r>
              <w:rPr>
                <w:rFonts w:hint="eastAsia"/>
                <w:szCs w:val="24"/>
              </w:rPr>
              <w:t>月</w:t>
            </w:r>
            <w:r>
              <w:rPr>
                <w:szCs w:val="24"/>
              </w:rPr>
              <w:t>23</w:t>
            </w:r>
            <w:r>
              <w:rPr>
                <w:rFonts w:hint="eastAsia"/>
                <w:szCs w:val="24"/>
              </w:rPr>
              <w:t>日</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2022</w:t>
            </w:r>
            <w:r>
              <w:rPr>
                <w:rFonts w:hint="eastAsia"/>
                <w:szCs w:val="24"/>
              </w:rPr>
              <w:t>年</w:t>
            </w:r>
            <w:r>
              <w:rPr>
                <w:szCs w:val="24"/>
              </w:rPr>
              <w:t>08</w:t>
            </w:r>
            <w:r>
              <w:rPr>
                <w:rFonts w:hint="eastAsia"/>
                <w:szCs w:val="24"/>
              </w:rPr>
              <w:t>月</w:t>
            </w:r>
            <w:r>
              <w:rPr>
                <w:szCs w:val="24"/>
              </w:rPr>
              <w:t>22</w:t>
            </w:r>
            <w:r>
              <w:rPr>
                <w:rFonts w:hint="eastAsia"/>
                <w:szCs w:val="24"/>
              </w:rPr>
              <w:t>日</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blPrEx>
          <w:tblCellMar>
            <w:top w:w="0" w:type="dxa"/>
            <w:left w:w="28" w:type="dxa"/>
            <w:bottom w:w="0" w:type="dxa"/>
            <w:right w:w="28" w:type="dxa"/>
          </w:tblCellMar>
        </w:tblPrEx>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杭州倚天生物技术有限公司</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167,000,000.00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2019</w:t>
            </w:r>
            <w:r>
              <w:rPr>
                <w:rFonts w:hint="eastAsia"/>
                <w:szCs w:val="24"/>
              </w:rPr>
              <w:t>年</w:t>
            </w:r>
            <w:r>
              <w:rPr>
                <w:szCs w:val="24"/>
              </w:rPr>
              <w:t>06</w:t>
            </w:r>
            <w:r>
              <w:rPr>
                <w:rFonts w:hint="eastAsia"/>
                <w:szCs w:val="24"/>
              </w:rPr>
              <w:t>月</w:t>
            </w:r>
            <w:r>
              <w:rPr>
                <w:szCs w:val="24"/>
              </w:rPr>
              <w:t>16</w:t>
            </w:r>
            <w:r>
              <w:rPr>
                <w:rFonts w:hint="eastAsia"/>
                <w:szCs w:val="24"/>
              </w:rPr>
              <w:t>日</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2024</w:t>
            </w:r>
            <w:r>
              <w:rPr>
                <w:rFonts w:hint="eastAsia"/>
                <w:szCs w:val="24"/>
              </w:rPr>
              <w:t>年</w:t>
            </w:r>
            <w:r>
              <w:rPr>
                <w:szCs w:val="24"/>
              </w:rPr>
              <w:t>06</w:t>
            </w:r>
            <w:r>
              <w:rPr>
                <w:rFonts w:hint="eastAsia"/>
                <w:szCs w:val="24"/>
              </w:rPr>
              <w:t>月</w:t>
            </w:r>
            <w:r>
              <w:rPr>
                <w:szCs w:val="24"/>
              </w:rPr>
              <w:t>14</w:t>
            </w:r>
            <w:r>
              <w:rPr>
                <w:rFonts w:hint="eastAsia"/>
                <w:szCs w:val="24"/>
              </w:rPr>
              <w:t>日</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否</w:t>
            </w:r>
          </w:p>
        </w:tc>
      </w:tr>
      <w:tr>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合计</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257,000,000.00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bl>
    <w:p>
      <w:pPr>
        <w:pStyle w:val="14"/>
        <w:outlineLvl w:val="3"/>
        <w:rPr>
          <w:bCs w:val="0"/>
          <w:szCs w:val="24"/>
        </w:rPr>
      </w:pPr>
      <w:r>
        <w:rPr>
          <w:rFonts w:hint="eastAsia"/>
          <w:bCs w:val="0"/>
          <w:szCs w:val="24"/>
        </w:rPr>
        <w:t>（</w:t>
      </w:r>
      <w:r>
        <w:rPr>
          <w:bCs w:val="0"/>
          <w:szCs w:val="24"/>
        </w:rPr>
        <w:t>5</w:t>
      </w:r>
      <w:r>
        <w:rPr>
          <w:rFonts w:hint="eastAsia"/>
          <w:bCs w:val="0"/>
          <w:szCs w:val="24"/>
        </w:rPr>
        <w:t>）关联方资金拆借</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3"/>
        <w:gridCol w:w="1914"/>
        <w:gridCol w:w="1915"/>
        <w:gridCol w:w="1914"/>
        <w:gridCol w:w="1914"/>
      </w:tblGrid>
      <w:tr>
        <w:tblPrEx>
          <w:tblCellMar>
            <w:top w:w="0" w:type="dxa"/>
            <w:left w:w="28" w:type="dxa"/>
            <w:bottom w:w="0" w:type="dxa"/>
            <w:right w:w="28" w:type="dxa"/>
          </w:tblCellMar>
        </w:tblPrEx>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关联方</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拆借金额</w:t>
            </w:r>
          </w:p>
        </w:tc>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起始日</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到期日</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pPr>
            <w:r>
              <w:t>说明</w:t>
            </w:r>
          </w:p>
        </w:tc>
      </w:tr>
      <w:tr>
        <w:tblPrEx>
          <w:tblCellMar>
            <w:top w:w="0" w:type="dxa"/>
            <w:left w:w="28" w:type="dxa"/>
            <w:bottom w:w="0" w:type="dxa"/>
            <w:right w:w="28" w:type="dxa"/>
          </w:tblCellMar>
        </w:tblPrEx>
        <w:tc>
          <w:tcPr>
            <w:tcW w:w="9570" w:type="dxa"/>
            <w:gridSpan w:val="5"/>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拆入</w:t>
            </w:r>
          </w:p>
        </w:tc>
      </w:tr>
      <w:tr>
        <w:tblPrEx>
          <w:tblCellMar>
            <w:top w:w="0" w:type="dxa"/>
            <w:left w:w="28" w:type="dxa"/>
            <w:bottom w:w="0" w:type="dxa"/>
            <w:right w:w="28" w:type="dxa"/>
          </w:tblCellMar>
        </w:tblPrEx>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美康生物科技（舟山）有限公司</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14,000,000.00</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2019年11月01日</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2020年12月31日</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2019年9月10日，公司与余颖娜签署了《股权转让协议》及补充协议，公司将所持有的美康生物科技（舟山）有限公司71%的股权作价人民币3,550.00万元转让给余颖娜。股权转让完成后，公司将持有美康生物科技（舟山）有限公司29%的股权，不再将其纳入合并范围，而是作为联营企业转为权益法核算，上述资金拆借披露期间为2019年11-12月，期初余额为2019年11月1日余额</w:t>
            </w:r>
          </w:p>
        </w:tc>
      </w:tr>
      <w:tr>
        <w:tblPrEx>
          <w:tblCellMar>
            <w:top w:w="0" w:type="dxa"/>
            <w:left w:w="28" w:type="dxa"/>
            <w:bottom w:w="0" w:type="dxa"/>
            <w:right w:w="28" w:type="dxa"/>
          </w:tblCellMar>
        </w:tblPrEx>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邹炳德</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2,800,000.00</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2019年01月24日</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2020年04月24日</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2019年3月4日，公司与美康基金及美康基金其他合伙人共同签署了《宁波美康股权投资基金合伙企业（有限合伙）之退伙协议》，各方一致同意公司退出美康基金。上述向邹炳德拆入1,080万元，拆入主体为宁波美康股权投资基金合伙企业（有限合伙），资金拆借披露期间为2019年1-3月，期末余额为2019年3月31日余额。公司退出美康基金后不再将其纳入合并范围。</w:t>
            </w:r>
          </w:p>
        </w:tc>
      </w:tr>
      <w:tr>
        <w:tblPrEx>
          <w:tblCellMar>
            <w:top w:w="0" w:type="dxa"/>
            <w:left w:w="28" w:type="dxa"/>
            <w:bottom w:w="0" w:type="dxa"/>
            <w:right w:w="28" w:type="dxa"/>
          </w:tblCellMar>
        </w:tblPrEx>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浙江美康网新云健康科技股份有限公司</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0.00</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2019年01月01日</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2019年06月25日</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 xml:space="preserve">浙江美康网新云健康科技股份有限公司本期拆入资金16,914,137.78元，期末余额为零。 </w:t>
            </w:r>
          </w:p>
        </w:tc>
      </w:tr>
      <w:tr>
        <w:tblPrEx>
          <w:tblCellMar>
            <w:top w:w="0" w:type="dxa"/>
            <w:left w:w="28" w:type="dxa"/>
            <w:bottom w:w="0" w:type="dxa"/>
            <w:right w:w="28" w:type="dxa"/>
          </w:tblCellMar>
        </w:tblPrEx>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宁波鄞州美康中医医院</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0.00</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2019年06月18日</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2019年09月18日</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t>宁波鄞州美康中医医院本期拆入资金1,000,000.00元，期末余额为零。</w:t>
            </w:r>
          </w:p>
        </w:tc>
      </w:tr>
      <w:tr>
        <w:tblPrEx>
          <w:tblCellMar>
            <w:top w:w="0" w:type="dxa"/>
            <w:left w:w="28" w:type="dxa"/>
            <w:bottom w:w="0" w:type="dxa"/>
            <w:right w:w="28" w:type="dxa"/>
          </w:tblCellMar>
        </w:tblPrEx>
        <w:tc>
          <w:tcPr>
            <w:tcW w:w="9570" w:type="dxa"/>
            <w:gridSpan w:val="5"/>
            <w:tcBorders>
              <w:top w:val="single" w:color="auto" w:sz="4" w:space="0"/>
              <w:left w:val="single" w:color="auto" w:sz="4" w:space="0"/>
              <w:bottom w:val="single" w:color="auto" w:sz="4" w:space="0"/>
              <w:right w:val="single" w:color="auto" w:sz="4" w:space="0"/>
            </w:tcBorders>
            <w:shd w:val="clear" w:color="auto" w:fill="D3D3D3"/>
            <w:vAlign w:val="center"/>
          </w:tcPr>
          <w:p>
            <w:pPr>
              <w:jc w:val="left"/>
            </w:pPr>
            <w:r>
              <w:t>拆出</w:t>
            </w:r>
          </w:p>
        </w:tc>
      </w:tr>
      <w:tr>
        <w:tblPrEx>
          <w:tblCellMar>
            <w:top w:w="0" w:type="dxa"/>
            <w:left w:w="28" w:type="dxa"/>
            <w:bottom w:w="0" w:type="dxa"/>
            <w:right w:w="28" w:type="dxa"/>
          </w:tblCellMar>
        </w:tblPrEx>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重庆和盛医疗器械有限公司</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0.00</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2019年09月11日</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pPr>
            <w:r>
              <w:t>2019年12月31日</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pPr>
            <w:r>
              <w:rPr>
                <w:rFonts w:hint="eastAsia"/>
              </w:rPr>
              <w:t>重庆和盛医疗器械有限公司本期拆除资金17,000,000.00元，期末余额为零。</w:t>
            </w:r>
          </w:p>
        </w:tc>
      </w:tr>
    </w:tbl>
    <w:p>
      <w:pPr>
        <w:pStyle w:val="14"/>
        <w:outlineLvl w:val="3"/>
        <w:rPr>
          <w:bCs w:val="0"/>
          <w:szCs w:val="24"/>
        </w:rPr>
      </w:pPr>
      <w:r>
        <w:rPr>
          <w:rFonts w:hint="eastAsia"/>
          <w:bCs w:val="0"/>
          <w:szCs w:val="24"/>
        </w:rPr>
        <w:t>（</w:t>
      </w:r>
      <w:r>
        <w:rPr>
          <w:bCs w:val="0"/>
          <w:szCs w:val="24"/>
        </w:rPr>
        <w:t>6</w:t>
      </w:r>
      <w:r>
        <w:rPr>
          <w:rFonts w:hint="eastAsia"/>
          <w:bCs w:val="0"/>
          <w:szCs w:val="24"/>
        </w:rPr>
        <w:t>）关联方资产转让、债务重组情况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91"/>
        <w:gridCol w:w="2393"/>
        <w:gridCol w:w="2392"/>
        <w:gridCol w:w="2392"/>
      </w:tblGrid>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关联方</w:t>
            </w:r>
          </w:p>
        </w:tc>
        <w:tc>
          <w:tcPr>
            <w:tcW w:w="23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关联交易内容</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bl>
    <w:p>
      <w:pPr>
        <w:pStyle w:val="14"/>
        <w:outlineLvl w:val="3"/>
        <w:rPr>
          <w:bCs w:val="0"/>
          <w:szCs w:val="24"/>
        </w:rPr>
      </w:pPr>
      <w:r>
        <w:rPr>
          <w:rFonts w:hint="eastAsia"/>
          <w:bCs w:val="0"/>
          <w:szCs w:val="24"/>
        </w:rPr>
        <w:t>（</w:t>
      </w:r>
      <w:r>
        <w:rPr>
          <w:bCs w:val="0"/>
          <w:szCs w:val="24"/>
        </w:rPr>
        <w:t>7</w:t>
      </w:r>
      <w:r>
        <w:rPr>
          <w:rFonts w:hint="eastAsia"/>
          <w:bCs w:val="0"/>
          <w:szCs w:val="24"/>
        </w:rPr>
        <w:t>）关键管理人员报酬</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8"/>
        <w:gridCol w:w="3190"/>
        <w:gridCol w:w="3191"/>
      </w:tblGrid>
      <w:tr>
        <w:tblPrEx>
          <w:tblCellMar>
            <w:top w:w="0" w:type="dxa"/>
            <w:left w:w="28" w:type="dxa"/>
            <w:bottom w:w="0" w:type="dxa"/>
            <w:right w:w="28" w:type="dxa"/>
          </w:tblCellMar>
        </w:tblPrEx>
        <w:tc>
          <w:tcPr>
            <w:tcW w:w="318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18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关键管理人员薪酬</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6,169,973.28</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4,337,753.17</w:t>
            </w:r>
          </w:p>
        </w:tc>
      </w:tr>
    </w:tbl>
    <w:p>
      <w:pPr>
        <w:pStyle w:val="14"/>
        <w:outlineLvl w:val="3"/>
        <w:rPr>
          <w:bCs w:val="0"/>
          <w:szCs w:val="24"/>
        </w:rPr>
      </w:pPr>
      <w:r>
        <w:rPr>
          <w:rFonts w:hint="eastAsia"/>
          <w:bCs w:val="0"/>
          <w:szCs w:val="24"/>
        </w:rPr>
        <w:t>（</w:t>
      </w:r>
      <w:r>
        <w:rPr>
          <w:bCs w:val="0"/>
          <w:szCs w:val="24"/>
        </w:rPr>
        <w:t>8</w:t>
      </w:r>
      <w:r>
        <w:rPr>
          <w:rFonts w:hint="eastAsia"/>
          <w:bCs w:val="0"/>
          <w:szCs w:val="24"/>
        </w:rPr>
        <w:t>）其他关联交易</w:t>
      </w:r>
    </w:p>
    <w:p>
      <w:pPr>
        <w:pStyle w:val="17"/>
        <w:numPr>
          <w:ilvl w:val="0"/>
          <w:numId w:val="0"/>
        </w:numPr>
        <w:ind w:firstLine="360" w:firstLineChars="200"/>
        <w:rPr>
          <w:b w:val="0"/>
          <w:sz w:val="18"/>
          <w:szCs w:val="18"/>
        </w:rPr>
      </w:pPr>
      <w:r>
        <w:rPr>
          <w:rFonts w:hint="eastAsia"/>
          <w:b w:val="0"/>
          <w:sz w:val="18"/>
          <w:szCs w:val="18"/>
        </w:rPr>
        <w:t>（</w:t>
      </w:r>
      <w:r>
        <w:rPr>
          <w:b w:val="0"/>
          <w:sz w:val="18"/>
          <w:szCs w:val="18"/>
        </w:rPr>
        <w:t>1</w:t>
      </w:r>
      <w:r>
        <w:rPr>
          <w:rFonts w:hint="eastAsia"/>
          <w:b w:val="0"/>
          <w:sz w:val="18"/>
          <w:szCs w:val="18"/>
        </w:rPr>
        <w:t>）</w:t>
      </w:r>
      <w:r>
        <w:rPr>
          <w:b w:val="0"/>
          <w:sz w:val="18"/>
          <w:szCs w:val="18"/>
        </w:rPr>
        <w:t>2018</w:t>
      </w:r>
      <w:r>
        <w:rPr>
          <w:rFonts w:hint="eastAsia"/>
          <w:b w:val="0"/>
          <w:sz w:val="18"/>
          <w:szCs w:val="18"/>
        </w:rPr>
        <w:t>年</w:t>
      </w:r>
      <w:r>
        <w:rPr>
          <w:b w:val="0"/>
          <w:sz w:val="18"/>
          <w:szCs w:val="18"/>
        </w:rPr>
        <w:t>2</w:t>
      </w:r>
      <w:r>
        <w:rPr>
          <w:rFonts w:hint="eastAsia"/>
          <w:b w:val="0"/>
          <w:sz w:val="18"/>
          <w:szCs w:val="18"/>
        </w:rPr>
        <w:t>月</w:t>
      </w:r>
      <w:r>
        <w:rPr>
          <w:b w:val="0"/>
          <w:sz w:val="18"/>
          <w:szCs w:val="18"/>
        </w:rPr>
        <w:t>1</w:t>
      </w:r>
      <w:r>
        <w:rPr>
          <w:rFonts w:hint="eastAsia"/>
          <w:b w:val="0"/>
          <w:sz w:val="18"/>
          <w:szCs w:val="18"/>
        </w:rPr>
        <w:t>日，公司与杭州健立生物科技有限公司、宁波上医善世大健康投资合伙企业（有限合伙）签署了《投资合作协议》，拟共同出资设立美康盛德生物科技泰州有限公司。公司拟以货币出资</w:t>
      </w:r>
      <w:r>
        <w:rPr>
          <w:b w:val="0"/>
          <w:sz w:val="18"/>
          <w:szCs w:val="18"/>
        </w:rPr>
        <w:t>1,500.00</w:t>
      </w:r>
      <w:r>
        <w:rPr>
          <w:rFonts w:hint="eastAsia"/>
          <w:b w:val="0"/>
          <w:sz w:val="18"/>
          <w:szCs w:val="18"/>
        </w:rPr>
        <w:t>万元，占注册资本</w:t>
      </w:r>
      <w:r>
        <w:rPr>
          <w:b w:val="0"/>
          <w:sz w:val="18"/>
          <w:szCs w:val="18"/>
        </w:rPr>
        <w:t>30%</w:t>
      </w:r>
      <w:r>
        <w:rPr>
          <w:rFonts w:hint="eastAsia"/>
          <w:b w:val="0"/>
          <w:sz w:val="18"/>
          <w:szCs w:val="18"/>
        </w:rPr>
        <w:t>，杭州健立生物科技有限公司拟以货币出资</w:t>
      </w:r>
      <w:r>
        <w:rPr>
          <w:b w:val="0"/>
          <w:sz w:val="18"/>
          <w:szCs w:val="18"/>
        </w:rPr>
        <w:t>1,500.00</w:t>
      </w:r>
      <w:r>
        <w:rPr>
          <w:rFonts w:hint="eastAsia"/>
          <w:b w:val="0"/>
          <w:sz w:val="18"/>
          <w:szCs w:val="18"/>
        </w:rPr>
        <w:t>万元，占注册资本</w:t>
      </w:r>
      <w:r>
        <w:rPr>
          <w:b w:val="0"/>
          <w:sz w:val="18"/>
          <w:szCs w:val="18"/>
        </w:rPr>
        <w:t>30%</w:t>
      </w:r>
      <w:r>
        <w:rPr>
          <w:rFonts w:hint="eastAsia"/>
          <w:b w:val="0"/>
          <w:sz w:val="18"/>
          <w:szCs w:val="18"/>
        </w:rPr>
        <w:t>，宁波上医善世大健康投资合伙企业（有限合伙）拟以货币出资</w:t>
      </w:r>
      <w:r>
        <w:rPr>
          <w:b w:val="0"/>
          <w:sz w:val="18"/>
          <w:szCs w:val="18"/>
        </w:rPr>
        <w:t>2,000.00</w:t>
      </w:r>
      <w:r>
        <w:rPr>
          <w:rFonts w:hint="eastAsia"/>
          <w:b w:val="0"/>
          <w:sz w:val="18"/>
          <w:szCs w:val="18"/>
        </w:rPr>
        <w:t>万元，占注册资本</w:t>
      </w:r>
      <w:r>
        <w:rPr>
          <w:b w:val="0"/>
          <w:sz w:val="18"/>
          <w:szCs w:val="18"/>
        </w:rPr>
        <w:t>40%</w:t>
      </w:r>
      <w:r>
        <w:rPr>
          <w:rFonts w:hint="eastAsia"/>
          <w:b w:val="0"/>
          <w:sz w:val="18"/>
          <w:szCs w:val="18"/>
        </w:rPr>
        <w:t>。美康盛德生物科技泰州有限公司于</w:t>
      </w:r>
      <w:r>
        <w:rPr>
          <w:b w:val="0"/>
          <w:sz w:val="18"/>
          <w:szCs w:val="18"/>
        </w:rPr>
        <w:t>2018</w:t>
      </w:r>
      <w:r>
        <w:rPr>
          <w:rFonts w:hint="eastAsia"/>
          <w:b w:val="0"/>
          <w:sz w:val="18"/>
          <w:szCs w:val="18"/>
        </w:rPr>
        <w:t>年</w:t>
      </w:r>
      <w:r>
        <w:rPr>
          <w:b w:val="0"/>
          <w:sz w:val="18"/>
          <w:szCs w:val="18"/>
        </w:rPr>
        <w:t>3</w:t>
      </w:r>
      <w:r>
        <w:rPr>
          <w:rFonts w:hint="eastAsia"/>
          <w:b w:val="0"/>
          <w:sz w:val="18"/>
          <w:szCs w:val="18"/>
        </w:rPr>
        <w:t>月</w:t>
      </w:r>
      <w:r>
        <w:rPr>
          <w:b w:val="0"/>
          <w:sz w:val="18"/>
          <w:szCs w:val="18"/>
        </w:rPr>
        <w:t>1</w:t>
      </w:r>
      <w:r>
        <w:rPr>
          <w:rFonts w:hint="eastAsia"/>
          <w:b w:val="0"/>
          <w:sz w:val="18"/>
          <w:szCs w:val="18"/>
        </w:rPr>
        <w:t>日成立。截止</w:t>
      </w:r>
      <w:r>
        <w:rPr>
          <w:b w:val="0"/>
          <w:sz w:val="18"/>
          <w:szCs w:val="18"/>
        </w:rPr>
        <w:t>2019</w:t>
      </w:r>
      <w:r>
        <w:rPr>
          <w:rFonts w:hint="eastAsia"/>
          <w:b w:val="0"/>
          <w:sz w:val="18"/>
          <w:szCs w:val="18"/>
        </w:rPr>
        <w:t>年</w:t>
      </w:r>
      <w:r>
        <w:rPr>
          <w:b w:val="0"/>
          <w:sz w:val="18"/>
          <w:szCs w:val="18"/>
        </w:rPr>
        <w:t>12</w:t>
      </w:r>
      <w:r>
        <w:rPr>
          <w:rFonts w:hint="eastAsia"/>
          <w:b w:val="0"/>
          <w:sz w:val="18"/>
          <w:szCs w:val="18"/>
        </w:rPr>
        <w:t>月</w:t>
      </w:r>
      <w:r>
        <w:rPr>
          <w:b w:val="0"/>
          <w:sz w:val="18"/>
          <w:szCs w:val="18"/>
        </w:rPr>
        <w:t>31</w:t>
      </w:r>
      <w:r>
        <w:rPr>
          <w:rFonts w:hint="eastAsia"/>
          <w:b w:val="0"/>
          <w:sz w:val="18"/>
          <w:szCs w:val="18"/>
        </w:rPr>
        <w:t>日，公司已缴纳出资</w:t>
      </w:r>
      <w:r>
        <w:rPr>
          <w:b w:val="0"/>
          <w:sz w:val="18"/>
          <w:szCs w:val="18"/>
        </w:rPr>
        <w:t>540</w:t>
      </w:r>
      <w:r>
        <w:rPr>
          <w:rFonts w:hint="eastAsia"/>
          <w:b w:val="0"/>
          <w:sz w:val="18"/>
          <w:szCs w:val="18"/>
        </w:rPr>
        <w:t>万元，杭州健立生物科技有限公司、宁波上医善世大健康投资合伙企业（有限合伙）均未缴纳出资。美康盛德生物科技泰州有限公司于</w:t>
      </w:r>
      <w:r>
        <w:rPr>
          <w:b w:val="0"/>
          <w:sz w:val="18"/>
          <w:szCs w:val="18"/>
        </w:rPr>
        <w:t>2020</w:t>
      </w:r>
      <w:r>
        <w:rPr>
          <w:rFonts w:hint="eastAsia"/>
          <w:b w:val="0"/>
          <w:sz w:val="18"/>
          <w:szCs w:val="18"/>
        </w:rPr>
        <w:t>年</w:t>
      </w:r>
      <w:r>
        <w:rPr>
          <w:b w:val="0"/>
          <w:sz w:val="18"/>
          <w:szCs w:val="18"/>
        </w:rPr>
        <w:t>3</w:t>
      </w:r>
      <w:r>
        <w:rPr>
          <w:rFonts w:hint="eastAsia"/>
          <w:b w:val="0"/>
          <w:sz w:val="18"/>
          <w:szCs w:val="18"/>
        </w:rPr>
        <w:t>月</w:t>
      </w:r>
      <w:r>
        <w:rPr>
          <w:b w:val="0"/>
          <w:sz w:val="18"/>
          <w:szCs w:val="18"/>
        </w:rPr>
        <w:t>11</w:t>
      </w:r>
      <w:r>
        <w:rPr>
          <w:rFonts w:hint="eastAsia"/>
          <w:b w:val="0"/>
          <w:sz w:val="18"/>
          <w:szCs w:val="18"/>
        </w:rPr>
        <w:t>日完成注销。</w:t>
      </w:r>
    </w:p>
    <w:p>
      <w:pPr>
        <w:pStyle w:val="17"/>
        <w:numPr>
          <w:ilvl w:val="0"/>
          <w:numId w:val="0"/>
        </w:numPr>
        <w:ind w:firstLine="360" w:firstLineChars="200"/>
        <w:rPr>
          <w:b w:val="0"/>
          <w:sz w:val="18"/>
          <w:szCs w:val="18"/>
        </w:rPr>
      </w:pPr>
      <w:r>
        <w:rPr>
          <w:rFonts w:hint="eastAsia"/>
          <w:b w:val="0"/>
          <w:sz w:val="18"/>
          <w:szCs w:val="18"/>
        </w:rPr>
        <w:t>（</w:t>
      </w:r>
      <w:r>
        <w:rPr>
          <w:b w:val="0"/>
          <w:sz w:val="18"/>
          <w:szCs w:val="18"/>
        </w:rPr>
        <w:t>2</w:t>
      </w:r>
      <w:r>
        <w:rPr>
          <w:rFonts w:hint="eastAsia"/>
          <w:b w:val="0"/>
          <w:sz w:val="18"/>
          <w:szCs w:val="18"/>
        </w:rPr>
        <w:t>）宁波美康股权投资基金合伙企业</w:t>
      </w:r>
      <w:r>
        <w:rPr>
          <w:b w:val="0"/>
          <w:sz w:val="18"/>
          <w:szCs w:val="18"/>
        </w:rPr>
        <w:t>(</w:t>
      </w:r>
      <w:r>
        <w:rPr>
          <w:rFonts w:hint="eastAsia"/>
          <w:b w:val="0"/>
          <w:sz w:val="18"/>
          <w:szCs w:val="18"/>
        </w:rPr>
        <w:t>有限合伙</w:t>
      </w:r>
      <w:r>
        <w:rPr>
          <w:b w:val="0"/>
          <w:sz w:val="18"/>
          <w:szCs w:val="18"/>
        </w:rPr>
        <w:t>)</w:t>
      </w:r>
      <w:r>
        <w:rPr>
          <w:rFonts w:hint="eastAsia"/>
          <w:b w:val="0"/>
          <w:sz w:val="18"/>
          <w:szCs w:val="18"/>
        </w:rPr>
        <w:t>退伙及收购杭州倚天剩余股权事项，构成关联交易。详见本附注六（三）</w:t>
      </w:r>
      <w:r>
        <w:rPr>
          <w:b w:val="0"/>
          <w:sz w:val="18"/>
          <w:szCs w:val="18"/>
        </w:rPr>
        <w:t>1</w:t>
      </w:r>
      <w:r>
        <w:rPr>
          <w:rFonts w:hint="eastAsia"/>
          <w:b w:val="0"/>
          <w:sz w:val="18"/>
          <w:szCs w:val="18"/>
        </w:rPr>
        <w:t>（</w:t>
      </w:r>
      <w:r>
        <w:rPr>
          <w:b w:val="0"/>
          <w:sz w:val="18"/>
          <w:szCs w:val="18"/>
        </w:rPr>
        <w:t>4</w:t>
      </w:r>
      <w:r>
        <w:rPr>
          <w:rFonts w:hint="eastAsia"/>
          <w:b w:val="0"/>
          <w:sz w:val="18"/>
          <w:szCs w:val="18"/>
        </w:rPr>
        <w:t>）之说明。</w:t>
      </w:r>
    </w:p>
    <w:p>
      <w:pPr>
        <w:pStyle w:val="14"/>
        <w:outlineLvl w:val="2"/>
        <w:rPr>
          <w:bCs w:val="0"/>
          <w:szCs w:val="24"/>
        </w:rPr>
      </w:pPr>
      <w:r>
        <w:rPr>
          <w:bCs w:val="0"/>
          <w:szCs w:val="24"/>
        </w:rPr>
        <w:t>6</w:t>
      </w:r>
      <w:r>
        <w:rPr>
          <w:rFonts w:hint="eastAsia"/>
          <w:bCs w:val="0"/>
          <w:szCs w:val="24"/>
        </w:rPr>
        <w:t>、关联方应收应付款项</w:t>
      </w:r>
    </w:p>
    <w:p>
      <w:pPr>
        <w:pStyle w:val="14"/>
        <w:outlineLvl w:val="3"/>
        <w:rPr>
          <w:bCs w:val="0"/>
          <w:szCs w:val="24"/>
        </w:rPr>
      </w:pPr>
      <w:r>
        <w:rPr>
          <w:rFonts w:hint="eastAsia"/>
          <w:bCs w:val="0"/>
          <w:szCs w:val="24"/>
        </w:rPr>
        <w:t>（</w:t>
      </w:r>
      <w:r>
        <w:rPr>
          <w:bCs w:val="0"/>
          <w:szCs w:val="24"/>
        </w:rPr>
        <w:t>1</w:t>
      </w:r>
      <w:r>
        <w:rPr>
          <w:rFonts w:hint="eastAsia"/>
          <w:bCs w:val="0"/>
          <w:szCs w:val="24"/>
        </w:rPr>
        <w:t>）应收项目</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595"/>
        <w:gridCol w:w="1595"/>
        <w:gridCol w:w="1594"/>
        <w:gridCol w:w="1594"/>
        <w:gridCol w:w="1594"/>
        <w:gridCol w:w="1594"/>
      </w:tblGrid>
      <w:tr>
        <w:tblPrEx>
          <w:tblCellMar>
            <w:top w:w="0" w:type="dxa"/>
            <w:left w:w="28" w:type="dxa"/>
            <w:bottom w:w="0" w:type="dxa"/>
            <w:right w:w="28" w:type="dxa"/>
          </w:tblCellMar>
        </w:tblPrEx>
        <w:tc>
          <w:tcPr>
            <w:tcW w:w="1595"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项目名称</w:t>
            </w:r>
          </w:p>
        </w:tc>
        <w:tc>
          <w:tcPr>
            <w:tcW w:w="1595"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关联方</w:t>
            </w:r>
          </w:p>
        </w:tc>
        <w:tc>
          <w:tcPr>
            <w:tcW w:w="318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159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59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59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应收账款</w:t>
            </w: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安徽省三和医疗仪器有限公司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1,890,672.49</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94,533.62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2,763,600.33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138,180.02</w:t>
            </w: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南京三和仪器有限公司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940,316.74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47,015.84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1,633,371.10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81,668.56</w:t>
            </w: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山东日和贸易有限公司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903,750.44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45,187.52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970,133.06</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48,506.65</w:t>
            </w: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上海日和贸易有限公司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1,000,889.90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50,044.50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1,761,571.70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88,078.59</w:t>
            </w: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浙江美康网新云健康科技股份有限公司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69,879.67</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3,493.98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宁波鄞州美康国宾门诊部</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173,984.00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8,699.20</w:t>
            </w: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永城美康国宾健康管理有限公司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252,069.07</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12,603.45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111,580.40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5,579.02</w:t>
            </w: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杭州健立生物科技有限公司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75,000.00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3,750.00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43,877,382.12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2,193,869.11</w:t>
            </w: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宁波鄞州美康中医医院</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800,411.80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40,020.59</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赣州美康盛德医学检验所有限公司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494,524.84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24,726.24</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美康生物科技（舟山）有限公司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6,121,002.51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306,050.13</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重庆和盛医疗器械有限公司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2,789,004.46</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139,450.22</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预付账款</w:t>
            </w: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深圳市帝迈生物技术有限公司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36,939.31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1,107,605.45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安徽省三和医疗仪器有限公司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135,000.00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山东日和贸易有限公司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877,800.00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浙江美康网新云健康科技股份有限公司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151,771.58</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重庆和盛医疗器械有限公司</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9,823,243.21</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其他应收款</w:t>
            </w: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邹敏华</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139,970.00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11,497.00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107,910.00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5,395.50</w:t>
            </w:r>
          </w:p>
        </w:tc>
      </w:tr>
      <w:tr>
        <w:tblPrEx>
          <w:tblCellMar>
            <w:top w:w="0" w:type="dxa"/>
            <w:left w:w="28" w:type="dxa"/>
            <w:bottom w:w="0" w:type="dxa"/>
            <w:right w:w="28" w:type="dxa"/>
          </w:tblCellMar>
        </w:tblPrEx>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159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袁超</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400,000.00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bl>
    <w:p>
      <w:pPr>
        <w:pStyle w:val="14"/>
        <w:outlineLvl w:val="3"/>
        <w:rPr>
          <w:bCs w:val="0"/>
          <w:szCs w:val="24"/>
        </w:rPr>
      </w:pPr>
      <w:r>
        <w:rPr>
          <w:rFonts w:hint="eastAsia"/>
          <w:bCs w:val="0"/>
          <w:szCs w:val="24"/>
        </w:rPr>
        <w:t>（</w:t>
      </w:r>
      <w:r>
        <w:rPr>
          <w:bCs w:val="0"/>
          <w:szCs w:val="24"/>
        </w:rPr>
        <w:t>2</w:t>
      </w:r>
      <w:r>
        <w:rPr>
          <w:rFonts w:hint="eastAsia"/>
          <w:bCs w:val="0"/>
          <w:szCs w:val="24"/>
        </w:rPr>
        <w:t>）应付项目</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91"/>
        <w:gridCol w:w="2393"/>
        <w:gridCol w:w="2392"/>
        <w:gridCol w:w="2392"/>
      </w:tblGrid>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项目名称</w:t>
            </w:r>
          </w:p>
        </w:tc>
        <w:tc>
          <w:tcPr>
            <w:tcW w:w="23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关联方</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期末账面余额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期初账面余额</w:t>
            </w: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应付账款</w:t>
            </w: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深圳市帝迈生物技术有限公司</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156,465.48</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52,296.47</w:t>
            </w: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上海日和贸易有限公司</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40,950.27</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43,591.68</w:t>
            </w: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杭州健立生物科技有限公司</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68,538.95</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205,116.50</w:t>
            </w: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湖南品信生物工程有限公司</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68,354.85</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19,147.25</w:t>
            </w: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浙江美康网新云健康科技股份有限公司</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8,516.20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杭州汉库医学检验所有限公司</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rFonts w:hint="eastAsia"/>
                <w:szCs w:val="24"/>
              </w:rPr>
              <w:t>2,6</w:t>
            </w:r>
            <w:r>
              <w:rPr>
                <w:szCs w:val="24"/>
              </w:rPr>
              <w:t>12.80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其他应付款</w:t>
            </w: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湖南品信生物工程有限公司</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3,500,000.00</w:t>
            </w: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山东日和贸易有限公司</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300,000.00</w:t>
            </w: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浙江汉库健康科技有限公司</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2,800,000.00</w:t>
            </w: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浙江美康网新云健康科技股份有限公司</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16,914,137.78</w:t>
            </w: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美康生物科技（舟山）有限公司</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14,000,000.00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邹炳德</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16,575.00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预收账款</w:t>
            </w: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宁波鄞州美康国宾门诊部</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18,000.00</w:t>
            </w:r>
          </w:p>
        </w:tc>
      </w:tr>
      <w:tr>
        <w:tblPrEx>
          <w:tblCellMar>
            <w:top w:w="0" w:type="dxa"/>
            <w:left w:w="28" w:type="dxa"/>
            <w:bottom w:w="0" w:type="dxa"/>
            <w:right w:w="28" w:type="dxa"/>
          </w:tblCellMar>
        </w:tblPrEx>
        <w:tc>
          <w:tcPr>
            <w:tcW w:w="239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浙江美康网新云健康科技股份有限公司</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42,280.00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bl>
    <w:p>
      <w:pPr>
        <w:pStyle w:val="14"/>
        <w:outlineLvl w:val="2"/>
        <w:rPr>
          <w:bCs w:val="0"/>
          <w:szCs w:val="24"/>
        </w:rPr>
      </w:pPr>
      <w:r>
        <w:rPr>
          <w:bCs w:val="0"/>
          <w:szCs w:val="24"/>
        </w:rPr>
        <w:t>7</w:t>
      </w:r>
      <w:r>
        <w:rPr>
          <w:rFonts w:hint="eastAsia"/>
          <w:bCs w:val="0"/>
          <w:szCs w:val="24"/>
        </w:rPr>
        <w:t>、关联方承诺</w:t>
      </w:r>
    </w:p>
    <w:p>
      <w:pPr>
        <w:pStyle w:val="14"/>
        <w:outlineLvl w:val="2"/>
        <w:rPr>
          <w:bCs w:val="0"/>
          <w:szCs w:val="24"/>
        </w:rPr>
      </w:pPr>
      <w:r>
        <w:rPr>
          <w:bCs w:val="0"/>
          <w:szCs w:val="24"/>
        </w:rPr>
        <w:t>8</w:t>
      </w:r>
      <w:r>
        <w:rPr>
          <w:rFonts w:hint="eastAsia"/>
          <w:bCs w:val="0"/>
          <w:szCs w:val="24"/>
        </w:rPr>
        <w:t>、其他</w:t>
      </w:r>
    </w:p>
    <w:p>
      <w:pPr>
        <w:pStyle w:val="13"/>
        <w:outlineLvl w:val="1"/>
        <w:rPr>
          <w:bCs w:val="0"/>
        </w:rPr>
      </w:pPr>
      <w:r>
        <w:rPr>
          <w:rFonts w:hint="eastAsia"/>
          <w:bCs w:val="0"/>
        </w:rPr>
        <w:t>十三、股份支付</w:t>
      </w:r>
    </w:p>
    <w:p>
      <w:pPr>
        <w:pStyle w:val="14"/>
        <w:outlineLvl w:val="2"/>
        <w:rPr>
          <w:bCs w:val="0"/>
          <w:szCs w:val="24"/>
        </w:rPr>
      </w:pPr>
      <w:r>
        <w:rPr>
          <w:bCs w:val="0"/>
          <w:szCs w:val="24"/>
        </w:rPr>
        <w:t>1</w:t>
      </w:r>
      <w:r>
        <w:rPr>
          <w:rFonts w:hint="eastAsia"/>
          <w:bCs w:val="0"/>
          <w:szCs w:val="24"/>
        </w:rPr>
        <w:t>、股份支付总体情况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5454"/>
        <w:gridCol w:w="4114"/>
      </w:tblGrid>
      <w:tr>
        <w:tc>
          <w:tcPr>
            <w:tcW w:w="5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公司本期授予的各项权益工具总额</w:t>
            </w:r>
          </w:p>
        </w:tc>
        <w:tc>
          <w:tcPr>
            <w:tcW w:w="41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r>
      <w:tr>
        <w:tc>
          <w:tcPr>
            <w:tcW w:w="5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公司本期行权的各项权益工具总额</w:t>
            </w:r>
          </w:p>
        </w:tc>
        <w:tc>
          <w:tcPr>
            <w:tcW w:w="41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1,617,200.00</w:t>
            </w:r>
          </w:p>
        </w:tc>
      </w:tr>
      <w:tr>
        <w:tc>
          <w:tcPr>
            <w:tcW w:w="5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公司本期失效的各项权益工具总额</w:t>
            </w:r>
          </w:p>
        </w:tc>
        <w:tc>
          <w:tcPr>
            <w:tcW w:w="41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399,200.00</w:t>
            </w:r>
          </w:p>
        </w:tc>
      </w:tr>
      <w:tr>
        <w:tc>
          <w:tcPr>
            <w:tcW w:w="545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公司期末发行在外的其他权益工具行权价格的范围和合同剩余期限</w:t>
            </w:r>
          </w:p>
        </w:tc>
        <w:tc>
          <w:tcPr>
            <w:tcW w:w="41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其中限制性股票</w:t>
            </w:r>
            <w:r>
              <w:rPr>
                <w:szCs w:val="24"/>
              </w:rPr>
              <w:t>212.08</w:t>
            </w:r>
            <w:r>
              <w:rPr>
                <w:rFonts w:hint="eastAsia"/>
                <w:szCs w:val="24"/>
              </w:rPr>
              <w:t>万股，为</w:t>
            </w:r>
            <w:r>
              <w:rPr>
                <w:szCs w:val="24"/>
              </w:rPr>
              <w:t>13.37</w:t>
            </w:r>
            <w:r>
              <w:rPr>
                <w:rFonts w:hint="eastAsia"/>
                <w:szCs w:val="24"/>
              </w:rPr>
              <w:t>元</w:t>
            </w:r>
            <w:r>
              <w:rPr>
                <w:szCs w:val="24"/>
              </w:rPr>
              <w:t>/6</w:t>
            </w:r>
            <w:r>
              <w:rPr>
                <w:rFonts w:hint="eastAsia"/>
                <w:szCs w:val="24"/>
              </w:rPr>
              <w:t>个月；限制性股票</w:t>
            </w:r>
            <w:r>
              <w:rPr>
                <w:szCs w:val="24"/>
              </w:rPr>
              <w:t>18.20</w:t>
            </w:r>
            <w:r>
              <w:rPr>
                <w:rFonts w:hint="eastAsia"/>
                <w:szCs w:val="24"/>
              </w:rPr>
              <w:t>万股，为</w:t>
            </w:r>
            <w:r>
              <w:rPr>
                <w:szCs w:val="24"/>
              </w:rPr>
              <w:t>13.76</w:t>
            </w:r>
            <w:r>
              <w:rPr>
                <w:rFonts w:hint="eastAsia"/>
                <w:szCs w:val="24"/>
              </w:rPr>
              <w:t>元</w:t>
            </w:r>
            <w:r>
              <w:rPr>
                <w:szCs w:val="24"/>
              </w:rPr>
              <w:t>/14</w:t>
            </w:r>
            <w:r>
              <w:rPr>
                <w:rFonts w:hint="eastAsia"/>
                <w:szCs w:val="24"/>
              </w:rPr>
              <w:t>个月</w:t>
            </w:r>
          </w:p>
        </w:tc>
      </w:tr>
    </w:tbl>
    <w:p>
      <w:pPr>
        <w:jc w:val="left"/>
        <w:rPr>
          <w:szCs w:val="24"/>
        </w:rPr>
      </w:pPr>
      <w:r>
        <w:rPr>
          <w:rFonts w:hint="eastAsia"/>
          <w:szCs w:val="24"/>
        </w:rPr>
        <w:t>其他说明</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根据公司</w:t>
      </w:r>
      <w:r>
        <w:rPr>
          <w:rFonts w:eastAsia="Times New Roman"/>
          <w:kern w:val="0"/>
          <w:lang w:val="zh-CN"/>
        </w:rPr>
        <w:t>2015</w:t>
      </w:r>
      <w:r>
        <w:rPr>
          <w:rFonts w:hint="eastAsia" w:ascii="宋体" w:hAnsi="宋体" w:cs="宋体"/>
          <w:kern w:val="0"/>
          <w:lang w:val="zh-CN"/>
        </w:rPr>
        <w:t>年度股东大会决议《宁波美康生物科技股份有限公司限制性股票激励计划（草案）》、第二届董事会第二十次会议决议《关于向激励对象授予限制性股票的议案》和第二届董事会第三十次会议决议《关于向激励对象授予预留部分限制性股票的议案》，</w:t>
      </w:r>
      <w:r>
        <w:rPr>
          <w:rFonts w:eastAsia="Times New Roman"/>
          <w:kern w:val="0"/>
          <w:lang w:val="zh-CN"/>
        </w:rPr>
        <w:t xml:space="preserve"> 2016</w:t>
      </w:r>
      <w:r>
        <w:rPr>
          <w:rFonts w:hint="eastAsia" w:ascii="宋体" w:hAnsi="宋体" w:cs="宋体"/>
          <w:kern w:val="0"/>
          <w:lang w:val="zh-CN"/>
        </w:rPr>
        <w:t>年</w:t>
      </w:r>
      <w:r>
        <w:rPr>
          <w:rFonts w:eastAsia="Times New Roman"/>
          <w:kern w:val="0"/>
          <w:lang w:val="zh-CN"/>
        </w:rPr>
        <w:t>6</w:t>
      </w:r>
      <w:r>
        <w:rPr>
          <w:rFonts w:hint="eastAsia" w:ascii="宋体" w:hAnsi="宋体" w:cs="宋体"/>
          <w:kern w:val="0"/>
          <w:lang w:val="zh-CN"/>
        </w:rPr>
        <w:t>月</w:t>
      </w:r>
      <w:r>
        <w:rPr>
          <w:rFonts w:eastAsia="Times New Roman"/>
          <w:kern w:val="0"/>
          <w:lang w:val="zh-CN"/>
        </w:rPr>
        <w:t>28</w:t>
      </w:r>
      <w:r>
        <w:rPr>
          <w:rFonts w:hint="eastAsia" w:ascii="宋体" w:hAnsi="宋体" w:cs="宋体"/>
          <w:kern w:val="0"/>
          <w:lang w:val="zh-CN"/>
        </w:rPr>
        <w:t>日，公司授予</w:t>
      </w:r>
      <w:r>
        <w:rPr>
          <w:rFonts w:eastAsia="Times New Roman"/>
          <w:kern w:val="0"/>
          <w:lang w:val="zh-CN"/>
        </w:rPr>
        <w:t>318</w:t>
      </w:r>
      <w:r>
        <w:rPr>
          <w:rFonts w:hint="eastAsia" w:ascii="宋体" w:hAnsi="宋体" w:cs="宋体"/>
          <w:kern w:val="0"/>
          <w:lang w:val="zh-CN"/>
        </w:rPr>
        <w:t>名限制性股票激励对象</w:t>
      </w:r>
      <w:r>
        <w:rPr>
          <w:rFonts w:eastAsia="Times New Roman"/>
          <w:kern w:val="0"/>
          <w:lang w:val="zh-CN"/>
        </w:rPr>
        <w:t>760.70</w:t>
      </w:r>
      <w:r>
        <w:rPr>
          <w:rFonts w:hint="eastAsia" w:ascii="宋体" w:hAnsi="宋体" w:cs="宋体"/>
          <w:kern w:val="0"/>
          <w:lang w:val="zh-CN"/>
        </w:rPr>
        <w:t>万股限制性股票，授予价格为</w:t>
      </w:r>
      <w:r>
        <w:rPr>
          <w:rFonts w:eastAsia="Times New Roman"/>
          <w:kern w:val="0"/>
          <w:lang w:val="zh-CN"/>
        </w:rPr>
        <w:t>13.37</w:t>
      </w:r>
      <w:r>
        <w:rPr>
          <w:rFonts w:hint="eastAsia" w:ascii="宋体" w:hAnsi="宋体" w:cs="宋体"/>
          <w:kern w:val="0"/>
          <w:lang w:val="zh-CN"/>
        </w:rPr>
        <w:t>元每股；</w:t>
      </w:r>
      <w:r>
        <w:rPr>
          <w:rFonts w:eastAsia="Times New Roman"/>
          <w:kern w:val="0"/>
          <w:lang w:val="zh-CN"/>
        </w:rPr>
        <w:t>2017</w:t>
      </w:r>
      <w:r>
        <w:rPr>
          <w:rFonts w:hint="eastAsia" w:ascii="宋体" w:hAnsi="宋体" w:cs="宋体"/>
          <w:kern w:val="0"/>
          <w:lang w:val="zh-CN"/>
        </w:rPr>
        <w:t>年</w:t>
      </w:r>
      <w:r>
        <w:rPr>
          <w:rFonts w:eastAsia="Times New Roman"/>
          <w:kern w:val="0"/>
          <w:lang w:val="zh-CN"/>
        </w:rPr>
        <w:t>3</w:t>
      </w:r>
      <w:r>
        <w:rPr>
          <w:rFonts w:hint="eastAsia" w:ascii="宋体" w:hAnsi="宋体" w:cs="宋体"/>
          <w:kern w:val="0"/>
          <w:lang w:val="zh-CN"/>
        </w:rPr>
        <w:t>月</w:t>
      </w:r>
      <w:r>
        <w:rPr>
          <w:rFonts w:eastAsia="Times New Roman"/>
          <w:kern w:val="0"/>
          <w:lang w:val="zh-CN"/>
        </w:rPr>
        <w:t>15</w:t>
      </w:r>
      <w:r>
        <w:rPr>
          <w:rFonts w:hint="eastAsia" w:ascii="宋体" w:hAnsi="宋体" w:cs="宋体"/>
          <w:kern w:val="0"/>
          <w:lang w:val="zh-CN"/>
        </w:rPr>
        <w:t>日，公司授予</w:t>
      </w:r>
      <w:r>
        <w:rPr>
          <w:rFonts w:eastAsia="Times New Roman"/>
          <w:kern w:val="0"/>
          <w:lang w:val="zh-CN"/>
        </w:rPr>
        <w:t>6</w:t>
      </w:r>
      <w:r>
        <w:rPr>
          <w:rFonts w:hint="eastAsia" w:ascii="宋体" w:hAnsi="宋体" w:cs="宋体"/>
          <w:kern w:val="0"/>
          <w:lang w:val="zh-CN"/>
        </w:rPr>
        <w:t>名限制性股票激励对象</w:t>
      </w:r>
      <w:r>
        <w:rPr>
          <w:rFonts w:eastAsia="Times New Roman"/>
          <w:kern w:val="0"/>
          <w:lang w:val="zh-CN"/>
        </w:rPr>
        <w:t>38.80</w:t>
      </w:r>
      <w:r>
        <w:rPr>
          <w:rFonts w:hint="eastAsia" w:ascii="宋体" w:hAnsi="宋体" w:cs="宋体"/>
          <w:kern w:val="0"/>
          <w:lang w:val="zh-CN"/>
        </w:rPr>
        <w:t>万股限制性股票，授予价格为</w:t>
      </w:r>
      <w:r>
        <w:rPr>
          <w:rFonts w:eastAsia="Times New Roman"/>
          <w:kern w:val="0"/>
          <w:lang w:val="zh-CN"/>
        </w:rPr>
        <w:t>13.76</w:t>
      </w:r>
      <w:r>
        <w:rPr>
          <w:rFonts w:hint="eastAsia" w:ascii="宋体" w:hAnsi="宋体" w:cs="宋体"/>
          <w:kern w:val="0"/>
          <w:lang w:val="zh-CN"/>
        </w:rPr>
        <w:t>元每股。根据限制性股票激励计划，激励对象获授限制性股票之日起</w:t>
      </w:r>
      <w:r>
        <w:rPr>
          <w:rFonts w:eastAsia="Times New Roman"/>
          <w:kern w:val="0"/>
          <w:lang w:val="zh-CN"/>
        </w:rPr>
        <w:t>12</w:t>
      </w:r>
      <w:r>
        <w:rPr>
          <w:rFonts w:hint="eastAsia" w:ascii="宋体" w:hAnsi="宋体" w:cs="宋体"/>
          <w:kern w:val="0"/>
          <w:lang w:val="zh-CN"/>
        </w:rPr>
        <w:t>个月内为锁定期，在锁定期内，激励对象根据本激励计划获授的限制性股票（包含因该等股票取得的股票，下同）予以锁定，不得转让或用于偿还债务；锁定期满后为解锁期，本激励计划授予的限制性股票自授予日起满</w:t>
      </w:r>
      <w:r>
        <w:rPr>
          <w:rFonts w:eastAsia="Times New Roman"/>
          <w:kern w:val="0"/>
          <w:lang w:val="zh-CN"/>
        </w:rPr>
        <w:t>12</w:t>
      </w:r>
      <w:r>
        <w:rPr>
          <w:rFonts w:hint="eastAsia" w:ascii="宋体" w:hAnsi="宋体" w:cs="宋体"/>
          <w:kern w:val="0"/>
          <w:lang w:val="zh-CN"/>
        </w:rPr>
        <w:t>个月后，激励对象应在未来</w:t>
      </w:r>
      <w:r>
        <w:rPr>
          <w:rFonts w:eastAsia="Times New Roman"/>
          <w:kern w:val="0"/>
          <w:lang w:val="zh-CN"/>
        </w:rPr>
        <w:t>48</w:t>
      </w:r>
      <w:r>
        <w:rPr>
          <w:rFonts w:hint="eastAsia" w:ascii="宋体" w:hAnsi="宋体" w:cs="宋体"/>
          <w:kern w:val="0"/>
          <w:lang w:val="zh-CN"/>
        </w:rPr>
        <w:t>个月内按</w:t>
      </w:r>
      <w:r>
        <w:rPr>
          <w:rFonts w:eastAsia="Times New Roman"/>
          <w:kern w:val="0"/>
          <w:lang w:val="zh-CN"/>
        </w:rPr>
        <w:t>10%</w:t>
      </w:r>
      <w:r>
        <w:rPr>
          <w:rFonts w:hint="eastAsia" w:ascii="宋体" w:hAnsi="宋体" w:cs="宋体"/>
          <w:kern w:val="0"/>
          <w:lang w:val="zh-CN"/>
        </w:rPr>
        <w:t>、</w:t>
      </w:r>
      <w:r>
        <w:rPr>
          <w:rFonts w:eastAsia="Times New Roman"/>
          <w:kern w:val="0"/>
          <w:lang w:val="zh-CN"/>
        </w:rPr>
        <w:t>20%</w:t>
      </w:r>
      <w:r>
        <w:rPr>
          <w:rFonts w:hint="eastAsia" w:ascii="宋体" w:hAnsi="宋体" w:cs="宋体"/>
          <w:kern w:val="0"/>
          <w:lang w:val="zh-CN"/>
        </w:rPr>
        <w:t>、</w:t>
      </w:r>
      <w:r>
        <w:rPr>
          <w:rFonts w:eastAsia="Times New Roman"/>
          <w:kern w:val="0"/>
          <w:lang w:val="zh-CN"/>
        </w:rPr>
        <w:t>30%</w:t>
      </w:r>
      <w:r>
        <w:rPr>
          <w:rFonts w:hint="eastAsia" w:ascii="宋体" w:hAnsi="宋体" w:cs="宋体"/>
          <w:kern w:val="0"/>
          <w:lang w:val="zh-CN"/>
        </w:rPr>
        <w:t>、</w:t>
      </w:r>
      <w:r>
        <w:rPr>
          <w:rFonts w:eastAsia="Times New Roman"/>
          <w:kern w:val="0"/>
          <w:lang w:val="zh-CN"/>
        </w:rPr>
        <w:t>40%</w:t>
      </w:r>
      <w:r>
        <w:rPr>
          <w:rFonts w:hint="eastAsia" w:ascii="宋体" w:hAnsi="宋体" w:cs="宋体"/>
          <w:kern w:val="0"/>
          <w:lang w:val="zh-CN"/>
        </w:rPr>
        <w:t>比例解锁；预留部分在预留授予后未来</w:t>
      </w:r>
      <w:r>
        <w:rPr>
          <w:rFonts w:eastAsia="Times New Roman"/>
          <w:kern w:val="0"/>
          <w:lang w:val="zh-CN"/>
        </w:rPr>
        <w:t>48</w:t>
      </w:r>
      <w:r>
        <w:rPr>
          <w:rFonts w:hint="eastAsia" w:ascii="宋体" w:hAnsi="宋体" w:cs="宋体"/>
          <w:kern w:val="0"/>
          <w:lang w:val="zh-CN"/>
        </w:rPr>
        <w:t>个月内按</w:t>
      </w:r>
      <w:r>
        <w:rPr>
          <w:rFonts w:eastAsia="Times New Roman"/>
          <w:kern w:val="0"/>
          <w:lang w:val="zh-CN"/>
        </w:rPr>
        <w:t>10%</w:t>
      </w:r>
      <w:r>
        <w:rPr>
          <w:rFonts w:hint="eastAsia" w:ascii="宋体" w:hAnsi="宋体" w:cs="宋体"/>
          <w:kern w:val="0"/>
          <w:lang w:val="zh-CN"/>
        </w:rPr>
        <w:t>、</w:t>
      </w:r>
      <w:r>
        <w:rPr>
          <w:rFonts w:eastAsia="Times New Roman"/>
          <w:kern w:val="0"/>
          <w:lang w:val="zh-CN"/>
        </w:rPr>
        <w:t>20%</w:t>
      </w:r>
      <w:r>
        <w:rPr>
          <w:rFonts w:hint="eastAsia" w:ascii="宋体" w:hAnsi="宋体" w:cs="宋体"/>
          <w:kern w:val="0"/>
          <w:lang w:val="zh-CN"/>
        </w:rPr>
        <w:t>、</w:t>
      </w:r>
      <w:r>
        <w:rPr>
          <w:rFonts w:eastAsia="Times New Roman"/>
          <w:kern w:val="0"/>
          <w:lang w:val="zh-CN"/>
        </w:rPr>
        <w:t>30%</w:t>
      </w:r>
      <w:r>
        <w:rPr>
          <w:rFonts w:hint="eastAsia" w:ascii="宋体" w:hAnsi="宋体" w:cs="宋体"/>
          <w:kern w:val="0"/>
          <w:lang w:val="zh-CN"/>
        </w:rPr>
        <w:t>、</w:t>
      </w:r>
      <w:r>
        <w:rPr>
          <w:rFonts w:eastAsia="Times New Roman"/>
          <w:kern w:val="0"/>
          <w:lang w:val="zh-CN"/>
        </w:rPr>
        <w:t>40%</w:t>
      </w:r>
      <w:r>
        <w:rPr>
          <w:rFonts w:hint="eastAsia" w:ascii="宋体" w:hAnsi="宋体" w:cs="宋体"/>
          <w:kern w:val="0"/>
          <w:lang w:val="zh-CN"/>
        </w:rPr>
        <w:t>的比例解锁。</w:t>
      </w:r>
    </w:p>
    <w:p>
      <w:pPr>
        <w:autoSpaceDE w:val="0"/>
        <w:autoSpaceDN w:val="0"/>
        <w:adjustRightInd w:val="0"/>
        <w:spacing w:before="0" w:after="0"/>
        <w:jc w:val="left"/>
        <w:rPr>
          <w:rFonts w:eastAsia="Times New Roman"/>
          <w:kern w:val="0"/>
          <w:szCs w:val="24"/>
          <w:lang w:val="zh-CN"/>
        </w:rPr>
      </w:pPr>
    </w:p>
    <w:p>
      <w:pPr>
        <w:pStyle w:val="14"/>
        <w:outlineLvl w:val="2"/>
        <w:rPr>
          <w:bCs w:val="0"/>
          <w:szCs w:val="24"/>
        </w:rPr>
      </w:pPr>
      <w:r>
        <w:rPr>
          <w:bCs w:val="0"/>
          <w:szCs w:val="24"/>
        </w:rPr>
        <w:t>2</w:t>
      </w:r>
      <w:r>
        <w:rPr>
          <w:rFonts w:hint="eastAsia"/>
          <w:bCs w:val="0"/>
          <w:szCs w:val="24"/>
        </w:rPr>
        <w:t>、以权益结算的股份支付情况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983"/>
        <w:gridCol w:w="4585"/>
      </w:tblGrid>
      <w:tr>
        <w:tc>
          <w:tcPr>
            <w:tcW w:w="498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授予日权益工具公允价值的确定方法</w:t>
            </w:r>
          </w:p>
        </w:tc>
        <w:tc>
          <w:tcPr>
            <w:tcW w:w="458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授予日股票交易收盘价</w:t>
            </w:r>
          </w:p>
        </w:tc>
      </w:tr>
      <w:tr>
        <w:tc>
          <w:tcPr>
            <w:tcW w:w="498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可行权权益工具数量的确定依据</w:t>
            </w:r>
          </w:p>
        </w:tc>
        <w:tc>
          <w:tcPr>
            <w:tcW w:w="458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按各解锁期的业绩条件估计确定</w:t>
            </w:r>
          </w:p>
        </w:tc>
      </w:tr>
      <w:tr>
        <w:tc>
          <w:tcPr>
            <w:tcW w:w="498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本期估计与上期估计有重大差异的原因</w:t>
            </w:r>
          </w:p>
        </w:tc>
        <w:tc>
          <w:tcPr>
            <w:tcW w:w="458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无</w:t>
            </w:r>
          </w:p>
        </w:tc>
      </w:tr>
      <w:tr>
        <w:tc>
          <w:tcPr>
            <w:tcW w:w="498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以权益结算的股份支付计入资本公积的累计金额</w:t>
            </w:r>
          </w:p>
        </w:tc>
        <w:tc>
          <w:tcPr>
            <w:tcW w:w="45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19,018,764.77</w:t>
            </w:r>
          </w:p>
        </w:tc>
      </w:tr>
      <w:tr>
        <w:tc>
          <w:tcPr>
            <w:tcW w:w="498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本期以权益结算的股份支付确认的费用总额</w:t>
            </w:r>
          </w:p>
        </w:tc>
        <w:tc>
          <w:tcPr>
            <w:tcW w:w="45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-1,829,375.67</w:t>
            </w:r>
          </w:p>
        </w:tc>
      </w:tr>
    </w:tbl>
    <w:p>
      <w:pPr>
        <w:jc w:val="left"/>
        <w:rPr>
          <w:szCs w:val="24"/>
        </w:rPr>
      </w:pPr>
      <w:r>
        <w:rPr>
          <w:rFonts w:hint="eastAsia"/>
          <w:szCs w:val="24"/>
        </w:rPr>
        <w:t>其他说明</w:t>
      </w:r>
    </w:p>
    <w:p>
      <w:pPr>
        <w:pStyle w:val="14"/>
        <w:outlineLvl w:val="2"/>
        <w:rPr>
          <w:bCs w:val="0"/>
          <w:szCs w:val="24"/>
        </w:rPr>
      </w:pPr>
      <w:r>
        <w:rPr>
          <w:bCs w:val="0"/>
          <w:szCs w:val="24"/>
        </w:rPr>
        <w:t>3</w:t>
      </w:r>
      <w:r>
        <w:rPr>
          <w:rFonts w:hint="eastAsia"/>
          <w:bCs w:val="0"/>
          <w:szCs w:val="24"/>
        </w:rPr>
        <w:t>、以现金结算的股份支付情况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2"/>
        <w:rPr>
          <w:bCs w:val="0"/>
          <w:szCs w:val="24"/>
        </w:rPr>
      </w:pPr>
      <w:r>
        <w:rPr>
          <w:bCs w:val="0"/>
          <w:szCs w:val="24"/>
        </w:rPr>
        <w:t>4</w:t>
      </w:r>
      <w:r>
        <w:rPr>
          <w:rFonts w:hint="eastAsia"/>
          <w:bCs w:val="0"/>
          <w:szCs w:val="24"/>
        </w:rPr>
        <w:t>、股份支付的修改、终止情况</w:t>
      </w:r>
    </w:p>
    <w:p>
      <w:pPr>
        <w:autoSpaceDE w:val="0"/>
        <w:autoSpaceDN w:val="0"/>
        <w:adjustRightInd w:val="0"/>
        <w:spacing w:before="0" w:after="0"/>
        <w:ind w:firstLine="420"/>
        <w:rPr>
          <w:rFonts w:eastAsiaTheme="minorEastAsia"/>
          <w:kern w:val="0"/>
          <w:lang w:val="zh-CN"/>
        </w:rPr>
      </w:pPr>
      <w:r>
        <w:rPr>
          <w:rFonts w:hint="eastAsia" w:ascii="宋体" w:hAnsi="宋体" w:cs="宋体"/>
          <w:kern w:val="0"/>
          <w:lang w:val="zh-CN"/>
        </w:rPr>
        <w:t>本期股份支付事项未修改，且未终止。</w:t>
      </w:r>
    </w:p>
    <w:p>
      <w:pPr>
        <w:pStyle w:val="14"/>
        <w:outlineLvl w:val="2"/>
        <w:rPr>
          <w:bCs w:val="0"/>
          <w:szCs w:val="24"/>
        </w:rPr>
      </w:pPr>
      <w:r>
        <w:rPr>
          <w:bCs w:val="0"/>
          <w:szCs w:val="24"/>
        </w:rPr>
        <w:t>5</w:t>
      </w:r>
      <w:r>
        <w:rPr>
          <w:rFonts w:hint="eastAsia"/>
          <w:bCs w:val="0"/>
          <w:szCs w:val="24"/>
        </w:rPr>
        <w:t>、其他</w:t>
      </w:r>
    </w:p>
    <w:p>
      <w:pPr>
        <w:pStyle w:val="13"/>
        <w:outlineLvl w:val="1"/>
        <w:rPr>
          <w:bCs w:val="0"/>
        </w:rPr>
      </w:pPr>
      <w:r>
        <w:rPr>
          <w:rFonts w:hint="eastAsia"/>
          <w:bCs w:val="0"/>
        </w:rPr>
        <w:t>十四、承诺及或有事项</w:t>
      </w:r>
    </w:p>
    <w:p>
      <w:pPr>
        <w:pStyle w:val="14"/>
        <w:outlineLvl w:val="2"/>
        <w:rPr>
          <w:bCs w:val="0"/>
          <w:szCs w:val="24"/>
        </w:rPr>
      </w:pPr>
      <w:r>
        <w:rPr>
          <w:bCs w:val="0"/>
          <w:szCs w:val="24"/>
        </w:rPr>
        <w:t>1</w:t>
      </w:r>
      <w:r>
        <w:rPr>
          <w:rFonts w:hint="eastAsia"/>
          <w:bCs w:val="0"/>
          <w:szCs w:val="24"/>
        </w:rPr>
        <w:t>、重要承诺事项</w:t>
      </w:r>
    </w:p>
    <w:p>
      <w:pPr>
        <w:jc w:val="left"/>
        <w:rPr>
          <w:szCs w:val="24"/>
        </w:rPr>
      </w:pPr>
      <w:r>
        <w:rPr>
          <w:rFonts w:hint="eastAsia"/>
          <w:szCs w:val="24"/>
        </w:rPr>
        <w:t>资产负债表日存在的重要承诺</w:t>
      </w:r>
    </w:p>
    <w:p>
      <w:pPr>
        <w:autoSpaceDE w:val="0"/>
        <w:autoSpaceDN w:val="0"/>
        <w:adjustRightInd w:val="0"/>
        <w:spacing w:before="0" w:after="0"/>
        <w:ind w:firstLine="360" w:firstLineChars="200"/>
        <w:rPr>
          <w:rFonts w:eastAsia="Times New Roman"/>
          <w:b/>
          <w:kern w:val="0"/>
          <w:lang w:val="zh-CN"/>
        </w:rPr>
      </w:pPr>
      <w:r>
        <w:rPr>
          <w:rFonts w:eastAsia="Times New Roman"/>
          <w:b/>
          <w:kern w:val="0"/>
          <w:lang w:val="zh-CN"/>
        </w:rPr>
        <w:t>1</w:t>
      </w:r>
      <w:r>
        <w:rPr>
          <w:rFonts w:hint="eastAsia" w:ascii="宋体" w:hAnsi="宋体" w:cs="宋体"/>
          <w:b/>
          <w:kern w:val="0"/>
          <w:lang w:val="zh-CN"/>
        </w:rPr>
        <w:t>、已签订的尚未履行或尚未完全履行的对外投资合同及有关财务支出</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w:t>
      </w:r>
      <w:r>
        <w:rPr>
          <w:rFonts w:eastAsia="Times New Roman"/>
          <w:kern w:val="0"/>
          <w:lang w:val="zh-CN"/>
        </w:rPr>
        <w:t>1</w:t>
      </w:r>
      <w:r>
        <w:rPr>
          <w:rFonts w:hint="eastAsia" w:ascii="宋体" w:hAnsi="宋体" w:cs="宋体"/>
          <w:kern w:val="0"/>
          <w:lang w:val="zh-CN"/>
        </w:rPr>
        <w:t>）</w:t>
      </w:r>
      <w:r>
        <w:rPr>
          <w:rFonts w:eastAsia="Times New Roman"/>
          <w:kern w:val="0"/>
          <w:lang w:val="zh-CN"/>
        </w:rPr>
        <w:t>2015</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29</w:t>
      </w:r>
      <w:r>
        <w:rPr>
          <w:rFonts w:hint="eastAsia" w:ascii="宋体" w:hAnsi="宋体" w:cs="宋体"/>
          <w:kern w:val="0"/>
          <w:lang w:val="zh-CN"/>
        </w:rPr>
        <w:t>日，公司与自然人刘杰、吴义良、叶仕海、余壮立等签署了《关于设立内蒙古美康生物科技有限公司（暂定名）之投资合作协议书》。公司拟与刘杰、吴义良、叶仕海、余壮立在内蒙古设立内蒙古美康生物科技有限公司（以下简称</w:t>
      </w:r>
      <w:r>
        <w:rPr>
          <w:rFonts w:eastAsia="Times New Roman"/>
          <w:kern w:val="0"/>
          <w:lang w:val="zh-CN"/>
        </w:rPr>
        <w:t>“</w:t>
      </w:r>
      <w:r>
        <w:rPr>
          <w:rFonts w:hint="eastAsia" w:ascii="宋体" w:hAnsi="宋体" w:cs="宋体"/>
          <w:kern w:val="0"/>
          <w:lang w:val="zh-CN"/>
        </w:rPr>
        <w:t>内蒙古美康</w:t>
      </w:r>
      <w:r>
        <w:rPr>
          <w:rFonts w:eastAsia="Times New Roman"/>
          <w:kern w:val="0"/>
          <w:lang w:val="zh-CN"/>
        </w:rPr>
        <w:t>”</w:t>
      </w:r>
      <w:r>
        <w:rPr>
          <w:rFonts w:hint="eastAsia" w:ascii="宋体" w:hAnsi="宋体" w:cs="宋体"/>
          <w:kern w:val="0"/>
          <w:lang w:val="zh-CN"/>
        </w:rPr>
        <w:t>），拟接续和收购内蒙古圣泰科技发展有限公司、深圳市新视角科技有限公司、深圳市竞方实业发展有限公司（以下简称</w:t>
      </w:r>
      <w:r>
        <w:rPr>
          <w:rFonts w:eastAsia="Times New Roman"/>
          <w:kern w:val="0"/>
          <w:lang w:val="zh-CN"/>
        </w:rPr>
        <w:t>“</w:t>
      </w:r>
      <w:r>
        <w:rPr>
          <w:rFonts w:hint="eastAsia" w:ascii="宋体" w:hAnsi="宋体" w:cs="宋体"/>
          <w:kern w:val="0"/>
          <w:lang w:val="zh-CN"/>
        </w:rPr>
        <w:t>乙方</w:t>
      </w:r>
      <w:r>
        <w:rPr>
          <w:rFonts w:eastAsia="Times New Roman"/>
          <w:kern w:val="0"/>
          <w:lang w:val="zh-CN"/>
        </w:rPr>
        <w:t>”</w:t>
      </w:r>
      <w:r>
        <w:rPr>
          <w:rFonts w:hint="eastAsia" w:ascii="宋体" w:hAnsi="宋体" w:cs="宋体"/>
          <w:kern w:val="0"/>
          <w:lang w:val="zh-CN"/>
        </w:rPr>
        <w:t>）的体外检验医疗器械经营业务及相关资产。内蒙古美康注册资本为人民币</w:t>
      </w:r>
      <w:r>
        <w:rPr>
          <w:rFonts w:eastAsia="Times New Roman"/>
          <w:kern w:val="0"/>
          <w:lang w:val="zh-CN"/>
        </w:rPr>
        <w:t>700</w:t>
      </w:r>
      <w:r>
        <w:rPr>
          <w:rFonts w:hint="eastAsia" w:ascii="宋体" w:hAnsi="宋体" w:cs="宋体"/>
          <w:kern w:val="0"/>
          <w:lang w:val="zh-CN"/>
        </w:rPr>
        <w:t>万元，由公司认缴注册资本人民币</w:t>
      </w:r>
      <w:r>
        <w:rPr>
          <w:rFonts w:eastAsia="Times New Roman"/>
          <w:kern w:val="0"/>
          <w:lang w:val="zh-CN"/>
        </w:rPr>
        <w:t>357</w:t>
      </w:r>
      <w:r>
        <w:rPr>
          <w:rFonts w:hint="eastAsia" w:ascii="宋体" w:hAnsi="宋体" w:cs="宋体"/>
          <w:kern w:val="0"/>
          <w:lang w:val="zh-CN"/>
        </w:rPr>
        <w:t>万元，占注册资本总额的</w:t>
      </w:r>
      <w:r>
        <w:rPr>
          <w:rFonts w:eastAsia="Times New Roman"/>
          <w:kern w:val="0"/>
          <w:lang w:val="zh-CN"/>
        </w:rPr>
        <w:t>51%</w:t>
      </w:r>
      <w:r>
        <w:rPr>
          <w:rFonts w:hint="eastAsia" w:ascii="宋体" w:hAnsi="宋体" w:cs="宋体"/>
          <w:kern w:val="0"/>
          <w:lang w:val="zh-CN"/>
        </w:rPr>
        <w:t>；刘杰先生认缴注册资本人民币</w:t>
      </w:r>
      <w:r>
        <w:rPr>
          <w:rFonts w:eastAsia="Times New Roman"/>
          <w:kern w:val="0"/>
          <w:lang w:val="zh-CN"/>
        </w:rPr>
        <w:t>85.75</w:t>
      </w:r>
      <w:r>
        <w:rPr>
          <w:rFonts w:hint="eastAsia" w:ascii="宋体" w:hAnsi="宋体" w:cs="宋体"/>
          <w:kern w:val="0"/>
          <w:lang w:val="zh-CN"/>
        </w:rPr>
        <w:t>万元，占注册资本总额的</w:t>
      </w:r>
      <w:r>
        <w:rPr>
          <w:rFonts w:eastAsia="Times New Roman"/>
          <w:kern w:val="0"/>
          <w:lang w:val="zh-CN"/>
        </w:rPr>
        <w:t>12.25%</w:t>
      </w:r>
      <w:r>
        <w:rPr>
          <w:rFonts w:hint="eastAsia" w:ascii="宋体" w:hAnsi="宋体" w:cs="宋体"/>
          <w:kern w:val="0"/>
          <w:lang w:val="zh-CN"/>
        </w:rPr>
        <w:t>；叶仕海先生认缴注册资本人民币</w:t>
      </w:r>
      <w:r>
        <w:rPr>
          <w:rFonts w:eastAsia="Times New Roman"/>
          <w:kern w:val="0"/>
          <w:lang w:val="zh-CN"/>
        </w:rPr>
        <w:t>85.75</w:t>
      </w:r>
      <w:r>
        <w:rPr>
          <w:rFonts w:hint="eastAsia" w:ascii="宋体" w:hAnsi="宋体" w:cs="宋体"/>
          <w:kern w:val="0"/>
          <w:lang w:val="zh-CN"/>
        </w:rPr>
        <w:t>万元，占注册资本总额的</w:t>
      </w:r>
      <w:r>
        <w:rPr>
          <w:rFonts w:eastAsia="Times New Roman"/>
          <w:kern w:val="0"/>
          <w:lang w:val="zh-CN"/>
        </w:rPr>
        <w:t>12.25%</w:t>
      </w:r>
      <w:r>
        <w:rPr>
          <w:rFonts w:hint="eastAsia" w:ascii="宋体" w:hAnsi="宋体" w:cs="宋体"/>
          <w:kern w:val="0"/>
          <w:lang w:val="zh-CN"/>
        </w:rPr>
        <w:t>；吴义良认缴注册资本人民币</w:t>
      </w:r>
      <w:r>
        <w:rPr>
          <w:rFonts w:eastAsia="Times New Roman"/>
          <w:kern w:val="0"/>
          <w:lang w:val="zh-CN"/>
        </w:rPr>
        <w:t>85.75</w:t>
      </w:r>
      <w:r>
        <w:rPr>
          <w:rFonts w:hint="eastAsia" w:ascii="宋体" w:hAnsi="宋体" w:cs="宋体"/>
          <w:kern w:val="0"/>
          <w:lang w:val="zh-CN"/>
        </w:rPr>
        <w:t>万元，占注册资本总额的</w:t>
      </w:r>
      <w:r>
        <w:rPr>
          <w:rFonts w:eastAsia="Times New Roman"/>
          <w:kern w:val="0"/>
          <w:lang w:val="zh-CN"/>
        </w:rPr>
        <w:t xml:space="preserve"> 12.25%</w:t>
      </w:r>
      <w:r>
        <w:rPr>
          <w:rFonts w:hint="eastAsia" w:ascii="宋体" w:hAnsi="宋体" w:cs="宋体"/>
          <w:kern w:val="0"/>
          <w:lang w:val="zh-CN"/>
        </w:rPr>
        <w:t>；余壮立认缴注册资本人民币</w:t>
      </w:r>
      <w:r>
        <w:rPr>
          <w:rFonts w:eastAsia="Times New Roman"/>
          <w:kern w:val="0"/>
          <w:lang w:val="zh-CN"/>
        </w:rPr>
        <w:t>85.75</w:t>
      </w:r>
      <w:r>
        <w:rPr>
          <w:rFonts w:hint="eastAsia" w:ascii="宋体" w:hAnsi="宋体" w:cs="宋体"/>
          <w:kern w:val="0"/>
          <w:lang w:val="zh-CN"/>
        </w:rPr>
        <w:t>万元，占注册资本总额的</w:t>
      </w:r>
      <w:r>
        <w:rPr>
          <w:rFonts w:eastAsia="Times New Roman"/>
          <w:kern w:val="0"/>
          <w:lang w:val="zh-CN"/>
        </w:rPr>
        <w:t>12.25%</w:t>
      </w:r>
      <w:r>
        <w:rPr>
          <w:rFonts w:hint="eastAsia" w:ascii="宋体" w:hAnsi="宋体" w:cs="宋体"/>
          <w:kern w:val="0"/>
          <w:lang w:val="zh-CN"/>
        </w:rPr>
        <w:t>。双方应在本协议签署完成后的</w:t>
      </w:r>
      <w:r>
        <w:rPr>
          <w:rFonts w:eastAsia="Times New Roman"/>
          <w:kern w:val="0"/>
          <w:lang w:val="zh-CN"/>
        </w:rPr>
        <w:t>30</w:t>
      </w:r>
      <w:r>
        <w:rPr>
          <w:rFonts w:hint="eastAsia" w:ascii="宋体" w:hAnsi="宋体" w:cs="宋体"/>
          <w:kern w:val="0"/>
          <w:lang w:val="zh-CN"/>
        </w:rPr>
        <w:t>个工作日完成内蒙古美康的注册及资本缴纳。因内蒙古美康需承接乙方的业务，公司同意双方成立合资公司后补偿刘杰、吴义良、叶仕海、余壮立共计人民币</w:t>
      </w:r>
      <w:r>
        <w:rPr>
          <w:rFonts w:eastAsia="Times New Roman"/>
          <w:kern w:val="0"/>
          <w:lang w:val="zh-CN"/>
        </w:rPr>
        <w:t>1,071</w:t>
      </w:r>
      <w:r>
        <w:rPr>
          <w:rFonts w:hint="eastAsia" w:ascii="宋体" w:hAnsi="宋体" w:cs="宋体"/>
          <w:kern w:val="0"/>
          <w:lang w:val="zh-CN"/>
        </w:rPr>
        <w:t>万元，在内蒙古美康成立并取得经营许可证之日起十个工作日内支付交易对价</w:t>
      </w:r>
      <w:r>
        <w:rPr>
          <w:rFonts w:eastAsia="Times New Roman"/>
          <w:kern w:val="0"/>
          <w:lang w:val="zh-CN"/>
        </w:rPr>
        <w:t>214.2</w:t>
      </w:r>
      <w:r>
        <w:rPr>
          <w:rFonts w:hint="eastAsia" w:ascii="宋体" w:hAnsi="宋体" w:cs="宋体"/>
          <w:kern w:val="0"/>
          <w:lang w:val="zh-CN"/>
        </w:rPr>
        <w:t>万元，余下的</w:t>
      </w:r>
      <w:r>
        <w:rPr>
          <w:rFonts w:eastAsia="Times New Roman"/>
          <w:kern w:val="0"/>
          <w:lang w:val="zh-CN"/>
        </w:rPr>
        <w:t>856.8</w:t>
      </w:r>
      <w:r>
        <w:rPr>
          <w:rFonts w:hint="eastAsia" w:ascii="宋体" w:hAnsi="宋体" w:cs="宋体"/>
          <w:kern w:val="0"/>
          <w:lang w:val="zh-CN"/>
        </w:rPr>
        <w:t>万元分别在</w:t>
      </w:r>
      <w:r>
        <w:rPr>
          <w:rFonts w:eastAsia="Times New Roman"/>
          <w:kern w:val="0"/>
          <w:lang w:val="zh-CN"/>
        </w:rPr>
        <w:t>2017</w:t>
      </w:r>
      <w:r>
        <w:rPr>
          <w:rFonts w:hint="eastAsia" w:ascii="宋体" w:hAnsi="宋体" w:cs="宋体"/>
          <w:kern w:val="0"/>
          <w:lang w:val="zh-CN"/>
        </w:rPr>
        <w:t>年</w:t>
      </w:r>
      <w:r>
        <w:rPr>
          <w:rFonts w:eastAsia="Times New Roman"/>
          <w:kern w:val="0"/>
          <w:lang w:val="zh-CN"/>
        </w:rPr>
        <w:t>3</w:t>
      </w:r>
      <w:r>
        <w:rPr>
          <w:rFonts w:hint="eastAsia" w:ascii="宋体" w:hAnsi="宋体" w:cs="宋体"/>
          <w:kern w:val="0"/>
          <w:lang w:val="zh-CN"/>
        </w:rPr>
        <w:t>月、</w:t>
      </w:r>
      <w:r>
        <w:rPr>
          <w:rFonts w:eastAsia="Times New Roman"/>
          <w:kern w:val="0"/>
          <w:lang w:val="zh-CN"/>
        </w:rPr>
        <w:t>2018</w:t>
      </w:r>
      <w:r>
        <w:rPr>
          <w:rFonts w:hint="eastAsia" w:ascii="宋体" w:hAnsi="宋体" w:cs="宋体"/>
          <w:kern w:val="0"/>
          <w:lang w:val="zh-CN"/>
        </w:rPr>
        <w:t>年</w:t>
      </w:r>
      <w:r>
        <w:rPr>
          <w:rFonts w:eastAsia="Times New Roman"/>
          <w:kern w:val="0"/>
          <w:lang w:val="zh-CN"/>
        </w:rPr>
        <w:t>3</w:t>
      </w:r>
      <w:r>
        <w:rPr>
          <w:rFonts w:hint="eastAsia" w:ascii="宋体" w:hAnsi="宋体" w:cs="宋体"/>
          <w:kern w:val="0"/>
          <w:lang w:val="zh-CN"/>
        </w:rPr>
        <w:t>月、</w:t>
      </w:r>
      <w:r>
        <w:rPr>
          <w:rFonts w:eastAsia="Times New Roman"/>
          <w:kern w:val="0"/>
          <w:lang w:val="zh-CN"/>
        </w:rPr>
        <w:t>2019</w:t>
      </w:r>
      <w:r>
        <w:rPr>
          <w:rFonts w:hint="eastAsia" w:ascii="宋体" w:hAnsi="宋体" w:cs="宋体"/>
          <w:kern w:val="0"/>
          <w:lang w:val="zh-CN"/>
        </w:rPr>
        <w:t>年</w:t>
      </w:r>
      <w:r>
        <w:rPr>
          <w:rFonts w:eastAsia="Times New Roman"/>
          <w:kern w:val="0"/>
          <w:lang w:val="zh-CN"/>
        </w:rPr>
        <w:t>3</w:t>
      </w:r>
      <w:r>
        <w:rPr>
          <w:rFonts w:hint="eastAsia" w:ascii="宋体" w:hAnsi="宋体" w:cs="宋体"/>
          <w:kern w:val="0"/>
          <w:lang w:val="zh-CN"/>
        </w:rPr>
        <w:t>月分三次支付，每次支付交易对价</w:t>
      </w:r>
      <w:r>
        <w:rPr>
          <w:rFonts w:eastAsia="Times New Roman"/>
          <w:kern w:val="0"/>
          <w:lang w:val="zh-CN"/>
        </w:rPr>
        <w:t>285.6</w:t>
      </w:r>
      <w:r>
        <w:rPr>
          <w:rFonts w:hint="eastAsia" w:ascii="宋体" w:hAnsi="宋体" w:cs="宋体"/>
          <w:kern w:val="0"/>
          <w:lang w:val="zh-CN"/>
        </w:rPr>
        <w:t>万元（在支付时内蒙古美康必须已完成相关合作方承诺的上年度利润指标或公司收到相关合作方支付的未完成上年度利润指标的补偿款）。</w:t>
      </w:r>
      <w:r>
        <w:rPr>
          <w:rFonts w:eastAsia="Times New Roman"/>
          <w:kern w:val="0"/>
          <w:lang w:val="zh-CN"/>
        </w:rPr>
        <w:t>2016</w:t>
      </w:r>
      <w:r>
        <w:rPr>
          <w:rFonts w:hint="eastAsia" w:ascii="宋体" w:hAnsi="宋体" w:cs="宋体"/>
          <w:kern w:val="0"/>
          <w:lang w:val="zh-CN"/>
        </w:rPr>
        <w:t>年</w:t>
      </w:r>
      <w:r>
        <w:rPr>
          <w:rFonts w:eastAsia="Times New Roman"/>
          <w:kern w:val="0"/>
          <w:lang w:val="zh-CN"/>
        </w:rPr>
        <w:t>2</w:t>
      </w:r>
      <w:r>
        <w:rPr>
          <w:rFonts w:hint="eastAsia" w:ascii="宋体" w:hAnsi="宋体" w:cs="宋体"/>
          <w:kern w:val="0"/>
          <w:lang w:val="zh-CN"/>
        </w:rPr>
        <w:t>月</w:t>
      </w:r>
      <w:r>
        <w:rPr>
          <w:rFonts w:eastAsia="Times New Roman"/>
          <w:kern w:val="0"/>
          <w:lang w:val="zh-CN"/>
        </w:rPr>
        <w:t>1</w:t>
      </w:r>
      <w:r>
        <w:rPr>
          <w:rFonts w:hint="eastAsia" w:ascii="宋体" w:hAnsi="宋体" w:cs="宋体"/>
          <w:kern w:val="0"/>
          <w:lang w:val="zh-CN"/>
        </w:rPr>
        <w:t>日，公司与自然人刘杰、吴义良、叶仕海、余壮立投资设立内蒙古盛德医疗器械有限公司。截止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日，内蒙古盛德医疗器械有限公司实收资本为</w:t>
      </w:r>
      <w:r>
        <w:rPr>
          <w:rFonts w:eastAsia="Times New Roman"/>
          <w:kern w:val="0"/>
          <w:lang w:val="zh-CN"/>
        </w:rPr>
        <w:t>700.00</w:t>
      </w:r>
      <w:r>
        <w:rPr>
          <w:rFonts w:hint="eastAsia" w:ascii="宋体" w:hAnsi="宋体" w:cs="宋体"/>
          <w:kern w:val="0"/>
          <w:lang w:val="zh-CN"/>
        </w:rPr>
        <w:t>万元，</w:t>
      </w:r>
      <w:r>
        <w:rPr>
          <w:rFonts w:eastAsia="Times New Roman"/>
          <w:kern w:val="0"/>
          <w:lang w:val="zh-CN"/>
        </w:rPr>
        <w:t>2016</w:t>
      </w:r>
      <w:r>
        <w:rPr>
          <w:rFonts w:hint="eastAsia" w:ascii="宋体" w:hAnsi="宋体" w:cs="宋体"/>
          <w:kern w:val="0"/>
          <w:lang w:val="zh-CN"/>
        </w:rPr>
        <w:t>年度实现净利润为</w:t>
      </w:r>
      <w:r>
        <w:rPr>
          <w:rFonts w:eastAsia="Times New Roman"/>
          <w:kern w:val="0"/>
          <w:lang w:val="zh-CN"/>
        </w:rPr>
        <w:t>418.89</w:t>
      </w:r>
      <w:r>
        <w:rPr>
          <w:rFonts w:hint="eastAsia" w:ascii="宋体" w:hAnsi="宋体" w:cs="宋体"/>
          <w:kern w:val="0"/>
          <w:lang w:val="zh-CN"/>
        </w:rPr>
        <w:t>万元，</w:t>
      </w:r>
      <w:r>
        <w:rPr>
          <w:rFonts w:eastAsia="Times New Roman"/>
          <w:kern w:val="0"/>
          <w:lang w:val="zh-CN"/>
        </w:rPr>
        <w:t>2017</w:t>
      </w:r>
      <w:r>
        <w:rPr>
          <w:rFonts w:hint="eastAsia" w:ascii="宋体" w:hAnsi="宋体" w:cs="宋体"/>
          <w:kern w:val="0"/>
          <w:lang w:val="zh-CN"/>
        </w:rPr>
        <w:t>年度实现的净利润为</w:t>
      </w:r>
      <w:r>
        <w:rPr>
          <w:rFonts w:eastAsia="Times New Roman"/>
          <w:kern w:val="0"/>
          <w:lang w:val="zh-CN"/>
        </w:rPr>
        <w:t>499.54</w:t>
      </w:r>
      <w:r>
        <w:rPr>
          <w:rFonts w:hint="eastAsia" w:ascii="宋体" w:hAnsi="宋体" w:cs="宋体"/>
          <w:kern w:val="0"/>
          <w:lang w:val="zh-CN"/>
        </w:rPr>
        <w:t>万元，</w:t>
      </w:r>
      <w:r>
        <w:rPr>
          <w:rFonts w:eastAsia="Times New Roman"/>
          <w:kern w:val="0"/>
          <w:lang w:val="zh-CN"/>
        </w:rPr>
        <w:t>2018</w:t>
      </w:r>
      <w:r>
        <w:rPr>
          <w:rFonts w:hint="eastAsia" w:ascii="宋体" w:hAnsi="宋体" w:cs="宋体"/>
          <w:kern w:val="0"/>
          <w:lang w:val="zh-CN"/>
        </w:rPr>
        <w:t>年度实现的净利润为</w:t>
      </w:r>
      <w:r>
        <w:rPr>
          <w:rFonts w:eastAsia="Times New Roman"/>
          <w:kern w:val="0"/>
          <w:lang w:val="zh-CN"/>
        </w:rPr>
        <w:t>702.05</w:t>
      </w:r>
      <w:r>
        <w:rPr>
          <w:rFonts w:hint="eastAsia" w:ascii="宋体" w:hAnsi="宋体" w:cs="宋体"/>
          <w:kern w:val="0"/>
          <w:lang w:val="zh-CN"/>
        </w:rPr>
        <w:t>万元。</w:t>
      </w:r>
      <w:r>
        <w:rPr>
          <w:rFonts w:hint="eastAsia" w:ascii="宋体" w:hAnsi="宋体" w:cs="宋体"/>
          <w:kern w:val="0"/>
          <w:highlight w:val="white"/>
          <w:lang w:val="zh-CN"/>
        </w:rPr>
        <w:t>截止</w:t>
      </w:r>
      <w:r>
        <w:rPr>
          <w:rFonts w:eastAsia="Times New Roman"/>
          <w:kern w:val="0"/>
          <w:highlight w:val="white"/>
          <w:lang w:val="zh-CN"/>
        </w:rPr>
        <w:t>2020</w:t>
      </w:r>
      <w:r>
        <w:rPr>
          <w:rFonts w:hint="eastAsia" w:ascii="宋体" w:hAnsi="宋体" w:cs="宋体"/>
          <w:kern w:val="0"/>
          <w:highlight w:val="white"/>
          <w:lang w:val="zh-CN"/>
        </w:rPr>
        <w:t>年</w:t>
      </w:r>
      <w:r>
        <w:rPr>
          <w:rFonts w:eastAsia="Times New Roman"/>
          <w:kern w:val="0"/>
          <w:highlight w:val="white"/>
          <w:lang w:val="zh-CN"/>
        </w:rPr>
        <w:t>4</w:t>
      </w:r>
      <w:r>
        <w:rPr>
          <w:rFonts w:hint="eastAsia" w:ascii="宋体" w:hAnsi="宋体" w:cs="宋体"/>
          <w:kern w:val="0"/>
          <w:highlight w:val="white"/>
          <w:lang w:val="zh-CN"/>
        </w:rPr>
        <w:t>月</w:t>
      </w:r>
      <w:r>
        <w:rPr>
          <w:rFonts w:eastAsia="Times New Roman"/>
          <w:kern w:val="0"/>
          <w:highlight w:val="white"/>
          <w:lang w:val="zh-CN"/>
        </w:rPr>
        <w:t>27</w:t>
      </w:r>
      <w:r>
        <w:rPr>
          <w:rFonts w:hint="eastAsia" w:ascii="宋体" w:hAnsi="宋体" w:cs="宋体"/>
          <w:kern w:val="0"/>
          <w:highlight w:val="white"/>
          <w:lang w:val="zh-CN"/>
        </w:rPr>
        <w:t>日，公司累计已向刘杰、吴义良、叶仕海、余壮立等支付了人民币</w:t>
      </w:r>
      <w:r>
        <w:rPr>
          <w:rFonts w:eastAsia="Times New Roman"/>
          <w:kern w:val="0"/>
          <w:highlight w:val="white"/>
          <w:lang w:val="zh-CN"/>
        </w:rPr>
        <w:t>785.40</w:t>
      </w:r>
      <w:r>
        <w:rPr>
          <w:rFonts w:hint="eastAsia" w:ascii="宋体" w:hAnsi="宋体" w:cs="宋体"/>
          <w:kern w:val="0"/>
          <w:highlight w:val="white"/>
          <w:lang w:val="zh-CN"/>
        </w:rPr>
        <w:t>万元的收购对价，尚余</w:t>
      </w:r>
      <w:r>
        <w:rPr>
          <w:rFonts w:eastAsia="Times New Roman"/>
          <w:kern w:val="0"/>
          <w:highlight w:val="white"/>
          <w:lang w:val="zh-CN"/>
        </w:rPr>
        <w:t>285.60</w:t>
      </w:r>
      <w:r>
        <w:rPr>
          <w:rFonts w:hint="eastAsia" w:ascii="宋体" w:hAnsi="宋体" w:cs="宋体"/>
          <w:kern w:val="0"/>
          <w:highlight w:val="white"/>
          <w:lang w:val="zh-CN"/>
        </w:rPr>
        <w:t>万元暂未支付。</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w:t>
      </w:r>
      <w:r>
        <w:rPr>
          <w:rFonts w:eastAsia="Times New Roman"/>
          <w:kern w:val="0"/>
          <w:lang w:val="zh-CN"/>
        </w:rPr>
        <w:t>2</w:t>
      </w:r>
      <w:r>
        <w:rPr>
          <w:rFonts w:hint="eastAsia" w:ascii="宋体" w:hAnsi="宋体" w:cs="宋体"/>
          <w:kern w:val="0"/>
          <w:lang w:val="zh-CN"/>
        </w:rPr>
        <w:t>）</w:t>
      </w:r>
      <w:r>
        <w:rPr>
          <w:rFonts w:eastAsia="Times New Roman"/>
          <w:kern w:val="0"/>
          <w:lang w:val="zh-CN"/>
        </w:rPr>
        <w:t>2016</w:t>
      </w:r>
      <w:r>
        <w:rPr>
          <w:rFonts w:hint="eastAsia" w:ascii="宋体" w:hAnsi="宋体" w:cs="宋体"/>
          <w:kern w:val="0"/>
          <w:lang w:val="zh-CN"/>
        </w:rPr>
        <w:t>年</w:t>
      </w:r>
      <w:r>
        <w:rPr>
          <w:rFonts w:eastAsia="Times New Roman"/>
          <w:kern w:val="0"/>
          <w:lang w:val="zh-CN"/>
        </w:rPr>
        <w:t>10</w:t>
      </w:r>
      <w:r>
        <w:rPr>
          <w:rFonts w:hint="eastAsia" w:ascii="宋体" w:hAnsi="宋体" w:cs="宋体"/>
          <w:kern w:val="0"/>
          <w:lang w:val="zh-CN"/>
        </w:rPr>
        <w:t>月</w:t>
      </w:r>
      <w:r>
        <w:rPr>
          <w:rFonts w:eastAsia="Times New Roman"/>
          <w:kern w:val="0"/>
          <w:lang w:val="zh-CN"/>
        </w:rPr>
        <w:t>11</w:t>
      </w:r>
      <w:r>
        <w:rPr>
          <w:rFonts w:hint="eastAsia" w:ascii="宋体" w:hAnsi="宋体" w:cs="宋体"/>
          <w:kern w:val="0"/>
          <w:lang w:val="zh-CN"/>
        </w:rPr>
        <w:t>日，公司与武汉市和美科技发展有限公司（以下简称</w:t>
      </w:r>
      <w:r>
        <w:rPr>
          <w:rFonts w:eastAsia="Times New Roman"/>
          <w:kern w:val="0"/>
          <w:lang w:val="zh-CN"/>
        </w:rPr>
        <w:t>“</w:t>
      </w:r>
      <w:r>
        <w:rPr>
          <w:rFonts w:hint="eastAsia" w:ascii="宋体" w:hAnsi="宋体" w:cs="宋体"/>
          <w:kern w:val="0"/>
          <w:lang w:val="zh-CN"/>
        </w:rPr>
        <w:t>武汉和美</w:t>
      </w:r>
      <w:r>
        <w:rPr>
          <w:rFonts w:eastAsia="Times New Roman"/>
          <w:kern w:val="0"/>
          <w:lang w:val="zh-CN"/>
        </w:rPr>
        <w:t>”</w:t>
      </w:r>
      <w:r>
        <w:rPr>
          <w:rFonts w:hint="eastAsia" w:ascii="宋体" w:hAnsi="宋体" w:cs="宋体"/>
          <w:kern w:val="0"/>
          <w:lang w:val="zh-CN"/>
        </w:rPr>
        <w:t>或</w:t>
      </w:r>
      <w:r>
        <w:rPr>
          <w:rFonts w:eastAsia="Times New Roman"/>
          <w:kern w:val="0"/>
          <w:lang w:val="zh-CN"/>
        </w:rPr>
        <w:t>“</w:t>
      </w:r>
      <w:r>
        <w:rPr>
          <w:rFonts w:hint="eastAsia" w:ascii="宋体" w:hAnsi="宋体" w:cs="宋体"/>
          <w:kern w:val="0"/>
          <w:lang w:val="zh-CN"/>
        </w:rPr>
        <w:t>乙方一</w:t>
      </w:r>
      <w:r>
        <w:rPr>
          <w:rFonts w:eastAsia="Times New Roman"/>
          <w:kern w:val="0"/>
          <w:lang w:val="zh-CN"/>
        </w:rPr>
        <w:t>”</w:t>
      </w:r>
      <w:r>
        <w:rPr>
          <w:rFonts w:hint="eastAsia" w:ascii="宋体" w:hAnsi="宋体" w:cs="宋体"/>
          <w:kern w:val="0"/>
          <w:lang w:val="zh-CN"/>
        </w:rPr>
        <w:t>）、武汉安合瑞科技有限公司（以下简称</w:t>
      </w:r>
      <w:r>
        <w:rPr>
          <w:rFonts w:eastAsia="Times New Roman"/>
          <w:kern w:val="0"/>
          <w:lang w:val="zh-CN"/>
        </w:rPr>
        <w:t>“</w:t>
      </w:r>
      <w:r>
        <w:rPr>
          <w:rFonts w:hint="eastAsia" w:ascii="宋体" w:hAnsi="宋体" w:cs="宋体"/>
          <w:kern w:val="0"/>
          <w:lang w:val="zh-CN"/>
        </w:rPr>
        <w:t>安合瑞</w:t>
      </w:r>
      <w:r>
        <w:rPr>
          <w:rFonts w:eastAsia="Times New Roman"/>
          <w:kern w:val="0"/>
          <w:lang w:val="zh-CN"/>
        </w:rPr>
        <w:t>”</w:t>
      </w:r>
      <w:r>
        <w:rPr>
          <w:rFonts w:hint="eastAsia" w:ascii="宋体" w:hAnsi="宋体" w:cs="宋体"/>
          <w:kern w:val="0"/>
          <w:lang w:val="zh-CN"/>
        </w:rPr>
        <w:t>或</w:t>
      </w:r>
      <w:r>
        <w:rPr>
          <w:rFonts w:eastAsia="Times New Roman"/>
          <w:kern w:val="0"/>
          <w:lang w:val="zh-CN"/>
        </w:rPr>
        <w:t>“</w:t>
      </w:r>
      <w:r>
        <w:rPr>
          <w:rFonts w:hint="eastAsia" w:ascii="宋体" w:hAnsi="宋体" w:cs="宋体"/>
          <w:kern w:val="0"/>
          <w:lang w:val="zh-CN"/>
        </w:rPr>
        <w:t>乙方二</w:t>
      </w:r>
      <w:r>
        <w:rPr>
          <w:rFonts w:eastAsia="Times New Roman"/>
          <w:kern w:val="0"/>
          <w:lang w:val="zh-CN"/>
        </w:rPr>
        <w:t>”</w:t>
      </w:r>
      <w:r>
        <w:rPr>
          <w:rFonts w:hint="eastAsia" w:ascii="宋体" w:hAnsi="宋体" w:cs="宋体"/>
          <w:kern w:val="0"/>
          <w:lang w:val="zh-CN"/>
        </w:rPr>
        <w:t>）及其股东等签署《投资合作协议》（以下简称</w:t>
      </w:r>
      <w:r>
        <w:rPr>
          <w:rFonts w:eastAsia="Times New Roman"/>
          <w:kern w:val="0"/>
          <w:lang w:val="zh-CN"/>
        </w:rPr>
        <w:t>“</w:t>
      </w:r>
      <w:r>
        <w:rPr>
          <w:rFonts w:hint="eastAsia" w:ascii="宋体" w:hAnsi="宋体" w:cs="宋体"/>
          <w:kern w:val="0"/>
          <w:lang w:val="zh-CN"/>
        </w:rPr>
        <w:t>协议</w:t>
      </w:r>
      <w:r>
        <w:rPr>
          <w:rFonts w:eastAsia="Times New Roman"/>
          <w:kern w:val="0"/>
          <w:lang w:val="zh-CN"/>
        </w:rPr>
        <w:t>”</w:t>
      </w:r>
      <w:r>
        <w:rPr>
          <w:rFonts w:hint="eastAsia" w:ascii="宋体" w:hAnsi="宋体" w:cs="宋体"/>
          <w:kern w:val="0"/>
          <w:lang w:val="zh-CN"/>
        </w:rPr>
        <w:t>）。公司将出资人民币</w:t>
      </w:r>
      <w:r>
        <w:rPr>
          <w:rFonts w:eastAsia="Times New Roman"/>
          <w:kern w:val="0"/>
          <w:lang w:val="zh-CN"/>
        </w:rPr>
        <w:t>8300</w:t>
      </w:r>
      <w:r>
        <w:rPr>
          <w:rFonts w:hint="eastAsia" w:ascii="宋体" w:hAnsi="宋体" w:cs="宋体"/>
          <w:kern w:val="0"/>
          <w:lang w:val="zh-CN"/>
        </w:rPr>
        <w:t>万元收购上饶市新安略科技有限公司（以下简称</w:t>
      </w:r>
      <w:r>
        <w:rPr>
          <w:rFonts w:eastAsia="Times New Roman"/>
          <w:kern w:val="0"/>
          <w:lang w:val="zh-CN"/>
        </w:rPr>
        <w:t>“</w:t>
      </w:r>
      <w:r>
        <w:rPr>
          <w:rFonts w:hint="eastAsia" w:ascii="宋体" w:hAnsi="宋体" w:cs="宋体"/>
          <w:kern w:val="0"/>
          <w:lang w:val="zh-CN"/>
        </w:rPr>
        <w:t>上饶新安略</w:t>
      </w:r>
      <w:r>
        <w:rPr>
          <w:rFonts w:eastAsia="Times New Roman"/>
          <w:kern w:val="0"/>
          <w:lang w:val="zh-CN"/>
        </w:rPr>
        <w:t>”</w:t>
      </w:r>
      <w:r>
        <w:rPr>
          <w:rFonts w:hint="eastAsia" w:ascii="宋体" w:hAnsi="宋体" w:cs="宋体"/>
          <w:kern w:val="0"/>
          <w:lang w:val="zh-CN"/>
        </w:rPr>
        <w:t>或</w:t>
      </w:r>
      <w:r>
        <w:rPr>
          <w:rFonts w:eastAsia="Times New Roman"/>
          <w:kern w:val="0"/>
          <w:lang w:val="zh-CN"/>
        </w:rPr>
        <w:t>“</w:t>
      </w:r>
      <w:r>
        <w:rPr>
          <w:rFonts w:hint="eastAsia" w:ascii="宋体" w:hAnsi="宋体" w:cs="宋体"/>
          <w:kern w:val="0"/>
          <w:lang w:val="zh-CN"/>
        </w:rPr>
        <w:t>投资公司</w:t>
      </w:r>
      <w:r>
        <w:rPr>
          <w:rFonts w:eastAsia="Times New Roman"/>
          <w:kern w:val="0"/>
          <w:lang w:val="zh-CN"/>
        </w:rPr>
        <w:t>”</w:t>
      </w:r>
      <w:r>
        <w:rPr>
          <w:rFonts w:hint="eastAsia" w:ascii="宋体" w:hAnsi="宋体" w:cs="宋体"/>
          <w:kern w:val="0"/>
          <w:lang w:val="zh-CN"/>
        </w:rPr>
        <w:t>）</w:t>
      </w:r>
      <w:r>
        <w:rPr>
          <w:rFonts w:eastAsia="Times New Roman"/>
          <w:kern w:val="0"/>
          <w:lang w:val="zh-CN"/>
        </w:rPr>
        <w:t>100%</w:t>
      </w:r>
      <w:r>
        <w:rPr>
          <w:rFonts w:hint="eastAsia" w:ascii="宋体" w:hAnsi="宋体" w:cs="宋体"/>
          <w:kern w:val="0"/>
          <w:lang w:val="zh-CN"/>
        </w:rPr>
        <w:t>股权，最终持有武汉美康盛德科技有限公司（以下简称</w:t>
      </w:r>
      <w:r>
        <w:rPr>
          <w:rFonts w:eastAsia="Times New Roman"/>
          <w:kern w:val="0"/>
          <w:lang w:val="zh-CN"/>
        </w:rPr>
        <w:t>“</w:t>
      </w:r>
      <w:r>
        <w:rPr>
          <w:rFonts w:hint="eastAsia" w:ascii="宋体" w:hAnsi="宋体" w:cs="宋体"/>
          <w:kern w:val="0"/>
          <w:lang w:val="zh-CN"/>
        </w:rPr>
        <w:t>武汉美康</w:t>
      </w:r>
      <w:r>
        <w:rPr>
          <w:rFonts w:eastAsia="Times New Roman"/>
          <w:kern w:val="0"/>
          <w:lang w:val="zh-CN"/>
        </w:rPr>
        <w:t>”</w:t>
      </w:r>
      <w:r>
        <w:rPr>
          <w:rFonts w:hint="eastAsia" w:ascii="宋体" w:hAnsi="宋体" w:cs="宋体"/>
          <w:kern w:val="0"/>
          <w:lang w:val="zh-CN"/>
        </w:rPr>
        <w:t>或</w:t>
      </w:r>
      <w:r>
        <w:rPr>
          <w:rFonts w:eastAsia="Times New Roman"/>
          <w:kern w:val="0"/>
          <w:lang w:val="zh-CN"/>
        </w:rPr>
        <w:t>“</w:t>
      </w:r>
      <w:r>
        <w:rPr>
          <w:rFonts w:hint="eastAsia" w:ascii="宋体" w:hAnsi="宋体" w:cs="宋体"/>
          <w:kern w:val="0"/>
          <w:lang w:val="zh-CN"/>
        </w:rPr>
        <w:t>目标公司</w:t>
      </w:r>
      <w:r>
        <w:rPr>
          <w:rFonts w:eastAsia="Times New Roman"/>
          <w:kern w:val="0"/>
          <w:lang w:val="zh-CN"/>
        </w:rPr>
        <w:t>”</w:t>
      </w:r>
      <w:r>
        <w:rPr>
          <w:rFonts w:hint="eastAsia" w:ascii="宋体" w:hAnsi="宋体" w:cs="宋体"/>
          <w:kern w:val="0"/>
          <w:lang w:val="zh-CN"/>
        </w:rPr>
        <w:t>）</w:t>
      </w:r>
      <w:r>
        <w:rPr>
          <w:rFonts w:eastAsia="Times New Roman"/>
          <w:kern w:val="0"/>
          <w:lang w:val="zh-CN"/>
        </w:rPr>
        <w:t>56%</w:t>
      </w:r>
      <w:r>
        <w:rPr>
          <w:rFonts w:hint="eastAsia" w:ascii="宋体" w:hAnsi="宋体" w:cs="宋体"/>
          <w:kern w:val="0"/>
          <w:lang w:val="zh-CN"/>
        </w:rPr>
        <w:t>的股权，并以该目标公司为平台，接续和收购乙方一、乙方二（以下合称</w:t>
      </w:r>
      <w:r>
        <w:rPr>
          <w:rFonts w:eastAsia="Times New Roman"/>
          <w:kern w:val="0"/>
          <w:lang w:val="zh-CN"/>
        </w:rPr>
        <w:t>“</w:t>
      </w:r>
      <w:r>
        <w:rPr>
          <w:rFonts w:hint="eastAsia" w:ascii="宋体" w:hAnsi="宋体" w:cs="宋体"/>
          <w:kern w:val="0"/>
          <w:lang w:val="zh-CN"/>
        </w:rPr>
        <w:t>乙方</w:t>
      </w:r>
      <w:r>
        <w:rPr>
          <w:rFonts w:eastAsia="Times New Roman"/>
          <w:kern w:val="0"/>
          <w:lang w:val="zh-CN"/>
        </w:rPr>
        <w:t>”</w:t>
      </w:r>
      <w:r>
        <w:rPr>
          <w:rFonts w:hint="eastAsia" w:ascii="宋体" w:hAnsi="宋体" w:cs="宋体"/>
          <w:kern w:val="0"/>
          <w:lang w:val="zh-CN"/>
        </w:rPr>
        <w:t>）的医疗器械经营业务及相关资产，共同持续运营该等业务和资产。各方约定：</w:t>
      </w:r>
      <w:r>
        <w:rPr>
          <w:rFonts w:eastAsia="Times New Roman"/>
          <w:kern w:val="0"/>
          <w:lang w:val="zh-CN"/>
        </w:rPr>
        <w:t>1</w:t>
      </w:r>
      <w:r>
        <w:rPr>
          <w:rFonts w:hint="eastAsia" w:ascii="宋体" w:hAnsi="宋体" w:cs="宋体"/>
          <w:kern w:val="0"/>
          <w:lang w:val="zh-CN"/>
        </w:rPr>
        <w:t>）公司在本协议生效后的三十个工作日内，向丁方二支付交易价款人民币</w:t>
      </w:r>
      <w:r>
        <w:rPr>
          <w:rFonts w:eastAsia="Times New Roman"/>
          <w:kern w:val="0"/>
          <w:lang w:val="zh-CN"/>
        </w:rPr>
        <w:t>1,020.00</w:t>
      </w:r>
      <w:r>
        <w:rPr>
          <w:rFonts w:hint="eastAsia" w:ascii="宋体" w:hAnsi="宋体" w:cs="宋体"/>
          <w:kern w:val="0"/>
          <w:lang w:val="zh-CN"/>
        </w:rPr>
        <w:t>万元；在投资公司办理完毕工商变更登记手续后</w:t>
      </w:r>
      <w:r>
        <w:rPr>
          <w:rFonts w:eastAsia="Times New Roman"/>
          <w:kern w:val="0"/>
          <w:lang w:val="zh-CN"/>
        </w:rPr>
        <w:t>1</w:t>
      </w:r>
      <w:r>
        <w:rPr>
          <w:rFonts w:hint="eastAsia" w:ascii="宋体" w:hAnsi="宋体" w:cs="宋体"/>
          <w:kern w:val="0"/>
          <w:lang w:val="zh-CN"/>
        </w:rPr>
        <w:t>个月内，甲方向丁方二支付交易价款人民币</w:t>
      </w:r>
      <w:r>
        <w:rPr>
          <w:rFonts w:eastAsia="Times New Roman"/>
          <w:kern w:val="0"/>
          <w:lang w:val="zh-CN"/>
        </w:rPr>
        <w:t>5,096.00</w:t>
      </w:r>
      <w:r>
        <w:rPr>
          <w:rFonts w:hint="eastAsia" w:ascii="宋体" w:hAnsi="宋体" w:cs="宋体"/>
          <w:kern w:val="0"/>
          <w:lang w:val="zh-CN"/>
        </w:rPr>
        <w:t>万元；在目标公司取得经营许可证后</w:t>
      </w:r>
      <w:r>
        <w:rPr>
          <w:rFonts w:eastAsia="Times New Roman"/>
          <w:kern w:val="0"/>
          <w:lang w:val="zh-CN"/>
        </w:rPr>
        <w:t>1</w:t>
      </w:r>
      <w:r>
        <w:rPr>
          <w:rFonts w:hint="eastAsia" w:ascii="宋体" w:hAnsi="宋体" w:cs="宋体"/>
          <w:kern w:val="0"/>
          <w:lang w:val="zh-CN"/>
        </w:rPr>
        <w:t>个月内，甲方支付丁方二交易价款人民币</w:t>
      </w:r>
      <w:r>
        <w:rPr>
          <w:rFonts w:eastAsia="Times New Roman"/>
          <w:kern w:val="0"/>
          <w:lang w:val="zh-CN"/>
        </w:rPr>
        <w:t>2,184.00</w:t>
      </w:r>
      <w:r>
        <w:rPr>
          <w:rFonts w:hint="eastAsia" w:ascii="宋体" w:hAnsi="宋体" w:cs="宋体"/>
          <w:kern w:val="0"/>
          <w:lang w:val="zh-CN"/>
        </w:rPr>
        <w:t>万元；</w:t>
      </w:r>
      <w:r>
        <w:rPr>
          <w:rFonts w:eastAsia="Times New Roman"/>
          <w:kern w:val="0"/>
          <w:lang w:val="zh-CN"/>
        </w:rPr>
        <w:t>2</w:t>
      </w:r>
      <w:r>
        <w:rPr>
          <w:rFonts w:hint="eastAsia" w:ascii="宋体" w:hAnsi="宋体" w:cs="宋体"/>
          <w:kern w:val="0"/>
          <w:lang w:val="zh-CN"/>
        </w:rPr>
        <w:t>）协议各方同意在本合作签订完成之日起</w:t>
      </w:r>
      <w:r>
        <w:rPr>
          <w:rFonts w:eastAsia="Times New Roman"/>
          <w:kern w:val="0"/>
          <w:lang w:val="zh-CN"/>
        </w:rPr>
        <w:t>120</w:t>
      </w:r>
      <w:r>
        <w:rPr>
          <w:rFonts w:hint="eastAsia" w:ascii="宋体" w:hAnsi="宋体" w:cs="宋体"/>
          <w:kern w:val="0"/>
          <w:lang w:val="zh-CN"/>
        </w:rPr>
        <w:t>个工作日内，乙方和丁方一、丁方二、丁方三、丁方四（以下合称</w:t>
      </w:r>
      <w:r>
        <w:rPr>
          <w:rFonts w:eastAsia="Times New Roman"/>
          <w:kern w:val="0"/>
          <w:lang w:val="zh-CN"/>
        </w:rPr>
        <w:t>“</w:t>
      </w:r>
      <w:r>
        <w:rPr>
          <w:rFonts w:hint="eastAsia" w:ascii="宋体" w:hAnsi="宋体" w:cs="宋体"/>
          <w:kern w:val="0"/>
          <w:lang w:val="zh-CN"/>
        </w:rPr>
        <w:t>丁方</w:t>
      </w:r>
      <w:r>
        <w:rPr>
          <w:rFonts w:eastAsia="Times New Roman"/>
          <w:kern w:val="0"/>
          <w:lang w:val="zh-CN"/>
        </w:rPr>
        <w:t>”</w:t>
      </w:r>
      <w:r>
        <w:rPr>
          <w:rFonts w:hint="eastAsia" w:ascii="宋体" w:hAnsi="宋体" w:cs="宋体"/>
          <w:kern w:val="0"/>
          <w:lang w:val="zh-CN"/>
        </w:rPr>
        <w:t>）将目前所经营的医疗器械产品品牌授权、客户资源及涉及的合同权益以及业务团队、经营性资产按协议约定交割至目标公司名下，由目标公司进行运营。</w:t>
      </w:r>
      <w:r>
        <w:rPr>
          <w:rFonts w:eastAsia="Times New Roman"/>
          <w:kern w:val="0"/>
          <w:lang w:val="zh-CN"/>
        </w:rPr>
        <w:t>3</w:t>
      </w:r>
      <w:r>
        <w:rPr>
          <w:rFonts w:hint="eastAsia" w:ascii="宋体" w:hAnsi="宋体" w:cs="宋体"/>
          <w:kern w:val="0"/>
          <w:lang w:val="zh-CN"/>
        </w:rPr>
        <w:t>）目标公司</w:t>
      </w:r>
      <w:r>
        <w:rPr>
          <w:rFonts w:eastAsia="Times New Roman"/>
          <w:kern w:val="0"/>
          <w:lang w:val="zh-CN"/>
        </w:rPr>
        <w:t>2016-2018</w:t>
      </w:r>
      <w:r>
        <w:rPr>
          <w:rFonts w:hint="eastAsia" w:ascii="宋体" w:hAnsi="宋体" w:cs="宋体"/>
          <w:kern w:val="0"/>
          <w:lang w:val="zh-CN"/>
        </w:rPr>
        <w:t>年承诺业绩分别为</w:t>
      </w:r>
      <w:r>
        <w:rPr>
          <w:rFonts w:eastAsia="Times New Roman"/>
          <w:kern w:val="0"/>
          <w:lang w:val="zh-CN"/>
        </w:rPr>
        <w:t>2,000</w:t>
      </w:r>
      <w:r>
        <w:rPr>
          <w:rFonts w:hint="eastAsia" w:ascii="宋体" w:hAnsi="宋体" w:cs="宋体"/>
          <w:kern w:val="0"/>
          <w:lang w:val="zh-CN"/>
        </w:rPr>
        <w:t>万元、</w:t>
      </w:r>
      <w:r>
        <w:rPr>
          <w:rFonts w:eastAsia="Times New Roman"/>
          <w:kern w:val="0"/>
          <w:lang w:val="zh-CN"/>
        </w:rPr>
        <w:t>2,400</w:t>
      </w:r>
      <w:r>
        <w:rPr>
          <w:rFonts w:hint="eastAsia" w:ascii="宋体" w:hAnsi="宋体" w:cs="宋体"/>
          <w:kern w:val="0"/>
          <w:lang w:val="zh-CN"/>
        </w:rPr>
        <w:t>万元、</w:t>
      </w:r>
      <w:r>
        <w:rPr>
          <w:rFonts w:eastAsia="Times New Roman"/>
          <w:kern w:val="0"/>
          <w:lang w:val="zh-CN"/>
        </w:rPr>
        <w:t>2,880</w:t>
      </w:r>
      <w:r>
        <w:rPr>
          <w:rFonts w:hint="eastAsia" w:ascii="宋体" w:hAnsi="宋体" w:cs="宋体"/>
          <w:kern w:val="0"/>
          <w:lang w:val="zh-CN"/>
        </w:rPr>
        <w:t>万元，目标公司净利润指标计算方法为</w:t>
      </w:r>
      <w:r>
        <w:rPr>
          <w:rFonts w:eastAsia="Times New Roman"/>
          <w:kern w:val="0"/>
          <w:lang w:val="zh-CN"/>
        </w:rPr>
        <w:t>2016</w:t>
      </w:r>
      <w:r>
        <w:rPr>
          <w:rFonts w:hint="eastAsia" w:ascii="宋体" w:hAnsi="宋体" w:cs="宋体"/>
          <w:kern w:val="0"/>
          <w:lang w:val="zh-CN"/>
        </w:rPr>
        <w:t>年度净利润，对于非经常性损益不进行扣除；其余年度净利润为扣除非经常性损益后孰低的净利润；如果目标公司在上述三年内任意一年度内净利润达不到承诺的净利润指标的</w:t>
      </w:r>
      <w:r>
        <w:rPr>
          <w:rFonts w:eastAsia="Times New Roman"/>
          <w:kern w:val="0"/>
          <w:lang w:val="zh-CN"/>
        </w:rPr>
        <w:t>50%</w:t>
      </w:r>
      <w:r>
        <w:rPr>
          <w:rFonts w:hint="eastAsia" w:ascii="宋体" w:hAnsi="宋体" w:cs="宋体"/>
          <w:kern w:val="0"/>
          <w:lang w:val="zh-CN"/>
        </w:rPr>
        <w:t>（不含</w:t>
      </w:r>
      <w:r>
        <w:rPr>
          <w:rFonts w:eastAsia="Times New Roman"/>
          <w:kern w:val="0"/>
          <w:lang w:val="zh-CN"/>
        </w:rPr>
        <w:t>50%</w:t>
      </w:r>
      <w:r>
        <w:rPr>
          <w:rFonts w:hint="eastAsia" w:ascii="宋体" w:hAnsi="宋体" w:cs="宋体"/>
          <w:kern w:val="0"/>
          <w:lang w:val="zh-CN"/>
        </w:rPr>
        <w:t>），甲方可以选择以甲方收购目标公司对价（</w:t>
      </w:r>
      <w:r>
        <w:rPr>
          <w:rFonts w:eastAsia="Times New Roman"/>
          <w:kern w:val="0"/>
          <w:lang w:val="zh-CN"/>
        </w:rPr>
        <w:t>8,300</w:t>
      </w:r>
      <w:r>
        <w:rPr>
          <w:rFonts w:hint="eastAsia" w:ascii="宋体" w:hAnsi="宋体" w:cs="宋体"/>
          <w:kern w:val="0"/>
          <w:lang w:val="zh-CN"/>
        </w:rPr>
        <w:t>万元）的</w:t>
      </w:r>
      <w:r>
        <w:rPr>
          <w:rFonts w:eastAsia="Times New Roman"/>
          <w:kern w:val="0"/>
          <w:lang w:val="zh-CN"/>
        </w:rPr>
        <w:t>1.5</w:t>
      </w:r>
      <w:r>
        <w:rPr>
          <w:rFonts w:hint="eastAsia" w:ascii="宋体" w:hAnsi="宋体" w:cs="宋体"/>
          <w:kern w:val="0"/>
          <w:lang w:val="zh-CN"/>
        </w:rPr>
        <w:t>倍由丁方一和丁方二收购甲方持有的目标公司</w:t>
      </w:r>
      <w:r>
        <w:rPr>
          <w:rFonts w:eastAsia="Times New Roman"/>
          <w:kern w:val="0"/>
          <w:lang w:val="zh-CN"/>
        </w:rPr>
        <w:t>56%</w:t>
      </w:r>
      <w:r>
        <w:rPr>
          <w:rFonts w:hint="eastAsia" w:ascii="宋体" w:hAnsi="宋体" w:cs="宋体"/>
          <w:kern w:val="0"/>
          <w:lang w:val="zh-CN"/>
        </w:rPr>
        <w:t>的股份；如果目标公司在上述三年内任意一年度内实现上述承诺净利润数额的</w:t>
      </w:r>
      <w:r>
        <w:rPr>
          <w:rFonts w:eastAsia="Times New Roman"/>
          <w:kern w:val="0"/>
          <w:lang w:val="zh-CN"/>
        </w:rPr>
        <w:t>50%</w:t>
      </w:r>
      <w:r>
        <w:rPr>
          <w:rFonts w:hint="eastAsia" w:ascii="宋体" w:hAnsi="宋体" w:cs="宋体"/>
          <w:kern w:val="0"/>
          <w:lang w:val="zh-CN"/>
        </w:rPr>
        <w:t>（含）至</w:t>
      </w:r>
      <w:r>
        <w:rPr>
          <w:rFonts w:eastAsia="Times New Roman"/>
          <w:kern w:val="0"/>
          <w:lang w:val="zh-CN"/>
        </w:rPr>
        <w:t>80%</w:t>
      </w:r>
      <w:r>
        <w:rPr>
          <w:rFonts w:hint="eastAsia" w:ascii="宋体" w:hAnsi="宋体" w:cs="宋体"/>
          <w:kern w:val="0"/>
          <w:lang w:val="zh-CN"/>
        </w:rPr>
        <w:t>（不含）之间的，差额部份（当年承诺的净利润－按规定方法计算的净利润），由丁方一和丁方二补偿给甲方；目标公司</w:t>
      </w:r>
      <w:r>
        <w:rPr>
          <w:rFonts w:eastAsia="Times New Roman"/>
          <w:kern w:val="0"/>
          <w:lang w:val="zh-CN"/>
        </w:rPr>
        <w:t>2019</w:t>
      </w:r>
      <w:r>
        <w:rPr>
          <w:rFonts w:hint="eastAsia" w:ascii="宋体" w:hAnsi="宋体" w:cs="宋体"/>
          <w:kern w:val="0"/>
          <w:lang w:val="zh-CN"/>
        </w:rPr>
        <w:t>年及以后年度的净利润需持续增长。</w:t>
      </w:r>
      <w:r>
        <w:rPr>
          <w:rFonts w:eastAsia="Times New Roman"/>
          <w:kern w:val="0"/>
          <w:lang w:val="zh-CN"/>
        </w:rPr>
        <w:t>4</w:t>
      </w:r>
      <w:r>
        <w:rPr>
          <w:rFonts w:hint="eastAsia" w:ascii="宋体" w:hAnsi="宋体" w:cs="宋体"/>
          <w:kern w:val="0"/>
          <w:lang w:val="zh-CN"/>
        </w:rPr>
        <w:t>）目标公司正式运营后</w:t>
      </w:r>
      <w:r>
        <w:rPr>
          <w:rFonts w:eastAsia="Times New Roman"/>
          <w:kern w:val="0"/>
          <w:lang w:val="zh-CN"/>
        </w:rPr>
        <w:t>3</w:t>
      </w:r>
      <w:r>
        <w:rPr>
          <w:rFonts w:hint="eastAsia" w:ascii="宋体" w:hAnsi="宋体" w:cs="宋体"/>
          <w:kern w:val="0"/>
          <w:lang w:val="zh-CN"/>
        </w:rPr>
        <w:t>年内，公司需为其提供</w:t>
      </w:r>
      <w:r>
        <w:rPr>
          <w:rFonts w:eastAsia="Times New Roman"/>
          <w:kern w:val="0"/>
          <w:lang w:val="zh-CN"/>
        </w:rPr>
        <w:t>3,000</w:t>
      </w:r>
      <w:r>
        <w:rPr>
          <w:rFonts w:hint="eastAsia" w:ascii="宋体" w:hAnsi="宋体" w:cs="宋体"/>
          <w:kern w:val="0"/>
          <w:lang w:val="zh-CN"/>
        </w:rPr>
        <w:t>万元的免息资金支持，目标公司在业绩承诺其不分红，目标公司其他股东同意放弃享有目标公司</w:t>
      </w:r>
      <w:r>
        <w:rPr>
          <w:rFonts w:eastAsia="Times New Roman"/>
          <w:kern w:val="0"/>
          <w:lang w:val="zh-CN"/>
        </w:rPr>
        <w:t>2016-2018</w:t>
      </w:r>
      <w:r>
        <w:rPr>
          <w:rFonts w:hint="eastAsia" w:ascii="宋体" w:hAnsi="宋体" w:cs="宋体"/>
          <w:kern w:val="0"/>
          <w:lang w:val="zh-CN"/>
        </w:rPr>
        <w:t>年度净利润。公司于</w:t>
      </w:r>
      <w:r>
        <w:rPr>
          <w:rFonts w:eastAsia="Times New Roman"/>
          <w:kern w:val="0"/>
          <w:lang w:val="zh-CN"/>
        </w:rPr>
        <w:t>2016</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16</w:t>
      </w:r>
      <w:r>
        <w:rPr>
          <w:rFonts w:hint="eastAsia" w:ascii="宋体" w:hAnsi="宋体" w:cs="宋体"/>
          <w:kern w:val="0"/>
          <w:lang w:val="zh-CN"/>
        </w:rPr>
        <w:t>日取得了上饶新安略及武汉美康的控制权。截止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日，公司已向合作方支付了</w:t>
      </w:r>
      <w:r>
        <w:rPr>
          <w:rFonts w:eastAsia="Times New Roman"/>
          <w:kern w:val="0"/>
          <w:lang w:val="zh-CN"/>
        </w:rPr>
        <w:t>7,300.00</w:t>
      </w:r>
      <w:r>
        <w:rPr>
          <w:rFonts w:hint="eastAsia" w:ascii="宋体" w:hAnsi="宋体" w:cs="宋体"/>
          <w:kern w:val="0"/>
          <w:lang w:val="zh-CN"/>
        </w:rPr>
        <w:t>万元的投资款，向武汉美康提供了</w:t>
      </w:r>
      <w:r>
        <w:rPr>
          <w:rFonts w:eastAsia="Times New Roman"/>
          <w:kern w:val="0"/>
          <w:lang w:val="zh-CN"/>
        </w:rPr>
        <w:t>3,000</w:t>
      </w:r>
      <w:r>
        <w:rPr>
          <w:rFonts w:hint="eastAsia" w:ascii="宋体" w:hAnsi="宋体" w:cs="宋体"/>
          <w:kern w:val="0"/>
          <w:lang w:val="zh-CN"/>
        </w:rPr>
        <w:t>万元的免息资金支持。</w:t>
      </w:r>
      <w:r>
        <w:rPr>
          <w:rFonts w:hint="eastAsia" w:ascii="宋体" w:hAnsi="宋体" w:cs="宋体"/>
          <w:kern w:val="0"/>
          <w:highlight w:val="white"/>
          <w:lang w:val="zh-CN"/>
        </w:rPr>
        <w:t>截止</w:t>
      </w:r>
      <w:r>
        <w:rPr>
          <w:rFonts w:eastAsia="Times New Roman"/>
          <w:kern w:val="0"/>
          <w:highlight w:val="white"/>
          <w:lang w:val="zh-CN"/>
        </w:rPr>
        <w:t>2020</w:t>
      </w:r>
      <w:r>
        <w:rPr>
          <w:rFonts w:hint="eastAsia" w:ascii="宋体" w:hAnsi="宋体" w:cs="宋体"/>
          <w:kern w:val="0"/>
          <w:highlight w:val="white"/>
          <w:lang w:val="zh-CN"/>
        </w:rPr>
        <w:t>年</w:t>
      </w:r>
      <w:r>
        <w:rPr>
          <w:rFonts w:eastAsia="Times New Roman"/>
          <w:kern w:val="0"/>
          <w:highlight w:val="white"/>
          <w:lang w:val="zh-CN"/>
        </w:rPr>
        <w:t>4</w:t>
      </w:r>
      <w:r>
        <w:rPr>
          <w:rFonts w:hint="eastAsia" w:ascii="宋体" w:hAnsi="宋体" w:cs="宋体"/>
          <w:kern w:val="0"/>
          <w:highlight w:val="white"/>
          <w:lang w:val="zh-CN"/>
        </w:rPr>
        <w:t>月</w:t>
      </w:r>
      <w:r>
        <w:rPr>
          <w:rFonts w:eastAsia="Times New Roman"/>
          <w:kern w:val="0"/>
          <w:highlight w:val="white"/>
          <w:lang w:val="zh-CN"/>
        </w:rPr>
        <w:t>2</w:t>
      </w:r>
      <w:r>
        <w:rPr>
          <w:rFonts w:eastAsiaTheme="minorEastAsia"/>
          <w:kern w:val="0"/>
          <w:highlight w:val="white"/>
          <w:lang w:val="zh-CN"/>
        </w:rPr>
        <w:t>7</w:t>
      </w:r>
      <w:r>
        <w:rPr>
          <w:rFonts w:hint="eastAsia" w:ascii="宋体" w:hAnsi="宋体" w:cs="宋体"/>
          <w:kern w:val="0"/>
          <w:highlight w:val="white"/>
          <w:lang w:val="zh-CN"/>
        </w:rPr>
        <w:t>日，公司已向合作方支付了</w:t>
      </w:r>
      <w:r>
        <w:rPr>
          <w:rFonts w:eastAsia="Times New Roman"/>
          <w:kern w:val="0"/>
          <w:highlight w:val="white"/>
          <w:lang w:val="zh-CN"/>
        </w:rPr>
        <w:t>7,300.00</w:t>
      </w:r>
      <w:r>
        <w:rPr>
          <w:rFonts w:hint="eastAsia" w:ascii="宋体" w:hAnsi="宋体" w:cs="宋体"/>
          <w:kern w:val="0"/>
          <w:highlight w:val="white"/>
          <w:lang w:val="zh-CN"/>
        </w:rPr>
        <w:t>万元的投资款，</w:t>
      </w:r>
      <w:r>
        <w:rPr>
          <w:rFonts w:hint="eastAsia"/>
        </w:rPr>
        <w:t>尚有1</w:t>
      </w:r>
      <w:r>
        <w:t>,000</w:t>
      </w:r>
      <w:r>
        <w:rPr>
          <w:rFonts w:hint="eastAsia"/>
        </w:rPr>
        <w:t>万股权转让款未支付。</w:t>
      </w:r>
      <w:r>
        <w:rPr>
          <w:rFonts w:hint="eastAsia" w:ascii="宋体" w:hAnsi="宋体" w:cs="宋体"/>
          <w:kern w:val="0"/>
          <w:highlight w:val="white"/>
          <w:lang w:val="zh-CN"/>
        </w:rPr>
        <w:t>向武汉美康提供了</w:t>
      </w:r>
      <w:r>
        <w:rPr>
          <w:rFonts w:eastAsia="Times New Roman"/>
          <w:kern w:val="0"/>
          <w:highlight w:val="white"/>
          <w:lang w:val="zh-CN"/>
        </w:rPr>
        <w:t>3,000</w:t>
      </w:r>
      <w:r>
        <w:rPr>
          <w:rFonts w:hint="eastAsia" w:ascii="宋体" w:hAnsi="宋体" w:cs="宋体"/>
          <w:kern w:val="0"/>
          <w:highlight w:val="white"/>
          <w:lang w:val="zh-CN"/>
        </w:rPr>
        <w:t>万元的免息资金支持。</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w:t>
      </w:r>
      <w:r>
        <w:rPr>
          <w:rFonts w:eastAsia="Times New Roman"/>
          <w:kern w:val="0"/>
          <w:lang w:val="zh-CN"/>
        </w:rPr>
        <w:t>3</w:t>
      </w:r>
      <w:r>
        <w:rPr>
          <w:rFonts w:hint="eastAsia" w:ascii="宋体" w:hAnsi="宋体" w:cs="宋体"/>
          <w:kern w:val="0"/>
          <w:lang w:val="zh-CN"/>
        </w:rPr>
        <w:t>）</w:t>
      </w:r>
      <w:r>
        <w:rPr>
          <w:rFonts w:eastAsia="Times New Roman"/>
          <w:kern w:val="0"/>
          <w:lang w:val="zh-CN"/>
        </w:rPr>
        <w:t>2017</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19</w:t>
      </w:r>
      <w:r>
        <w:rPr>
          <w:rFonts w:hint="eastAsia" w:ascii="宋体" w:hAnsi="宋体" w:cs="宋体"/>
          <w:kern w:val="0"/>
          <w:lang w:val="zh-CN"/>
        </w:rPr>
        <w:t>日，公司与聊城市云泽博时信息技术有限公司签署了《投资合作协议》，共同出资设立聊城美康盛达生物科技有限公司。其中公司认缴出资</w:t>
      </w:r>
      <w:r>
        <w:rPr>
          <w:rFonts w:eastAsia="Times New Roman"/>
          <w:kern w:val="0"/>
          <w:lang w:val="zh-CN"/>
        </w:rPr>
        <w:t>400</w:t>
      </w:r>
      <w:r>
        <w:rPr>
          <w:rFonts w:hint="eastAsia" w:ascii="宋体" w:hAnsi="宋体" w:cs="宋体"/>
          <w:kern w:val="0"/>
          <w:lang w:val="zh-CN"/>
        </w:rPr>
        <w:t>万元，占注册资本</w:t>
      </w:r>
      <w:r>
        <w:rPr>
          <w:rFonts w:eastAsia="Times New Roman"/>
          <w:kern w:val="0"/>
          <w:lang w:val="zh-CN"/>
        </w:rPr>
        <w:t>80%</w:t>
      </w:r>
      <w:r>
        <w:rPr>
          <w:rFonts w:hint="eastAsia" w:ascii="宋体" w:hAnsi="宋体" w:cs="宋体"/>
          <w:kern w:val="0"/>
          <w:lang w:val="zh-CN"/>
        </w:rPr>
        <w:t>，聊城市云泽博时信息技术有限公司认缴出资</w:t>
      </w:r>
      <w:r>
        <w:rPr>
          <w:rFonts w:eastAsia="Times New Roman"/>
          <w:kern w:val="0"/>
          <w:lang w:val="zh-CN"/>
        </w:rPr>
        <w:t>100</w:t>
      </w:r>
      <w:r>
        <w:rPr>
          <w:rFonts w:hint="eastAsia" w:ascii="宋体" w:hAnsi="宋体" w:cs="宋体"/>
          <w:kern w:val="0"/>
          <w:lang w:val="zh-CN"/>
        </w:rPr>
        <w:t>万元，占注册资本</w:t>
      </w:r>
      <w:r>
        <w:rPr>
          <w:rFonts w:eastAsia="Times New Roman"/>
          <w:kern w:val="0"/>
          <w:lang w:val="zh-CN"/>
        </w:rPr>
        <w:t>20%</w:t>
      </w:r>
      <w:r>
        <w:rPr>
          <w:rFonts w:hint="eastAsia" w:ascii="宋体" w:hAnsi="宋体" w:cs="宋体"/>
          <w:kern w:val="0"/>
          <w:lang w:val="zh-CN"/>
        </w:rPr>
        <w:t>。</w:t>
      </w:r>
      <w:r>
        <w:rPr>
          <w:rFonts w:eastAsia="Times New Roman"/>
          <w:kern w:val="0"/>
          <w:lang w:val="zh-CN"/>
        </w:rPr>
        <w:t>2017</w:t>
      </w:r>
      <w:r>
        <w:rPr>
          <w:rFonts w:hint="eastAsia" w:ascii="宋体" w:hAnsi="宋体" w:cs="宋体"/>
          <w:kern w:val="0"/>
          <w:lang w:val="zh-CN"/>
        </w:rPr>
        <w:t>年</w:t>
      </w:r>
      <w:r>
        <w:rPr>
          <w:rFonts w:eastAsia="Times New Roman"/>
          <w:kern w:val="0"/>
          <w:lang w:val="zh-CN"/>
        </w:rPr>
        <w:t>7</w:t>
      </w:r>
      <w:r>
        <w:rPr>
          <w:rFonts w:hint="eastAsia" w:ascii="宋体" w:hAnsi="宋体" w:cs="宋体"/>
          <w:kern w:val="0"/>
          <w:lang w:val="zh-CN"/>
        </w:rPr>
        <w:t>月</w:t>
      </w:r>
      <w:r>
        <w:rPr>
          <w:rFonts w:eastAsia="Times New Roman"/>
          <w:kern w:val="0"/>
          <w:lang w:val="zh-CN"/>
        </w:rPr>
        <w:t>21</w:t>
      </w:r>
      <w:r>
        <w:rPr>
          <w:rFonts w:hint="eastAsia" w:ascii="宋体" w:hAnsi="宋体" w:cs="宋体"/>
          <w:kern w:val="0"/>
          <w:lang w:val="zh-CN"/>
        </w:rPr>
        <w:t>日，公司与聊城市云泽博时信息技术有限公司投资成立聊城美康。截止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日，公司已缴纳出资</w:t>
      </w:r>
      <w:r>
        <w:rPr>
          <w:rFonts w:eastAsia="Times New Roman"/>
          <w:kern w:val="0"/>
          <w:lang w:val="zh-CN"/>
        </w:rPr>
        <w:t>400</w:t>
      </w:r>
      <w:r>
        <w:rPr>
          <w:rFonts w:hint="eastAsia" w:ascii="宋体" w:hAnsi="宋体" w:cs="宋体"/>
          <w:kern w:val="0"/>
          <w:lang w:val="zh-CN"/>
        </w:rPr>
        <w:t>万元，聊城市云泽博时信息技术有限公司已缴纳出资</w:t>
      </w:r>
      <w:r>
        <w:rPr>
          <w:rFonts w:eastAsia="Times New Roman"/>
          <w:kern w:val="0"/>
          <w:lang w:val="zh-CN"/>
        </w:rPr>
        <w:t>25</w:t>
      </w:r>
      <w:r>
        <w:rPr>
          <w:rFonts w:hint="eastAsia" w:ascii="宋体" w:hAnsi="宋体" w:cs="宋体"/>
          <w:kern w:val="0"/>
          <w:lang w:val="zh-CN"/>
        </w:rPr>
        <w:t>万元。</w:t>
      </w:r>
      <w:r>
        <w:rPr>
          <w:rFonts w:hint="eastAsia" w:ascii="宋体" w:hAnsi="宋体" w:cs="宋体"/>
          <w:kern w:val="0"/>
          <w:highlight w:val="white"/>
          <w:lang w:val="zh-CN"/>
        </w:rPr>
        <w:t>截止</w:t>
      </w:r>
      <w:r>
        <w:rPr>
          <w:rFonts w:eastAsia="Times New Roman"/>
          <w:kern w:val="0"/>
          <w:highlight w:val="white"/>
          <w:lang w:val="zh-CN"/>
        </w:rPr>
        <w:t>2020</w:t>
      </w:r>
      <w:r>
        <w:rPr>
          <w:rFonts w:hint="eastAsia" w:ascii="宋体" w:hAnsi="宋体" w:cs="宋体"/>
          <w:kern w:val="0"/>
          <w:highlight w:val="white"/>
          <w:lang w:val="zh-CN"/>
        </w:rPr>
        <w:t>年</w:t>
      </w:r>
      <w:r>
        <w:rPr>
          <w:rFonts w:eastAsia="Times New Roman"/>
          <w:kern w:val="0"/>
          <w:highlight w:val="white"/>
          <w:lang w:val="zh-CN"/>
        </w:rPr>
        <w:t>4</w:t>
      </w:r>
      <w:r>
        <w:rPr>
          <w:rFonts w:hint="eastAsia" w:ascii="宋体" w:hAnsi="宋体" w:cs="宋体"/>
          <w:kern w:val="0"/>
          <w:highlight w:val="white"/>
          <w:lang w:val="zh-CN"/>
        </w:rPr>
        <w:t>月</w:t>
      </w:r>
      <w:r>
        <w:rPr>
          <w:rFonts w:eastAsia="Times New Roman"/>
          <w:kern w:val="0"/>
          <w:highlight w:val="white"/>
          <w:lang w:val="zh-CN"/>
        </w:rPr>
        <w:t>2</w:t>
      </w:r>
      <w:r>
        <w:rPr>
          <w:rFonts w:eastAsiaTheme="minorEastAsia"/>
          <w:kern w:val="0"/>
          <w:highlight w:val="white"/>
          <w:lang w:val="zh-CN"/>
        </w:rPr>
        <w:t>7</w:t>
      </w:r>
      <w:r>
        <w:rPr>
          <w:rFonts w:hint="eastAsia" w:ascii="宋体" w:hAnsi="宋体" w:cs="宋体"/>
          <w:kern w:val="0"/>
          <w:highlight w:val="white"/>
          <w:lang w:val="zh-CN"/>
        </w:rPr>
        <w:t>日，公司累计实际缴纳出资</w:t>
      </w:r>
      <w:r>
        <w:rPr>
          <w:rFonts w:eastAsia="Times New Roman"/>
          <w:kern w:val="0"/>
          <w:highlight w:val="white"/>
          <w:lang w:val="zh-CN"/>
        </w:rPr>
        <w:t>400</w:t>
      </w:r>
      <w:r>
        <w:rPr>
          <w:rFonts w:hint="eastAsia" w:ascii="宋体" w:hAnsi="宋体" w:cs="宋体"/>
          <w:kern w:val="0"/>
          <w:highlight w:val="white"/>
          <w:lang w:val="zh-CN"/>
        </w:rPr>
        <w:t>万元，聊城市云泽博时信息技术有限公司累计实际缴纳出资</w:t>
      </w:r>
      <w:r>
        <w:rPr>
          <w:rFonts w:eastAsia="Times New Roman"/>
          <w:kern w:val="0"/>
          <w:highlight w:val="white"/>
          <w:lang w:val="zh-CN"/>
        </w:rPr>
        <w:t>25</w:t>
      </w:r>
      <w:r>
        <w:rPr>
          <w:rFonts w:hint="eastAsia" w:ascii="宋体" w:hAnsi="宋体" w:cs="宋体"/>
          <w:kern w:val="0"/>
          <w:highlight w:val="white"/>
          <w:lang w:val="zh-CN"/>
        </w:rPr>
        <w:t>万元。</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w:t>
      </w:r>
      <w:r>
        <w:rPr>
          <w:rFonts w:eastAsia="Times New Roman"/>
          <w:kern w:val="0"/>
          <w:lang w:val="zh-CN"/>
        </w:rPr>
        <w:t>4</w:t>
      </w:r>
      <w:r>
        <w:rPr>
          <w:rFonts w:hint="eastAsia" w:ascii="宋体" w:hAnsi="宋体" w:cs="宋体"/>
          <w:kern w:val="0"/>
          <w:lang w:val="zh-CN"/>
        </w:rPr>
        <w:t>）</w:t>
      </w:r>
      <w:r>
        <w:rPr>
          <w:rFonts w:eastAsia="Times New Roman"/>
          <w:kern w:val="0"/>
          <w:lang w:val="zh-CN"/>
        </w:rPr>
        <w:t>2017</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月，公司与宁波保税区盈实投资管理合伙企业（有限合伙）（以下简称</w:t>
      </w:r>
      <w:r>
        <w:rPr>
          <w:rFonts w:eastAsia="Times New Roman"/>
          <w:kern w:val="0"/>
          <w:lang w:val="zh-CN"/>
        </w:rPr>
        <w:t>“</w:t>
      </w:r>
      <w:r>
        <w:rPr>
          <w:rFonts w:hint="eastAsia" w:ascii="宋体" w:hAnsi="宋体" w:cs="宋体"/>
          <w:kern w:val="0"/>
          <w:lang w:val="zh-CN"/>
        </w:rPr>
        <w:t>盈实投资</w:t>
      </w:r>
      <w:r>
        <w:rPr>
          <w:rFonts w:eastAsia="Times New Roman"/>
          <w:kern w:val="0"/>
          <w:lang w:val="zh-CN"/>
        </w:rPr>
        <w:t>”</w:t>
      </w:r>
      <w:r>
        <w:rPr>
          <w:rFonts w:hint="eastAsia" w:ascii="宋体" w:hAnsi="宋体" w:cs="宋体"/>
          <w:kern w:val="0"/>
          <w:lang w:val="zh-CN"/>
        </w:rPr>
        <w:t>）、鑫沅资产管理有限公司（以下简称</w:t>
      </w:r>
      <w:r>
        <w:rPr>
          <w:rFonts w:eastAsia="Times New Roman"/>
          <w:kern w:val="0"/>
          <w:lang w:val="zh-CN"/>
        </w:rPr>
        <w:t>“</w:t>
      </w:r>
      <w:r>
        <w:rPr>
          <w:rFonts w:hint="eastAsia" w:ascii="宋体" w:hAnsi="宋体" w:cs="宋体"/>
          <w:kern w:val="0"/>
          <w:lang w:val="zh-CN"/>
        </w:rPr>
        <w:t>鑫沅资产</w:t>
      </w:r>
      <w:r>
        <w:rPr>
          <w:rFonts w:eastAsia="Times New Roman"/>
          <w:kern w:val="0"/>
          <w:lang w:val="zh-CN"/>
        </w:rPr>
        <w:t>”</w:t>
      </w:r>
      <w:r>
        <w:rPr>
          <w:rFonts w:hint="eastAsia" w:ascii="宋体" w:hAnsi="宋体" w:cs="宋体"/>
          <w:kern w:val="0"/>
          <w:lang w:val="zh-CN"/>
        </w:rPr>
        <w:t>）签署了《合伙协议》，拟共同发起设立宁波美康盈实股权投资基金合伙企业（有限合伙）（以下简称</w:t>
      </w:r>
      <w:r>
        <w:rPr>
          <w:rFonts w:eastAsia="Times New Roman"/>
          <w:kern w:val="0"/>
          <w:lang w:val="zh-CN"/>
        </w:rPr>
        <w:t>“</w:t>
      </w:r>
      <w:r>
        <w:rPr>
          <w:rFonts w:hint="eastAsia" w:ascii="宋体" w:hAnsi="宋体" w:cs="宋体"/>
          <w:kern w:val="0"/>
          <w:lang w:val="zh-CN"/>
        </w:rPr>
        <w:t>美康盈实基金</w:t>
      </w:r>
      <w:r>
        <w:rPr>
          <w:rFonts w:eastAsia="Times New Roman"/>
          <w:kern w:val="0"/>
          <w:lang w:val="zh-CN"/>
        </w:rPr>
        <w:t>”</w:t>
      </w:r>
      <w:r>
        <w:rPr>
          <w:rFonts w:hint="eastAsia" w:ascii="宋体" w:hAnsi="宋体" w:cs="宋体"/>
          <w:kern w:val="0"/>
          <w:lang w:val="zh-CN"/>
        </w:rPr>
        <w:t>）。美康盈实基金的认缴出资总额拟为人民币</w:t>
      </w:r>
      <w:r>
        <w:rPr>
          <w:rFonts w:eastAsia="Times New Roman"/>
          <w:kern w:val="0"/>
          <w:lang w:val="zh-CN"/>
        </w:rPr>
        <w:t>2.02</w:t>
      </w:r>
      <w:r>
        <w:rPr>
          <w:rFonts w:hint="eastAsia" w:ascii="宋体" w:hAnsi="宋体" w:cs="宋体"/>
          <w:kern w:val="0"/>
          <w:lang w:val="zh-CN"/>
        </w:rPr>
        <w:t>亿元，其中，公司出资人民币</w:t>
      </w:r>
      <w:r>
        <w:rPr>
          <w:rFonts w:eastAsia="Times New Roman"/>
          <w:kern w:val="0"/>
          <w:lang w:val="zh-CN"/>
        </w:rPr>
        <w:t>5,000</w:t>
      </w:r>
      <w:r>
        <w:rPr>
          <w:rFonts w:hint="eastAsia" w:ascii="宋体" w:hAnsi="宋体" w:cs="宋体"/>
          <w:kern w:val="0"/>
          <w:lang w:val="zh-CN"/>
        </w:rPr>
        <w:t>万元；盈实投资出资人民币</w:t>
      </w:r>
      <w:r>
        <w:rPr>
          <w:rFonts w:eastAsia="Times New Roman"/>
          <w:kern w:val="0"/>
          <w:lang w:val="zh-CN"/>
        </w:rPr>
        <w:t>200.00</w:t>
      </w:r>
      <w:r>
        <w:rPr>
          <w:rFonts w:hint="eastAsia" w:ascii="宋体" w:hAnsi="宋体" w:cs="宋体"/>
          <w:kern w:val="0"/>
          <w:lang w:val="zh-CN"/>
        </w:rPr>
        <w:t>万元；鑫沅资产出资人民币</w:t>
      </w:r>
      <w:r>
        <w:rPr>
          <w:rFonts w:eastAsia="Times New Roman"/>
          <w:kern w:val="0"/>
          <w:lang w:val="zh-CN"/>
        </w:rPr>
        <w:t>1.50</w:t>
      </w:r>
      <w:r>
        <w:rPr>
          <w:rFonts w:hint="eastAsia" w:ascii="宋体" w:hAnsi="宋体" w:cs="宋体"/>
          <w:kern w:val="0"/>
          <w:lang w:val="zh-CN"/>
        </w:rPr>
        <w:t>亿元。美康盈实基金已于</w:t>
      </w:r>
      <w:r>
        <w:rPr>
          <w:rFonts w:eastAsia="Times New Roman"/>
          <w:kern w:val="0"/>
          <w:lang w:val="zh-CN"/>
        </w:rPr>
        <w:t>2018</w:t>
      </w:r>
      <w:r>
        <w:rPr>
          <w:rFonts w:hint="eastAsia" w:ascii="宋体" w:hAnsi="宋体" w:cs="宋体"/>
          <w:kern w:val="0"/>
          <w:lang w:val="zh-CN"/>
        </w:rPr>
        <w:t>年</w:t>
      </w:r>
      <w:r>
        <w:rPr>
          <w:rFonts w:eastAsia="Times New Roman"/>
          <w:kern w:val="0"/>
          <w:lang w:val="zh-CN"/>
        </w:rPr>
        <w:t>1</w:t>
      </w:r>
      <w:r>
        <w:rPr>
          <w:rFonts w:hint="eastAsia" w:ascii="宋体" w:hAnsi="宋体" w:cs="宋体"/>
          <w:kern w:val="0"/>
          <w:lang w:val="zh-CN"/>
        </w:rPr>
        <w:t>月</w:t>
      </w:r>
      <w:r>
        <w:rPr>
          <w:rFonts w:eastAsia="Times New Roman"/>
          <w:kern w:val="0"/>
          <w:lang w:val="zh-CN"/>
        </w:rPr>
        <w:t>17</w:t>
      </w:r>
      <w:r>
        <w:rPr>
          <w:rFonts w:hint="eastAsia" w:ascii="宋体" w:hAnsi="宋体" w:cs="宋体"/>
          <w:kern w:val="0"/>
          <w:lang w:val="zh-CN"/>
        </w:rPr>
        <w:t>日成立，截止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日，公司累计缴纳出资</w:t>
      </w:r>
      <w:r>
        <w:rPr>
          <w:rFonts w:eastAsia="Times New Roman"/>
          <w:kern w:val="0"/>
          <w:lang w:val="zh-CN"/>
        </w:rPr>
        <w:t>1,450</w:t>
      </w:r>
      <w:r>
        <w:rPr>
          <w:rFonts w:hint="eastAsia" w:ascii="宋体" w:hAnsi="宋体" w:cs="宋体"/>
          <w:kern w:val="0"/>
          <w:lang w:val="zh-CN"/>
        </w:rPr>
        <w:t>万元；盈实投资累计缴纳出资</w:t>
      </w:r>
      <w:r>
        <w:rPr>
          <w:rFonts w:eastAsia="Times New Roman"/>
          <w:kern w:val="0"/>
          <w:lang w:val="zh-CN"/>
        </w:rPr>
        <w:t>50.00</w:t>
      </w:r>
      <w:r>
        <w:rPr>
          <w:rFonts w:hint="eastAsia" w:ascii="宋体" w:hAnsi="宋体" w:cs="宋体"/>
          <w:kern w:val="0"/>
          <w:lang w:val="zh-CN"/>
        </w:rPr>
        <w:t>万元；鑫沅资产累计缴纳出资</w:t>
      </w:r>
      <w:r>
        <w:rPr>
          <w:rFonts w:eastAsia="Times New Roman"/>
          <w:kern w:val="0"/>
          <w:lang w:val="zh-CN"/>
        </w:rPr>
        <w:t>4,350.00</w:t>
      </w:r>
      <w:r>
        <w:rPr>
          <w:rFonts w:hint="eastAsia" w:ascii="宋体" w:hAnsi="宋体" w:cs="宋体"/>
          <w:kern w:val="0"/>
          <w:lang w:val="zh-CN"/>
        </w:rPr>
        <w:t>万元。</w:t>
      </w:r>
      <w:r>
        <w:rPr>
          <w:rFonts w:hint="eastAsia" w:ascii="宋体" w:hAnsi="宋体" w:cs="宋体"/>
          <w:kern w:val="0"/>
          <w:highlight w:val="white"/>
          <w:lang w:val="zh-CN"/>
        </w:rPr>
        <w:t>截止</w:t>
      </w:r>
      <w:r>
        <w:rPr>
          <w:rFonts w:eastAsia="Times New Roman"/>
          <w:kern w:val="0"/>
          <w:highlight w:val="white"/>
          <w:lang w:val="zh-CN"/>
        </w:rPr>
        <w:t>2020</w:t>
      </w:r>
      <w:r>
        <w:rPr>
          <w:rFonts w:hint="eastAsia" w:ascii="宋体" w:hAnsi="宋体" w:cs="宋体"/>
          <w:kern w:val="0"/>
          <w:highlight w:val="white"/>
          <w:lang w:val="zh-CN"/>
        </w:rPr>
        <w:t>年</w:t>
      </w:r>
      <w:r>
        <w:rPr>
          <w:rFonts w:eastAsia="Times New Roman"/>
          <w:kern w:val="0"/>
          <w:highlight w:val="white"/>
          <w:lang w:val="zh-CN"/>
        </w:rPr>
        <w:t>4</w:t>
      </w:r>
      <w:r>
        <w:rPr>
          <w:rFonts w:hint="eastAsia" w:ascii="宋体" w:hAnsi="宋体" w:cs="宋体"/>
          <w:kern w:val="0"/>
          <w:highlight w:val="white"/>
          <w:lang w:val="zh-CN"/>
        </w:rPr>
        <w:t>月</w:t>
      </w:r>
      <w:r>
        <w:rPr>
          <w:rFonts w:eastAsia="Times New Roman"/>
          <w:kern w:val="0"/>
          <w:highlight w:val="white"/>
          <w:lang w:val="zh-CN"/>
        </w:rPr>
        <w:t>2</w:t>
      </w:r>
      <w:r>
        <w:rPr>
          <w:rFonts w:eastAsiaTheme="minorEastAsia"/>
          <w:kern w:val="0"/>
          <w:highlight w:val="white"/>
          <w:lang w:val="zh-CN"/>
        </w:rPr>
        <w:t>7</w:t>
      </w:r>
      <w:r>
        <w:rPr>
          <w:rFonts w:hint="eastAsia" w:ascii="宋体" w:hAnsi="宋体" w:cs="宋体"/>
          <w:kern w:val="0"/>
          <w:highlight w:val="white"/>
          <w:lang w:val="zh-CN"/>
        </w:rPr>
        <w:t>日，公司累计缴纳出资</w:t>
      </w:r>
      <w:r>
        <w:rPr>
          <w:rFonts w:eastAsia="Times New Roman"/>
          <w:kern w:val="0"/>
          <w:highlight w:val="white"/>
          <w:lang w:val="zh-CN"/>
        </w:rPr>
        <w:t>1,450</w:t>
      </w:r>
      <w:r>
        <w:rPr>
          <w:rFonts w:hint="eastAsia" w:ascii="宋体" w:hAnsi="宋体" w:cs="宋体"/>
          <w:kern w:val="0"/>
          <w:highlight w:val="white"/>
          <w:lang w:val="zh-CN"/>
        </w:rPr>
        <w:t>万元；盈实投资累计缴纳出资</w:t>
      </w:r>
      <w:r>
        <w:rPr>
          <w:rFonts w:eastAsia="Times New Roman"/>
          <w:kern w:val="0"/>
          <w:highlight w:val="white"/>
          <w:lang w:val="zh-CN"/>
        </w:rPr>
        <w:t>50.00</w:t>
      </w:r>
      <w:r>
        <w:rPr>
          <w:rFonts w:hint="eastAsia" w:ascii="宋体" w:hAnsi="宋体" w:cs="宋体"/>
          <w:kern w:val="0"/>
          <w:highlight w:val="white"/>
          <w:lang w:val="zh-CN"/>
        </w:rPr>
        <w:t>万元；鑫沅资产累计缴纳出资</w:t>
      </w:r>
      <w:r>
        <w:rPr>
          <w:rFonts w:eastAsia="Times New Roman"/>
          <w:kern w:val="0"/>
          <w:highlight w:val="white"/>
          <w:lang w:val="zh-CN"/>
        </w:rPr>
        <w:t>4,350.00</w:t>
      </w:r>
      <w:r>
        <w:rPr>
          <w:rFonts w:hint="eastAsia" w:ascii="宋体" w:hAnsi="宋体" w:cs="宋体"/>
          <w:kern w:val="0"/>
          <w:highlight w:val="white"/>
          <w:lang w:val="zh-CN"/>
        </w:rPr>
        <w:t>万元。</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w:t>
      </w:r>
      <w:r>
        <w:rPr>
          <w:rFonts w:eastAsia="Times New Roman"/>
          <w:kern w:val="0"/>
          <w:lang w:val="zh-CN"/>
        </w:rPr>
        <w:t>5</w:t>
      </w:r>
      <w:r>
        <w:rPr>
          <w:rFonts w:hint="eastAsia" w:ascii="宋体" w:hAnsi="宋体" w:cs="宋体"/>
          <w:kern w:val="0"/>
          <w:lang w:val="zh-CN"/>
        </w:rPr>
        <w:t>）</w:t>
      </w:r>
      <w:r>
        <w:rPr>
          <w:rFonts w:eastAsia="Times New Roman"/>
          <w:kern w:val="0"/>
          <w:lang w:val="zh-CN"/>
        </w:rPr>
        <w:t>2018</w:t>
      </w:r>
      <w:r>
        <w:rPr>
          <w:rFonts w:hint="eastAsia" w:ascii="宋体" w:hAnsi="宋体" w:cs="宋体"/>
          <w:kern w:val="0"/>
          <w:lang w:val="zh-CN"/>
        </w:rPr>
        <w:t>年</w:t>
      </w:r>
      <w:r>
        <w:rPr>
          <w:rFonts w:eastAsia="Times New Roman"/>
          <w:kern w:val="0"/>
          <w:lang w:val="zh-CN"/>
        </w:rPr>
        <w:t>2</w:t>
      </w:r>
      <w:r>
        <w:rPr>
          <w:rFonts w:hint="eastAsia" w:ascii="宋体" w:hAnsi="宋体" w:cs="宋体"/>
          <w:kern w:val="0"/>
          <w:lang w:val="zh-CN"/>
        </w:rPr>
        <w:t>月</w:t>
      </w:r>
      <w:r>
        <w:rPr>
          <w:rFonts w:eastAsia="Times New Roman"/>
          <w:kern w:val="0"/>
          <w:lang w:val="zh-CN"/>
        </w:rPr>
        <w:t>1</w:t>
      </w:r>
      <w:r>
        <w:rPr>
          <w:rFonts w:hint="eastAsia" w:ascii="宋体" w:hAnsi="宋体" w:cs="宋体"/>
          <w:kern w:val="0"/>
          <w:lang w:val="zh-CN"/>
        </w:rPr>
        <w:t>日，公司与杭州健立生物科技有限公司、宁波上医善世大健康投资合伙企业（有限合伙）签署了《投资合作协议》，拟共同出资设立美康盛德生物科技泰州有限公司。公司拟以货币出资</w:t>
      </w:r>
      <w:r>
        <w:rPr>
          <w:rFonts w:eastAsia="Times New Roman"/>
          <w:kern w:val="0"/>
          <w:lang w:val="zh-CN"/>
        </w:rPr>
        <w:t>1,500.00</w:t>
      </w:r>
      <w:r>
        <w:rPr>
          <w:rFonts w:hint="eastAsia" w:ascii="宋体" w:hAnsi="宋体" w:cs="宋体"/>
          <w:kern w:val="0"/>
          <w:lang w:val="zh-CN"/>
        </w:rPr>
        <w:t>万元，占注册资本</w:t>
      </w:r>
      <w:r>
        <w:rPr>
          <w:rFonts w:eastAsia="Times New Roman"/>
          <w:kern w:val="0"/>
          <w:lang w:val="zh-CN"/>
        </w:rPr>
        <w:t>30%</w:t>
      </w:r>
      <w:r>
        <w:rPr>
          <w:rFonts w:hint="eastAsia" w:ascii="宋体" w:hAnsi="宋体" w:cs="宋体"/>
          <w:kern w:val="0"/>
          <w:lang w:val="zh-CN"/>
        </w:rPr>
        <w:t>，杭州健立生物科技有限公司拟以货币出资</w:t>
      </w:r>
      <w:r>
        <w:rPr>
          <w:rFonts w:eastAsia="Times New Roman"/>
          <w:kern w:val="0"/>
          <w:lang w:val="zh-CN"/>
        </w:rPr>
        <w:t>1,500.00</w:t>
      </w:r>
      <w:r>
        <w:rPr>
          <w:rFonts w:hint="eastAsia" w:ascii="宋体" w:hAnsi="宋体" w:cs="宋体"/>
          <w:kern w:val="0"/>
          <w:lang w:val="zh-CN"/>
        </w:rPr>
        <w:t>万元，占注册资本</w:t>
      </w:r>
      <w:r>
        <w:rPr>
          <w:rFonts w:eastAsia="Times New Roman"/>
          <w:kern w:val="0"/>
          <w:lang w:val="zh-CN"/>
        </w:rPr>
        <w:t>30%</w:t>
      </w:r>
      <w:r>
        <w:rPr>
          <w:rFonts w:hint="eastAsia" w:ascii="宋体" w:hAnsi="宋体" w:cs="宋体"/>
          <w:kern w:val="0"/>
          <w:lang w:val="zh-CN"/>
        </w:rPr>
        <w:t>，宁波上医善世大健康投资合伙企业（有限合伙）拟以货币出资</w:t>
      </w:r>
      <w:r>
        <w:rPr>
          <w:rFonts w:eastAsia="Times New Roman"/>
          <w:kern w:val="0"/>
          <w:lang w:val="zh-CN"/>
        </w:rPr>
        <w:t>2,000.00</w:t>
      </w:r>
      <w:r>
        <w:rPr>
          <w:rFonts w:hint="eastAsia" w:ascii="宋体" w:hAnsi="宋体" w:cs="宋体"/>
          <w:kern w:val="0"/>
          <w:lang w:val="zh-CN"/>
        </w:rPr>
        <w:t>万元，占注册资本</w:t>
      </w:r>
      <w:r>
        <w:rPr>
          <w:rFonts w:eastAsia="Times New Roman"/>
          <w:kern w:val="0"/>
          <w:lang w:val="zh-CN"/>
        </w:rPr>
        <w:t>40%</w:t>
      </w:r>
      <w:r>
        <w:rPr>
          <w:rFonts w:hint="eastAsia" w:ascii="宋体" w:hAnsi="宋体" w:cs="宋体"/>
          <w:kern w:val="0"/>
          <w:lang w:val="zh-CN"/>
        </w:rPr>
        <w:t>。美康盛德生物科技泰州有限公司于</w:t>
      </w:r>
      <w:r>
        <w:rPr>
          <w:rFonts w:eastAsia="Times New Roman"/>
          <w:kern w:val="0"/>
          <w:lang w:val="zh-CN"/>
        </w:rPr>
        <w:t>2018</w:t>
      </w:r>
      <w:r>
        <w:rPr>
          <w:rFonts w:hint="eastAsia" w:ascii="宋体" w:hAnsi="宋体" w:cs="宋体"/>
          <w:kern w:val="0"/>
          <w:lang w:val="zh-CN"/>
        </w:rPr>
        <w:t>年</w:t>
      </w:r>
      <w:r>
        <w:rPr>
          <w:rFonts w:eastAsia="Times New Roman"/>
          <w:kern w:val="0"/>
          <w:lang w:val="zh-CN"/>
        </w:rPr>
        <w:t>3</w:t>
      </w:r>
      <w:r>
        <w:rPr>
          <w:rFonts w:hint="eastAsia" w:ascii="宋体" w:hAnsi="宋体" w:cs="宋体"/>
          <w:kern w:val="0"/>
          <w:lang w:val="zh-CN"/>
        </w:rPr>
        <w:t>月</w:t>
      </w:r>
      <w:r>
        <w:rPr>
          <w:rFonts w:eastAsia="Times New Roman"/>
          <w:kern w:val="0"/>
          <w:lang w:val="zh-CN"/>
        </w:rPr>
        <w:t>1</w:t>
      </w:r>
      <w:r>
        <w:rPr>
          <w:rFonts w:hint="eastAsia" w:ascii="宋体" w:hAnsi="宋体" w:cs="宋体"/>
          <w:kern w:val="0"/>
          <w:lang w:val="zh-CN"/>
        </w:rPr>
        <w:t>日成立。截止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日，公司已缴纳出资</w:t>
      </w:r>
      <w:r>
        <w:rPr>
          <w:rFonts w:eastAsia="Times New Roman"/>
          <w:kern w:val="0"/>
          <w:lang w:val="zh-CN"/>
        </w:rPr>
        <w:t>540</w:t>
      </w:r>
      <w:r>
        <w:rPr>
          <w:rFonts w:hint="eastAsia" w:ascii="宋体" w:hAnsi="宋体" w:cs="宋体"/>
          <w:kern w:val="0"/>
          <w:lang w:val="zh-CN"/>
        </w:rPr>
        <w:t>万元，杭州健立生物科技有限公司、宁波上医善世大健康投资合伙企业（有限合伙）均未缴纳出资。</w:t>
      </w:r>
      <w:r>
        <w:rPr>
          <w:rFonts w:eastAsia="Times New Roman"/>
          <w:kern w:val="0"/>
          <w:lang w:val="zh-CN"/>
        </w:rPr>
        <w:t>2020</w:t>
      </w:r>
      <w:r>
        <w:rPr>
          <w:rFonts w:hint="eastAsia" w:ascii="宋体" w:hAnsi="宋体" w:cs="宋体"/>
          <w:kern w:val="0"/>
          <w:lang w:val="zh-CN"/>
        </w:rPr>
        <w:t>年</w:t>
      </w:r>
      <w:r>
        <w:rPr>
          <w:rFonts w:eastAsia="Times New Roman"/>
          <w:kern w:val="0"/>
          <w:lang w:val="zh-CN"/>
        </w:rPr>
        <w:t>3</w:t>
      </w:r>
      <w:r>
        <w:rPr>
          <w:rFonts w:hint="eastAsia" w:ascii="宋体" w:hAnsi="宋体" w:cs="宋体"/>
          <w:kern w:val="0"/>
          <w:lang w:val="zh-CN"/>
        </w:rPr>
        <w:t>月</w:t>
      </w:r>
      <w:r>
        <w:rPr>
          <w:rFonts w:eastAsia="Times New Roman"/>
          <w:kern w:val="0"/>
          <w:lang w:val="zh-CN"/>
        </w:rPr>
        <w:t>11</w:t>
      </w:r>
      <w:r>
        <w:rPr>
          <w:rFonts w:hint="eastAsia" w:ascii="宋体" w:hAnsi="宋体" w:cs="宋体"/>
          <w:kern w:val="0"/>
          <w:lang w:val="zh-CN"/>
        </w:rPr>
        <w:t>日，美康盛德生物科技泰州有限公司已注销。</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w:t>
      </w:r>
      <w:r>
        <w:rPr>
          <w:rFonts w:eastAsia="Times New Roman"/>
          <w:kern w:val="0"/>
          <w:lang w:val="zh-CN"/>
        </w:rPr>
        <w:t>6</w:t>
      </w:r>
      <w:r>
        <w:rPr>
          <w:rFonts w:hint="eastAsia" w:ascii="宋体" w:hAnsi="宋体" w:cs="宋体"/>
          <w:kern w:val="0"/>
          <w:lang w:val="zh-CN"/>
        </w:rPr>
        <w:t>）</w:t>
      </w:r>
      <w:r>
        <w:rPr>
          <w:rFonts w:eastAsia="Times New Roman"/>
          <w:kern w:val="0"/>
          <w:lang w:val="zh-CN"/>
        </w:rPr>
        <w:t>2018</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3</w:t>
      </w:r>
      <w:r>
        <w:rPr>
          <w:rFonts w:hint="eastAsia" w:ascii="宋体" w:hAnsi="宋体" w:cs="宋体"/>
          <w:kern w:val="0"/>
          <w:lang w:val="zh-CN"/>
        </w:rPr>
        <w:t>日，公司与广西凌泽医疗投资有限公司签署了《投资合作协议》，共同出资设立美康盛德（广西）投资有限公司。其中公司认缴出资</w:t>
      </w:r>
      <w:r>
        <w:rPr>
          <w:rFonts w:eastAsia="Times New Roman"/>
          <w:kern w:val="0"/>
          <w:lang w:val="zh-CN"/>
        </w:rPr>
        <w:t>1,100</w:t>
      </w:r>
      <w:r>
        <w:rPr>
          <w:rFonts w:hint="eastAsia" w:ascii="宋体" w:hAnsi="宋体" w:cs="宋体"/>
          <w:kern w:val="0"/>
          <w:lang w:val="zh-CN"/>
        </w:rPr>
        <w:t>万元，占注册资本</w:t>
      </w:r>
      <w:r>
        <w:rPr>
          <w:rFonts w:eastAsia="Times New Roman"/>
          <w:kern w:val="0"/>
          <w:lang w:val="zh-CN"/>
        </w:rPr>
        <w:t>55%</w:t>
      </w:r>
      <w:r>
        <w:rPr>
          <w:rFonts w:hint="eastAsia" w:ascii="宋体" w:hAnsi="宋体" w:cs="宋体"/>
          <w:kern w:val="0"/>
          <w:lang w:val="zh-CN"/>
        </w:rPr>
        <w:t>，广西凌泽医疗投资有限公司认缴出资</w:t>
      </w:r>
      <w:r>
        <w:rPr>
          <w:rFonts w:eastAsia="Times New Roman"/>
          <w:kern w:val="0"/>
          <w:lang w:val="zh-CN"/>
        </w:rPr>
        <w:t>900</w:t>
      </w:r>
      <w:r>
        <w:rPr>
          <w:rFonts w:hint="eastAsia" w:ascii="宋体" w:hAnsi="宋体" w:cs="宋体"/>
          <w:kern w:val="0"/>
          <w:lang w:val="zh-CN"/>
        </w:rPr>
        <w:t>万元，占注册资本</w:t>
      </w:r>
      <w:r>
        <w:rPr>
          <w:rFonts w:eastAsia="Times New Roman"/>
          <w:kern w:val="0"/>
          <w:lang w:val="zh-CN"/>
        </w:rPr>
        <w:t>45%</w:t>
      </w:r>
      <w:r>
        <w:rPr>
          <w:rFonts w:hint="eastAsia" w:ascii="宋体" w:hAnsi="宋体" w:cs="宋体"/>
          <w:kern w:val="0"/>
          <w:lang w:val="zh-CN"/>
        </w:rPr>
        <w:t>。</w:t>
      </w:r>
      <w:r>
        <w:rPr>
          <w:rFonts w:eastAsia="Times New Roman"/>
          <w:kern w:val="0"/>
          <w:lang w:val="zh-CN"/>
        </w:rPr>
        <w:t>2018</w:t>
      </w:r>
      <w:r>
        <w:rPr>
          <w:rFonts w:hint="eastAsia" w:ascii="宋体" w:hAnsi="宋体" w:cs="宋体"/>
          <w:kern w:val="0"/>
          <w:lang w:val="zh-CN"/>
        </w:rPr>
        <w:t>年</w:t>
      </w:r>
      <w:r>
        <w:rPr>
          <w:rFonts w:eastAsia="Times New Roman"/>
          <w:kern w:val="0"/>
          <w:lang w:val="zh-CN"/>
        </w:rPr>
        <w:t>5</w:t>
      </w:r>
      <w:r>
        <w:rPr>
          <w:rFonts w:hint="eastAsia" w:ascii="宋体" w:hAnsi="宋体" w:cs="宋体"/>
          <w:kern w:val="0"/>
          <w:lang w:val="zh-CN"/>
        </w:rPr>
        <w:t>月</w:t>
      </w:r>
      <w:r>
        <w:rPr>
          <w:rFonts w:eastAsia="Times New Roman"/>
          <w:kern w:val="0"/>
          <w:lang w:val="zh-CN"/>
        </w:rPr>
        <w:t>28</w:t>
      </w:r>
      <w:r>
        <w:rPr>
          <w:rFonts w:hint="eastAsia" w:ascii="宋体" w:hAnsi="宋体" w:cs="宋体"/>
          <w:kern w:val="0"/>
          <w:lang w:val="zh-CN"/>
        </w:rPr>
        <w:t>日，公司与广西凌泽医疗投资有限公司投资成立美康盛德（广西）投资有限公司。截止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日，公司已缴纳出资</w:t>
      </w:r>
      <w:r>
        <w:rPr>
          <w:rFonts w:eastAsia="Times New Roman"/>
          <w:kern w:val="0"/>
          <w:lang w:val="zh-CN"/>
        </w:rPr>
        <w:t>317</w:t>
      </w:r>
      <w:r>
        <w:rPr>
          <w:rFonts w:hint="eastAsia" w:ascii="宋体" w:hAnsi="宋体" w:cs="宋体"/>
          <w:kern w:val="0"/>
          <w:lang w:val="zh-CN"/>
        </w:rPr>
        <w:t>万元，广西凌泽医疗投资有限公司已缴纳出资</w:t>
      </w:r>
      <w:r>
        <w:rPr>
          <w:rFonts w:eastAsia="Times New Roman"/>
          <w:kern w:val="0"/>
          <w:lang w:val="zh-CN"/>
        </w:rPr>
        <w:t>45.36</w:t>
      </w:r>
      <w:r>
        <w:rPr>
          <w:rFonts w:hint="eastAsia" w:ascii="宋体" w:hAnsi="宋体" w:cs="宋体"/>
          <w:kern w:val="0"/>
          <w:lang w:val="zh-CN"/>
        </w:rPr>
        <w:t>万元。</w:t>
      </w:r>
      <w:r>
        <w:rPr>
          <w:rFonts w:hint="eastAsia" w:ascii="宋体" w:hAnsi="宋体" w:cs="宋体"/>
          <w:kern w:val="0"/>
          <w:highlight w:val="white"/>
          <w:lang w:val="zh-CN"/>
        </w:rPr>
        <w:t>截止</w:t>
      </w:r>
      <w:r>
        <w:rPr>
          <w:rFonts w:eastAsia="Times New Roman"/>
          <w:kern w:val="0"/>
          <w:highlight w:val="white"/>
          <w:lang w:val="zh-CN"/>
        </w:rPr>
        <w:t>2020</w:t>
      </w:r>
      <w:r>
        <w:rPr>
          <w:rFonts w:hint="eastAsia" w:ascii="宋体" w:hAnsi="宋体" w:cs="宋体"/>
          <w:kern w:val="0"/>
          <w:highlight w:val="white"/>
          <w:lang w:val="zh-CN"/>
        </w:rPr>
        <w:t>年</w:t>
      </w:r>
      <w:r>
        <w:rPr>
          <w:rFonts w:eastAsia="Times New Roman"/>
          <w:kern w:val="0"/>
          <w:highlight w:val="white"/>
          <w:lang w:val="zh-CN"/>
        </w:rPr>
        <w:t>4</w:t>
      </w:r>
      <w:r>
        <w:rPr>
          <w:rFonts w:hint="eastAsia" w:ascii="宋体" w:hAnsi="宋体" w:cs="宋体"/>
          <w:kern w:val="0"/>
          <w:highlight w:val="white"/>
          <w:lang w:val="zh-CN"/>
        </w:rPr>
        <w:t>月</w:t>
      </w:r>
      <w:r>
        <w:rPr>
          <w:rFonts w:eastAsia="Times New Roman"/>
          <w:kern w:val="0"/>
          <w:highlight w:val="white"/>
          <w:lang w:val="zh-CN"/>
        </w:rPr>
        <w:t>2</w:t>
      </w:r>
      <w:r>
        <w:rPr>
          <w:rFonts w:eastAsiaTheme="minorEastAsia"/>
          <w:kern w:val="0"/>
          <w:highlight w:val="white"/>
          <w:lang w:val="zh-CN"/>
        </w:rPr>
        <w:t>7</w:t>
      </w:r>
      <w:r>
        <w:rPr>
          <w:rFonts w:hint="eastAsia" w:ascii="宋体" w:hAnsi="宋体" w:cs="宋体"/>
          <w:kern w:val="0"/>
          <w:highlight w:val="white"/>
          <w:lang w:val="zh-CN"/>
        </w:rPr>
        <w:t>日，公司已缴纳出资</w:t>
      </w:r>
      <w:r>
        <w:rPr>
          <w:rFonts w:eastAsia="Times New Roman"/>
          <w:kern w:val="0"/>
          <w:highlight w:val="white"/>
          <w:lang w:val="zh-CN"/>
        </w:rPr>
        <w:t>317</w:t>
      </w:r>
      <w:r>
        <w:rPr>
          <w:rFonts w:hint="eastAsia" w:ascii="宋体" w:hAnsi="宋体" w:cs="宋体"/>
          <w:kern w:val="0"/>
          <w:highlight w:val="white"/>
          <w:lang w:val="zh-CN"/>
        </w:rPr>
        <w:t>万元，广西凌泽医疗投资有限公司已缴纳出资</w:t>
      </w:r>
      <w:r>
        <w:rPr>
          <w:rFonts w:eastAsia="Times New Roman"/>
          <w:kern w:val="0"/>
          <w:highlight w:val="white"/>
          <w:lang w:val="zh-CN"/>
        </w:rPr>
        <w:t>45.36</w:t>
      </w:r>
      <w:r>
        <w:rPr>
          <w:rFonts w:hint="eastAsia" w:ascii="宋体" w:hAnsi="宋体" w:cs="宋体"/>
          <w:kern w:val="0"/>
          <w:highlight w:val="white"/>
          <w:lang w:val="zh-CN"/>
        </w:rPr>
        <w:t>万元。</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w:t>
      </w:r>
      <w:r>
        <w:rPr>
          <w:rFonts w:eastAsia="Times New Roman"/>
          <w:kern w:val="0"/>
          <w:lang w:val="zh-CN"/>
        </w:rPr>
        <w:t>7</w:t>
      </w:r>
      <w:r>
        <w:rPr>
          <w:rFonts w:hint="eastAsia" w:ascii="宋体" w:hAnsi="宋体" w:cs="宋体"/>
          <w:kern w:val="0"/>
          <w:lang w:val="zh-CN"/>
        </w:rPr>
        <w:t>）</w:t>
      </w:r>
      <w:r>
        <w:rPr>
          <w:rFonts w:eastAsia="Times New Roman"/>
          <w:kern w:val="0"/>
          <w:lang w:val="zh-CN"/>
        </w:rPr>
        <w:t>2018</w:t>
      </w:r>
      <w:r>
        <w:rPr>
          <w:rFonts w:hint="eastAsia" w:ascii="宋体" w:hAnsi="宋体" w:cs="宋体"/>
          <w:kern w:val="0"/>
          <w:lang w:val="zh-CN"/>
        </w:rPr>
        <w:t>年</w:t>
      </w:r>
      <w:r>
        <w:rPr>
          <w:rFonts w:eastAsia="Times New Roman"/>
          <w:kern w:val="0"/>
          <w:lang w:val="zh-CN"/>
        </w:rPr>
        <w:t>6</w:t>
      </w:r>
      <w:r>
        <w:rPr>
          <w:rFonts w:hint="eastAsia" w:ascii="宋体" w:hAnsi="宋体" w:cs="宋体"/>
          <w:kern w:val="0"/>
          <w:lang w:val="zh-CN"/>
        </w:rPr>
        <w:t>月</w:t>
      </w:r>
      <w:r>
        <w:rPr>
          <w:rFonts w:eastAsia="Times New Roman"/>
          <w:kern w:val="0"/>
          <w:lang w:val="zh-CN"/>
        </w:rPr>
        <w:t>4</w:t>
      </w:r>
      <w:r>
        <w:rPr>
          <w:rFonts w:hint="eastAsia" w:ascii="宋体" w:hAnsi="宋体" w:cs="宋体"/>
          <w:kern w:val="0"/>
          <w:lang w:val="zh-CN"/>
        </w:rPr>
        <w:t>日，公司与子公司美康生物（香港）有限公司、宁波上医善世大健康投资合伙企业（有限合伙）共同出资设立江西维瑞生物科技有限公司。</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月，宁波上医善世大健康投资合伙企业（有限合伙）将所持有的江西维瑞生物科技有限公司转让给美康生物（香港）有限公司。转让完成后，公司认缴出资</w:t>
      </w:r>
      <w:r>
        <w:rPr>
          <w:rFonts w:eastAsia="Times New Roman"/>
          <w:kern w:val="0"/>
          <w:lang w:val="zh-CN"/>
        </w:rPr>
        <w:t>3,750</w:t>
      </w:r>
      <w:r>
        <w:rPr>
          <w:rFonts w:hint="eastAsia" w:ascii="宋体" w:hAnsi="宋体" w:cs="宋体"/>
          <w:kern w:val="0"/>
          <w:lang w:val="zh-CN"/>
        </w:rPr>
        <w:t>万元，占注册资本的</w:t>
      </w:r>
      <w:r>
        <w:rPr>
          <w:rFonts w:eastAsia="Times New Roman"/>
          <w:kern w:val="0"/>
          <w:lang w:val="zh-CN"/>
        </w:rPr>
        <w:t>75%</w:t>
      </w:r>
      <w:r>
        <w:rPr>
          <w:rFonts w:hint="eastAsia" w:ascii="宋体" w:hAnsi="宋体" w:cs="宋体"/>
          <w:kern w:val="0"/>
          <w:lang w:val="zh-CN"/>
        </w:rPr>
        <w:t>，子公司美康生物（香港）有限公司出资</w:t>
      </w:r>
      <w:r>
        <w:rPr>
          <w:rFonts w:eastAsia="Times New Roman"/>
          <w:kern w:val="0"/>
          <w:lang w:val="zh-CN"/>
        </w:rPr>
        <w:t>1250</w:t>
      </w:r>
      <w:r>
        <w:rPr>
          <w:rFonts w:hint="eastAsia" w:ascii="宋体" w:hAnsi="宋体" w:cs="宋体"/>
          <w:kern w:val="0"/>
          <w:lang w:val="zh-CN"/>
        </w:rPr>
        <w:t>万元，占注册资本的</w:t>
      </w:r>
      <w:r>
        <w:rPr>
          <w:rFonts w:eastAsia="Times New Roman"/>
          <w:kern w:val="0"/>
          <w:lang w:val="zh-CN"/>
        </w:rPr>
        <w:t>25%</w:t>
      </w:r>
      <w:r>
        <w:rPr>
          <w:rFonts w:hint="eastAsia" w:ascii="宋体" w:hAnsi="宋体" w:cs="宋体"/>
          <w:kern w:val="0"/>
          <w:lang w:val="zh-CN"/>
        </w:rPr>
        <w:t>。江西维瑞生物科技有限公司已于</w:t>
      </w:r>
      <w:r>
        <w:rPr>
          <w:rFonts w:eastAsia="Times New Roman"/>
          <w:kern w:val="0"/>
          <w:lang w:val="zh-CN"/>
        </w:rPr>
        <w:t>2018</w:t>
      </w:r>
      <w:r>
        <w:rPr>
          <w:rFonts w:hint="eastAsia" w:ascii="宋体" w:hAnsi="宋体" w:cs="宋体"/>
          <w:kern w:val="0"/>
          <w:lang w:val="zh-CN"/>
        </w:rPr>
        <w:t>年</w:t>
      </w:r>
      <w:r>
        <w:rPr>
          <w:rFonts w:eastAsia="Times New Roman"/>
          <w:kern w:val="0"/>
          <w:lang w:val="zh-CN"/>
        </w:rPr>
        <w:t>6</w:t>
      </w:r>
      <w:r>
        <w:rPr>
          <w:rFonts w:hint="eastAsia" w:ascii="宋体" w:hAnsi="宋体" w:cs="宋体"/>
          <w:kern w:val="0"/>
          <w:lang w:val="zh-CN"/>
        </w:rPr>
        <w:t>月</w:t>
      </w:r>
      <w:r>
        <w:rPr>
          <w:rFonts w:eastAsia="Times New Roman"/>
          <w:kern w:val="0"/>
          <w:lang w:val="zh-CN"/>
        </w:rPr>
        <w:t>4</w:t>
      </w:r>
      <w:r>
        <w:rPr>
          <w:rFonts w:hint="eastAsia" w:ascii="宋体" w:hAnsi="宋体" w:cs="宋体"/>
          <w:kern w:val="0"/>
          <w:lang w:val="zh-CN"/>
        </w:rPr>
        <w:t>日成立，并于</w:t>
      </w:r>
      <w:r>
        <w:rPr>
          <w:rFonts w:eastAsia="Times New Roman"/>
          <w:kern w:val="0"/>
          <w:lang w:val="zh-CN"/>
        </w:rPr>
        <w:t>2019</w:t>
      </w:r>
      <w:r>
        <w:rPr>
          <w:rFonts w:hint="eastAsia" w:ascii="宋体" w:hAnsi="宋体" w:cs="宋体"/>
          <w:kern w:val="0"/>
          <w:lang w:val="zh-CN"/>
        </w:rPr>
        <w:t>年</w:t>
      </w:r>
      <w:r>
        <w:rPr>
          <w:rFonts w:eastAsia="Times New Roman"/>
          <w:kern w:val="0"/>
          <w:lang w:val="zh-CN"/>
        </w:rPr>
        <w:t>10</w:t>
      </w:r>
      <w:r>
        <w:rPr>
          <w:rFonts w:hint="eastAsia" w:ascii="宋体" w:hAnsi="宋体" w:cs="宋体"/>
          <w:kern w:val="0"/>
          <w:lang w:val="zh-CN"/>
        </w:rPr>
        <w:t>月变更名称为江西美康盛德生物科技有限公司。截止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日，公司已缴纳出资</w:t>
      </w:r>
      <w:r>
        <w:rPr>
          <w:rFonts w:eastAsia="Times New Roman"/>
          <w:kern w:val="0"/>
          <w:lang w:val="zh-CN"/>
        </w:rPr>
        <w:t>975</w:t>
      </w:r>
      <w:r>
        <w:rPr>
          <w:rFonts w:hint="eastAsia" w:ascii="宋体" w:hAnsi="宋体" w:cs="宋体"/>
          <w:kern w:val="0"/>
          <w:lang w:val="zh-CN"/>
        </w:rPr>
        <w:t>万元，美康生物（香港）有限公司已缴纳出资</w:t>
      </w:r>
      <w:r>
        <w:rPr>
          <w:rFonts w:eastAsia="Times New Roman"/>
          <w:kern w:val="0"/>
          <w:lang w:val="zh-CN"/>
        </w:rPr>
        <w:t>203.407</w:t>
      </w:r>
      <w:r>
        <w:rPr>
          <w:rFonts w:hint="eastAsia" w:ascii="宋体" w:hAnsi="宋体" w:cs="宋体"/>
          <w:kern w:val="0"/>
          <w:lang w:val="zh-CN"/>
        </w:rPr>
        <w:t>万元。</w:t>
      </w:r>
      <w:r>
        <w:rPr>
          <w:rFonts w:hint="eastAsia" w:ascii="宋体" w:hAnsi="宋体" w:cs="宋体"/>
          <w:kern w:val="0"/>
          <w:highlight w:val="white"/>
          <w:lang w:val="zh-CN"/>
        </w:rPr>
        <w:t>截止</w:t>
      </w:r>
      <w:r>
        <w:rPr>
          <w:rFonts w:eastAsia="Times New Roman"/>
          <w:kern w:val="0"/>
          <w:highlight w:val="white"/>
          <w:lang w:val="zh-CN"/>
        </w:rPr>
        <w:t>2020</w:t>
      </w:r>
      <w:r>
        <w:rPr>
          <w:rFonts w:hint="eastAsia" w:ascii="宋体" w:hAnsi="宋体" w:cs="宋体"/>
          <w:kern w:val="0"/>
          <w:highlight w:val="white"/>
          <w:lang w:val="zh-CN"/>
        </w:rPr>
        <w:t>年</w:t>
      </w:r>
      <w:r>
        <w:rPr>
          <w:rFonts w:eastAsia="Times New Roman"/>
          <w:kern w:val="0"/>
          <w:highlight w:val="white"/>
          <w:lang w:val="zh-CN"/>
        </w:rPr>
        <w:t>4</w:t>
      </w:r>
      <w:r>
        <w:rPr>
          <w:rFonts w:hint="eastAsia" w:ascii="宋体" w:hAnsi="宋体" w:cs="宋体"/>
          <w:kern w:val="0"/>
          <w:highlight w:val="white"/>
          <w:lang w:val="zh-CN"/>
        </w:rPr>
        <w:t>月</w:t>
      </w:r>
      <w:r>
        <w:rPr>
          <w:rFonts w:eastAsia="Times New Roman"/>
          <w:kern w:val="0"/>
          <w:highlight w:val="white"/>
          <w:lang w:val="zh-CN"/>
        </w:rPr>
        <w:t>2</w:t>
      </w:r>
      <w:r>
        <w:rPr>
          <w:rFonts w:eastAsiaTheme="minorEastAsia"/>
          <w:kern w:val="0"/>
          <w:highlight w:val="white"/>
          <w:lang w:val="zh-CN"/>
        </w:rPr>
        <w:t>7</w:t>
      </w:r>
      <w:r>
        <w:rPr>
          <w:rFonts w:hint="eastAsia" w:ascii="宋体" w:hAnsi="宋体" w:cs="宋体"/>
          <w:kern w:val="0"/>
          <w:highlight w:val="white"/>
          <w:lang w:val="zh-CN"/>
        </w:rPr>
        <w:t>日，公司已缴纳出资</w:t>
      </w:r>
      <w:r>
        <w:rPr>
          <w:rFonts w:eastAsia="Times New Roman"/>
          <w:kern w:val="0"/>
          <w:highlight w:val="white"/>
          <w:lang w:val="zh-CN"/>
        </w:rPr>
        <w:t>975</w:t>
      </w:r>
      <w:r>
        <w:rPr>
          <w:rFonts w:hint="eastAsia" w:ascii="宋体" w:hAnsi="宋体" w:cs="宋体"/>
          <w:kern w:val="0"/>
          <w:highlight w:val="white"/>
          <w:lang w:val="zh-CN"/>
        </w:rPr>
        <w:t>万元，美康生物（香港）有限公司已缴纳出资</w:t>
      </w:r>
      <w:r>
        <w:rPr>
          <w:rFonts w:eastAsia="Times New Roman"/>
          <w:kern w:val="0"/>
          <w:highlight w:val="white"/>
          <w:lang w:val="zh-CN"/>
        </w:rPr>
        <w:t>203.407</w:t>
      </w:r>
      <w:r>
        <w:rPr>
          <w:rFonts w:hint="eastAsia" w:ascii="宋体" w:hAnsi="宋体" w:cs="宋体"/>
          <w:kern w:val="0"/>
          <w:highlight w:val="white"/>
          <w:lang w:val="zh-CN"/>
        </w:rPr>
        <w:t>万元。</w:t>
      </w:r>
    </w:p>
    <w:p>
      <w:pPr>
        <w:autoSpaceDE w:val="0"/>
        <w:autoSpaceDN w:val="0"/>
        <w:adjustRightInd w:val="0"/>
        <w:spacing w:before="0" w:after="0"/>
        <w:ind w:firstLine="360" w:firstLineChars="200"/>
        <w:jc w:val="left"/>
        <w:rPr>
          <w:rFonts w:eastAsia="Times New Roman"/>
          <w:kern w:val="0"/>
          <w:lang w:val="zh-CN"/>
        </w:rPr>
      </w:pPr>
      <w:r>
        <w:rPr>
          <w:rFonts w:hint="eastAsia" w:ascii="宋体" w:hAnsi="宋体" w:cs="宋体"/>
          <w:kern w:val="0"/>
          <w:lang w:val="zh-CN"/>
        </w:rPr>
        <w:t>（</w:t>
      </w:r>
      <w:r>
        <w:rPr>
          <w:rFonts w:eastAsia="Times New Roman"/>
          <w:kern w:val="0"/>
          <w:lang w:val="zh-CN"/>
        </w:rPr>
        <w:t>8</w:t>
      </w:r>
      <w:r>
        <w:rPr>
          <w:rFonts w:hint="eastAsia" w:ascii="宋体" w:hAnsi="宋体" w:cs="宋体"/>
          <w:kern w:val="0"/>
          <w:lang w:val="zh-CN"/>
        </w:rPr>
        <w:t>）</w:t>
      </w:r>
      <w:r>
        <w:rPr>
          <w:rFonts w:eastAsia="Times New Roman"/>
          <w:kern w:val="0"/>
          <w:lang w:val="zh-CN"/>
        </w:rPr>
        <w:t>2018</w:t>
      </w:r>
      <w:r>
        <w:rPr>
          <w:rFonts w:hint="eastAsia" w:ascii="宋体" w:hAnsi="宋体" w:cs="宋体"/>
          <w:kern w:val="0"/>
          <w:lang w:val="zh-CN"/>
        </w:rPr>
        <w:t>年</w:t>
      </w:r>
      <w:r>
        <w:rPr>
          <w:rFonts w:eastAsia="Times New Roman"/>
          <w:kern w:val="0"/>
          <w:lang w:val="zh-CN"/>
        </w:rPr>
        <w:t>7</w:t>
      </w:r>
      <w:r>
        <w:rPr>
          <w:rFonts w:hint="eastAsia" w:ascii="宋体" w:hAnsi="宋体" w:cs="宋体"/>
          <w:kern w:val="0"/>
          <w:lang w:val="zh-CN"/>
        </w:rPr>
        <w:t>月</w:t>
      </w:r>
      <w:r>
        <w:rPr>
          <w:rFonts w:eastAsia="Times New Roman"/>
          <w:kern w:val="0"/>
          <w:lang w:val="zh-CN"/>
        </w:rPr>
        <w:t>4</w:t>
      </w:r>
      <w:r>
        <w:rPr>
          <w:rFonts w:hint="eastAsia" w:ascii="宋体" w:hAnsi="宋体" w:cs="宋体"/>
          <w:kern w:val="0"/>
          <w:lang w:val="zh-CN"/>
        </w:rPr>
        <w:t>日，公司与自然人杨雪辉签订股权转让协议，杨雪辉将持有的浙江汉库健康科技有限公司</w:t>
      </w:r>
      <w:r>
        <w:rPr>
          <w:rFonts w:eastAsia="Times New Roman"/>
          <w:kern w:val="0"/>
          <w:lang w:val="zh-CN"/>
        </w:rPr>
        <w:t>8%</w:t>
      </w:r>
      <w:r>
        <w:rPr>
          <w:rFonts w:hint="eastAsia" w:ascii="宋体" w:hAnsi="宋体" w:cs="宋体"/>
          <w:kern w:val="0"/>
          <w:lang w:val="zh-CN"/>
        </w:rPr>
        <w:t>的股权转让给本公司，对应的注册资本数为</w:t>
      </w:r>
      <w:r>
        <w:rPr>
          <w:rFonts w:eastAsia="Times New Roman"/>
          <w:kern w:val="0"/>
          <w:lang w:val="zh-CN"/>
        </w:rPr>
        <w:t>480</w:t>
      </w:r>
      <w:r>
        <w:rPr>
          <w:rFonts w:hint="eastAsia" w:ascii="宋体" w:hAnsi="宋体" w:cs="宋体"/>
          <w:kern w:val="0"/>
          <w:lang w:val="zh-CN"/>
        </w:rPr>
        <w:t>万股（尚未实缴），本公司受让价为</w:t>
      </w:r>
      <w:r>
        <w:rPr>
          <w:rFonts w:eastAsia="Times New Roman"/>
          <w:kern w:val="0"/>
          <w:lang w:val="zh-CN"/>
        </w:rPr>
        <w:t>0</w:t>
      </w:r>
      <w:r>
        <w:rPr>
          <w:rFonts w:hint="eastAsia" w:ascii="宋体" w:hAnsi="宋体" w:cs="宋体"/>
          <w:kern w:val="0"/>
          <w:lang w:val="zh-CN"/>
        </w:rPr>
        <w:t>元，同时承担</w:t>
      </w:r>
      <w:r>
        <w:rPr>
          <w:rFonts w:eastAsia="Times New Roman"/>
          <w:kern w:val="0"/>
          <w:lang w:val="zh-CN"/>
        </w:rPr>
        <w:t>480</w:t>
      </w:r>
      <w:r>
        <w:rPr>
          <w:rFonts w:hint="eastAsia" w:ascii="宋体" w:hAnsi="宋体" w:cs="宋体"/>
          <w:kern w:val="0"/>
          <w:lang w:val="zh-CN"/>
        </w:rPr>
        <w:t>万元的股权支付义务。该事项已于</w:t>
      </w:r>
      <w:r>
        <w:rPr>
          <w:rFonts w:eastAsia="Times New Roman"/>
          <w:kern w:val="0"/>
          <w:lang w:val="zh-CN"/>
        </w:rPr>
        <w:t>2018</w:t>
      </w:r>
      <w:r>
        <w:rPr>
          <w:rFonts w:hint="eastAsia" w:ascii="宋体" w:hAnsi="宋体" w:cs="宋体"/>
          <w:kern w:val="0"/>
          <w:lang w:val="zh-CN"/>
        </w:rPr>
        <w:t>年</w:t>
      </w:r>
      <w:r>
        <w:rPr>
          <w:rFonts w:eastAsia="Times New Roman"/>
          <w:kern w:val="0"/>
          <w:lang w:val="zh-CN"/>
        </w:rPr>
        <w:t>7</w:t>
      </w:r>
      <w:r>
        <w:rPr>
          <w:rFonts w:hint="eastAsia" w:ascii="宋体" w:hAnsi="宋体" w:cs="宋体"/>
          <w:kern w:val="0"/>
          <w:lang w:val="zh-CN"/>
        </w:rPr>
        <w:t>月</w:t>
      </w:r>
      <w:r>
        <w:rPr>
          <w:rFonts w:eastAsia="Times New Roman"/>
          <w:kern w:val="0"/>
          <w:lang w:val="zh-CN"/>
        </w:rPr>
        <w:t>10</w:t>
      </w:r>
      <w:r>
        <w:rPr>
          <w:rFonts w:hint="eastAsia" w:ascii="宋体" w:hAnsi="宋体" w:cs="宋体"/>
          <w:kern w:val="0"/>
          <w:lang w:val="zh-CN"/>
        </w:rPr>
        <w:t>日办妥工商变更手续。截止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日，公司已缴纳投资款</w:t>
      </w:r>
      <w:r>
        <w:rPr>
          <w:rFonts w:eastAsia="Times New Roman"/>
          <w:kern w:val="0"/>
          <w:lang w:val="zh-CN"/>
        </w:rPr>
        <w:t>200</w:t>
      </w:r>
      <w:r>
        <w:rPr>
          <w:rFonts w:hint="eastAsia" w:ascii="宋体" w:hAnsi="宋体" w:cs="宋体"/>
          <w:kern w:val="0"/>
          <w:lang w:val="zh-CN"/>
        </w:rPr>
        <w:t>万元。</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月，公司将持有的浙江汉库健康科技有限公司全部股权作价</w:t>
      </w:r>
      <w:r>
        <w:rPr>
          <w:rFonts w:eastAsia="Times New Roman"/>
          <w:kern w:val="0"/>
          <w:lang w:val="zh-CN"/>
        </w:rPr>
        <w:t>200</w:t>
      </w:r>
      <w:r>
        <w:rPr>
          <w:rFonts w:hint="eastAsia" w:ascii="宋体" w:hAnsi="宋体" w:cs="宋体"/>
          <w:kern w:val="0"/>
          <w:lang w:val="zh-CN"/>
        </w:rPr>
        <w:t>万元，转让给宁波梅山保税港区千堂投资合伙企业（有限合伙），该股权转让事项已于</w:t>
      </w:r>
      <w:r>
        <w:rPr>
          <w:rFonts w:eastAsia="Times New Roman"/>
          <w:kern w:val="0"/>
          <w:lang w:val="zh-CN"/>
        </w:rPr>
        <w:t>2020</w:t>
      </w:r>
      <w:r>
        <w:rPr>
          <w:rFonts w:hint="eastAsia" w:ascii="宋体" w:hAnsi="宋体" w:cs="宋体"/>
          <w:kern w:val="0"/>
          <w:lang w:val="zh-CN"/>
        </w:rPr>
        <w:t>年</w:t>
      </w:r>
      <w:r>
        <w:rPr>
          <w:rFonts w:eastAsia="Times New Roman"/>
          <w:kern w:val="0"/>
          <w:lang w:val="zh-CN"/>
        </w:rPr>
        <w:t>1</w:t>
      </w:r>
      <w:r>
        <w:rPr>
          <w:rFonts w:hint="eastAsia" w:ascii="宋体" w:hAnsi="宋体" w:cs="宋体"/>
          <w:kern w:val="0"/>
          <w:lang w:val="zh-CN"/>
        </w:rPr>
        <w:t>月</w:t>
      </w:r>
      <w:r>
        <w:rPr>
          <w:rFonts w:eastAsia="Times New Roman"/>
          <w:kern w:val="0"/>
          <w:lang w:val="zh-CN"/>
        </w:rPr>
        <w:t>17</w:t>
      </w:r>
      <w:r>
        <w:rPr>
          <w:rFonts w:hint="eastAsia" w:ascii="宋体" w:hAnsi="宋体" w:cs="宋体"/>
          <w:kern w:val="0"/>
          <w:lang w:val="zh-CN"/>
        </w:rPr>
        <w:t>日办妥工商变更手续，相关股权转让款已于</w:t>
      </w:r>
      <w:r>
        <w:rPr>
          <w:rFonts w:eastAsia="Times New Roman"/>
          <w:kern w:val="0"/>
          <w:lang w:val="zh-CN"/>
        </w:rPr>
        <w:t>2020</w:t>
      </w:r>
      <w:r>
        <w:rPr>
          <w:rFonts w:hint="eastAsia" w:ascii="宋体" w:hAnsi="宋体" w:cs="宋体"/>
          <w:kern w:val="0"/>
          <w:lang w:val="zh-CN"/>
        </w:rPr>
        <w:t>年</w:t>
      </w:r>
      <w:r>
        <w:rPr>
          <w:rFonts w:eastAsia="Times New Roman"/>
          <w:kern w:val="0"/>
          <w:lang w:val="zh-CN"/>
        </w:rPr>
        <w:t>1</w:t>
      </w:r>
      <w:r>
        <w:rPr>
          <w:rFonts w:hint="eastAsia" w:ascii="宋体" w:hAnsi="宋体" w:cs="宋体"/>
          <w:kern w:val="0"/>
          <w:lang w:val="zh-CN"/>
        </w:rPr>
        <w:t>月收到。</w:t>
      </w:r>
    </w:p>
    <w:p>
      <w:pPr>
        <w:autoSpaceDE w:val="0"/>
        <w:autoSpaceDN w:val="0"/>
        <w:adjustRightInd w:val="0"/>
        <w:spacing w:before="0" w:after="0"/>
        <w:ind w:firstLine="360" w:firstLineChars="200"/>
        <w:jc w:val="left"/>
        <w:rPr>
          <w:rFonts w:eastAsiaTheme="minorEastAsia"/>
          <w:kern w:val="0"/>
          <w:lang w:val="zh-CN"/>
        </w:rPr>
      </w:pPr>
      <w:r>
        <w:rPr>
          <w:rFonts w:hint="eastAsia" w:ascii="宋体" w:hAnsi="宋体" w:cs="宋体"/>
          <w:kern w:val="0"/>
          <w:lang w:val="zh-CN"/>
        </w:rPr>
        <w:t>（</w:t>
      </w:r>
      <w:r>
        <w:rPr>
          <w:rFonts w:eastAsia="Times New Roman"/>
          <w:kern w:val="0"/>
          <w:lang w:val="zh-CN"/>
        </w:rPr>
        <w:t>9</w:t>
      </w:r>
      <w:r>
        <w:rPr>
          <w:rFonts w:hint="eastAsia" w:ascii="宋体" w:hAnsi="宋体" w:cs="宋体"/>
          <w:kern w:val="0"/>
          <w:lang w:val="zh-CN"/>
        </w:rPr>
        <w:t>）</w:t>
      </w:r>
      <w:r>
        <w:rPr>
          <w:rFonts w:eastAsia="Times New Roman"/>
          <w:kern w:val="0"/>
          <w:lang w:val="zh-CN"/>
        </w:rPr>
        <w:t>2016</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28</w:t>
      </w:r>
      <w:r>
        <w:rPr>
          <w:rFonts w:hint="eastAsia" w:ascii="宋体" w:hAnsi="宋体" w:cs="宋体"/>
          <w:kern w:val="0"/>
          <w:lang w:val="zh-CN"/>
        </w:rPr>
        <w:t>日，公司与衡阳市长宸医疗器械有限公司（以下简称</w:t>
      </w:r>
      <w:r>
        <w:rPr>
          <w:rFonts w:eastAsia="Times New Roman"/>
          <w:kern w:val="0"/>
          <w:lang w:val="zh-CN"/>
        </w:rPr>
        <w:t>“</w:t>
      </w:r>
      <w:r>
        <w:rPr>
          <w:rFonts w:hint="eastAsia" w:ascii="宋体" w:hAnsi="宋体" w:cs="宋体"/>
          <w:kern w:val="0"/>
          <w:lang w:val="zh-CN"/>
        </w:rPr>
        <w:t>衡阳长宸</w:t>
      </w:r>
      <w:r>
        <w:rPr>
          <w:rFonts w:eastAsia="Times New Roman"/>
          <w:kern w:val="0"/>
          <w:lang w:val="zh-CN"/>
        </w:rPr>
        <w:t>”</w:t>
      </w:r>
      <w:r>
        <w:rPr>
          <w:rFonts w:hint="eastAsia" w:ascii="宋体" w:hAnsi="宋体" w:cs="宋体"/>
          <w:kern w:val="0"/>
          <w:lang w:val="zh-CN"/>
        </w:rPr>
        <w:t>）签署了《投资合作框架协议》，共同投资设立衡阳医检所。其中，公司认缴出资</w:t>
      </w:r>
      <w:r>
        <w:rPr>
          <w:rFonts w:eastAsia="Times New Roman"/>
          <w:kern w:val="0"/>
          <w:lang w:val="zh-CN"/>
        </w:rPr>
        <w:t>1,200</w:t>
      </w:r>
      <w:r>
        <w:rPr>
          <w:rFonts w:hint="eastAsia" w:ascii="宋体" w:hAnsi="宋体" w:cs="宋体"/>
          <w:kern w:val="0"/>
          <w:lang w:val="zh-CN"/>
        </w:rPr>
        <w:t>万元，占注册资本的</w:t>
      </w:r>
      <w:r>
        <w:rPr>
          <w:rFonts w:eastAsia="Times New Roman"/>
          <w:kern w:val="0"/>
          <w:lang w:val="zh-CN"/>
        </w:rPr>
        <w:t>60%</w:t>
      </w:r>
      <w:r>
        <w:rPr>
          <w:rFonts w:hint="eastAsia" w:ascii="宋体" w:hAnsi="宋体" w:cs="宋体"/>
          <w:kern w:val="0"/>
          <w:lang w:val="zh-CN"/>
        </w:rPr>
        <w:t>；衡阳长宸出资</w:t>
      </w:r>
      <w:r>
        <w:rPr>
          <w:rFonts w:eastAsia="Times New Roman"/>
          <w:kern w:val="0"/>
          <w:lang w:val="zh-CN"/>
        </w:rPr>
        <w:t>800</w:t>
      </w:r>
      <w:r>
        <w:rPr>
          <w:rFonts w:hint="eastAsia" w:ascii="宋体" w:hAnsi="宋体" w:cs="宋体"/>
          <w:kern w:val="0"/>
          <w:lang w:val="zh-CN"/>
        </w:rPr>
        <w:t>万元，占注册资本的</w:t>
      </w:r>
      <w:r>
        <w:rPr>
          <w:rFonts w:eastAsia="Times New Roman"/>
          <w:kern w:val="0"/>
          <w:lang w:val="zh-CN"/>
        </w:rPr>
        <w:t>40%</w:t>
      </w:r>
      <w:r>
        <w:rPr>
          <w:rFonts w:hint="eastAsia" w:ascii="宋体" w:hAnsi="宋体" w:cs="宋体"/>
          <w:kern w:val="0"/>
          <w:lang w:val="zh-CN"/>
        </w:rPr>
        <w:t>。</w:t>
      </w:r>
      <w:r>
        <w:rPr>
          <w:rFonts w:eastAsia="Times New Roman"/>
          <w:kern w:val="0"/>
          <w:lang w:val="zh-CN"/>
        </w:rPr>
        <w:t>2017</w:t>
      </w:r>
      <w:r>
        <w:rPr>
          <w:rFonts w:hint="eastAsia" w:ascii="宋体" w:hAnsi="宋体" w:cs="宋体"/>
          <w:kern w:val="0"/>
          <w:lang w:val="zh-CN"/>
        </w:rPr>
        <w:t>年</w:t>
      </w:r>
      <w:r>
        <w:rPr>
          <w:rFonts w:eastAsia="Times New Roman"/>
          <w:kern w:val="0"/>
          <w:lang w:val="zh-CN"/>
        </w:rPr>
        <w:t>2</w:t>
      </w:r>
      <w:r>
        <w:rPr>
          <w:rFonts w:hint="eastAsia" w:ascii="宋体" w:hAnsi="宋体" w:cs="宋体"/>
          <w:kern w:val="0"/>
          <w:lang w:val="zh-CN"/>
        </w:rPr>
        <w:t>月</w:t>
      </w:r>
      <w:r>
        <w:rPr>
          <w:rFonts w:eastAsia="Times New Roman"/>
          <w:kern w:val="0"/>
          <w:lang w:val="zh-CN"/>
        </w:rPr>
        <w:t>10</w:t>
      </w:r>
      <w:r>
        <w:rPr>
          <w:rFonts w:hint="eastAsia" w:ascii="宋体" w:hAnsi="宋体" w:cs="宋体"/>
          <w:kern w:val="0"/>
          <w:lang w:val="zh-CN"/>
        </w:rPr>
        <w:t>日，公司与衡阳长宸投资成立赣州医检所。截止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日，公司缴纳出资</w:t>
      </w:r>
      <w:r>
        <w:rPr>
          <w:rFonts w:eastAsia="Times New Roman"/>
          <w:kern w:val="0"/>
          <w:lang w:val="zh-CN"/>
        </w:rPr>
        <w:t>1,200</w:t>
      </w:r>
      <w:r>
        <w:rPr>
          <w:rFonts w:hint="eastAsia" w:ascii="宋体" w:hAnsi="宋体" w:cs="宋体"/>
          <w:kern w:val="0"/>
          <w:lang w:val="zh-CN"/>
        </w:rPr>
        <w:t>万元，衡阳长宸缴纳出资</w:t>
      </w:r>
      <w:r>
        <w:rPr>
          <w:rFonts w:eastAsia="Times New Roman"/>
          <w:kern w:val="0"/>
          <w:lang w:val="zh-CN"/>
        </w:rPr>
        <w:t>495</w:t>
      </w:r>
      <w:r>
        <w:rPr>
          <w:rFonts w:hint="eastAsia" w:ascii="宋体" w:hAnsi="宋体" w:cs="宋体"/>
          <w:kern w:val="0"/>
          <w:lang w:val="zh-CN"/>
        </w:rPr>
        <w:t>万元。</w:t>
      </w:r>
      <w:r>
        <w:rPr>
          <w:rFonts w:hint="eastAsia" w:ascii="宋体" w:hAnsi="宋体" w:cs="宋体"/>
          <w:kern w:val="0"/>
          <w:highlight w:val="white"/>
          <w:lang w:val="zh-CN"/>
        </w:rPr>
        <w:t>截止</w:t>
      </w:r>
      <w:r>
        <w:rPr>
          <w:rFonts w:eastAsia="Times New Roman"/>
          <w:kern w:val="0"/>
          <w:highlight w:val="white"/>
          <w:lang w:val="zh-CN"/>
        </w:rPr>
        <w:t>2020</w:t>
      </w:r>
      <w:r>
        <w:rPr>
          <w:rFonts w:hint="eastAsia" w:ascii="宋体" w:hAnsi="宋体" w:cs="宋体"/>
          <w:kern w:val="0"/>
          <w:highlight w:val="white"/>
          <w:lang w:val="zh-CN"/>
        </w:rPr>
        <w:t>年</w:t>
      </w:r>
      <w:r>
        <w:rPr>
          <w:rFonts w:eastAsia="Times New Roman"/>
          <w:kern w:val="0"/>
          <w:highlight w:val="white"/>
          <w:lang w:val="zh-CN"/>
        </w:rPr>
        <w:t>4</w:t>
      </w:r>
      <w:r>
        <w:rPr>
          <w:rFonts w:hint="eastAsia" w:ascii="宋体" w:hAnsi="宋体" w:cs="宋体"/>
          <w:kern w:val="0"/>
          <w:highlight w:val="white"/>
          <w:lang w:val="zh-CN"/>
        </w:rPr>
        <w:t>月</w:t>
      </w:r>
      <w:r>
        <w:rPr>
          <w:rFonts w:eastAsia="Times New Roman"/>
          <w:kern w:val="0"/>
          <w:highlight w:val="white"/>
          <w:lang w:val="zh-CN"/>
        </w:rPr>
        <w:t>2</w:t>
      </w:r>
      <w:r>
        <w:rPr>
          <w:rFonts w:eastAsiaTheme="minorEastAsia"/>
          <w:kern w:val="0"/>
          <w:highlight w:val="white"/>
          <w:lang w:val="zh-CN"/>
        </w:rPr>
        <w:t>7</w:t>
      </w:r>
      <w:r>
        <w:rPr>
          <w:rFonts w:hint="eastAsia" w:ascii="宋体" w:hAnsi="宋体" w:cs="宋体"/>
          <w:kern w:val="0"/>
          <w:highlight w:val="white"/>
          <w:lang w:val="zh-CN"/>
        </w:rPr>
        <w:t>日，公司缴纳出资</w:t>
      </w:r>
      <w:r>
        <w:rPr>
          <w:rFonts w:eastAsia="Times New Roman"/>
          <w:kern w:val="0"/>
          <w:highlight w:val="white"/>
          <w:lang w:val="zh-CN"/>
        </w:rPr>
        <w:t>1,200</w:t>
      </w:r>
      <w:r>
        <w:rPr>
          <w:rFonts w:hint="eastAsia" w:ascii="宋体" w:hAnsi="宋体" w:cs="宋体"/>
          <w:kern w:val="0"/>
          <w:highlight w:val="white"/>
          <w:lang w:val="zh-CN"/>
        </w:rPr>
        <w:t>万元，衡阳长宸缴纳出资</w:t>
      </w:r>
      <w:r>
        <w:rPr>
          <w:rFonts w:eastAsia="Times New Roman"/>
          <w:kern w:val="0"/>
          <w:highlight w:val="white"/>
          <w:lang w:val="zh-CN"/>
        </w:rPr>
        <w:t>495</w:t>
      </w:r>
      <w:r>
        <w:rPr>
          <w:rFonts w:hint="eastAsia" w:ascii="宋体" w:hAnsi="宋体" w:cs="宋体"/>
          <w:kern w:val="0"/>
          <w:highlight w:val="white"/>
          <w:lang w:val="zh-CN"/>
        </w:rPr>
        <w:t>万元。</w:t>
      </w:r>
    </w:p>
    <w:p>
      <w:pPr>
        <w:pStyle w:val="14"/>
        <w:outlineLvl w:val="2"/>
        <w:rPr>
          <w:bCs w:val="0"/>
          <w:szCs w:val="24"/>
        </w:rPr>
      </w:pPr>
      <w:r>
        <w:rPr>
          <w:bCs w:val="0"/>
          <w:szCs w:val="24"/>
        </w:rPr>
        <w:t>2</w:t>
      </w:r>
      <w:r>
        <w:rPr>
          <w:rFonts w:hint="eastAsia"/>
          <w:bCs w:val="0"/>
          <w:szCs w:val="24"/>
        </w:rPr>
        <w:t>、或有事项</w:t>
      </w:r>
    </w:p>
    <w:p>
      <w:pPr>
        <w:pStyle w:val="14"/>
        <w:outlineLvl w:val="3"/>
        <w:rPr>
          <w:bCs w:val="0"/>
          <w:szCs w:val="24"/>
        </w:rPr>
      </w:pPr>
      <w:r>
        <w:rPr>
          <w:rFonts w:hint="eastAsia"/>
          <w:bCs w:val="0"/>
          <w:szCs w:val="24"/>
        </w:rPr>
        <w:t>（</w:t>
      </w:r>
      <w:r>
        <w:rPr>
          <w:bCs w:val="0"/>
          <w:szCs w:val="24"/>
        </w:rPr>
        <w:t>1</w:t>
      </w:r>
      <w:r>
        <w:rPr>
          <w:rFonts w:hint="eastAsia"/>
          <w:bCs w:val="0"/>
          <w:szCs w:val="24"/>
        </w:rPr>
        <w:t>）资产负债表日存在的重要或有事项</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公司不存在需要披露的重要或有事项。</w:t>
      </w:r>
    </w:p>
    <w:p>
      <w:pPr>
        <w:pStyle w:val="14"/>
        <w:outlineLvl w:val="3"/>
        <w:rPr>
          <w:bCs w:val="0"/>
          <w:szCs w:val="24"/>
        </w:rPr>
      </w:pPr>
      <w:r>
        <w:rPr>
          <w:rFonts w:hint="eastAsia"/>
          <w:bCs w:val="0"/>
          <w:szCs w:val="24"/>
        </w:rPr>
        <w:t>（</w:t>
      </w:r>
      <w:r>
        <w:rPr>
          <w:bCs w:val="0"/>
          <w:szCs w:val="24"/>
        </w:rPr>
        <w:t>2</w:t>
      </w:r>
      <w:r>
        <w:rPr>
          <w:rFonts w:hint="eastAsia"/>
          <w:bCs w:val="0"/>
          <w:szCs w:val="24"/>
        </w:rPr>
        <w:t>）公司没有需要披露的重要或有事项，也应予以说明</w:t>
      </w:r>
    </w:p>
    <w:p>
      <w:pPr>
        <w:ind w:firstLine="360" w:firstLineChars="200"/>
        <w:jc w:val="left"/>
        <w:rPr>
          <w:szCs w:val="24"/>
        </w:rPr>
      </w:pPr>
      <w:r>
        <w:rPr>
          <w:rFonts w:hint="eastAsia"/>
          <w:szCs w:val="24"/>
        </w:rPr>
        <w:t>公司不存在需要披露的重要或有事项。</w:t>
      </w:r>
    </w:p>
    <w:p>
      <w:pPr>
        <w:pStyle w:val="14"/>
        <w:outlineLvl w:val="2"/>
        <w:rPr>
          <w:bCs w:val="0"/>
          <w:szCs w:val="24"/>
        </w:rPr>
      </w:pPr>
      <w:r>
        <w:rPr>
          <w:bCs w:val="0"/>
          <w:szCs w:val="24"/>
        </w:rPr>
        <w:t>3</w:t>
      </w:r>
      <w:r>
        <w:rPr>
          <w:rFonts w:hint="eastAsia"/>
          <w:bCs w:val="0"/>
          <w:szCs w:val="24"/>
        </w:rPr>
        <w:t>、其他</w:t>
      </w:r>
    </w:p>
    <w:p>
      <w:pPr>
        <w:pStyle w:val="13"/>
        <w:outlineLvl w:val="1"/>
        <w:rPr>
          <w:bCs w:val="0"/>
        </w:rPr>
      </w:pPr>
      <w:r>
        <w:rPr>
          <w:rFonts w:hint="eastAsia"/>
          <w:bCs w:val="0"/>
        </w:rPr>
        <w:t>十五、资产负债表日后事项</w:t>
      </w:r>
    </w:p>
    <w:p>
      <w:pPr>
        <w:pStyle w:val="14"/>
        <w:outlineLvl w:val="2"/>
        <w:rPr>
          <w:bCs w:val="0"/>
          <w:szCs w:val="24"/>
        </w:rPr>
      </w:pPr>
      <w:r>
        <w:rPr>
          <w:bCs w:val="0"/>
          <w:szCs w:val="24"/>
        </w:rPr>
        <w:t>1</w:t>
      </w:r>
      <w:r>
        <w:rPr>
          <w:rFonts w:hint="eastAsia"/>
          <w:bCs w:val="0"/>
          <w:szCs w:val="24"/>
        </w:rPr>
        <w:t>、重要的非调整事项</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493"/>
        <w:gridCol w:w="2295"/>
        <w:gridCol w:w="2390"/>
        <w:gridCol w:w="2390"/>
      </w:tblGrid>
      <w:tr>
        <w:tblPrEx>
          <w:tblCellMar>
            <w:top w:w="0" w:type="dxa"/>
            <w:left w:w="28" w:type="dxa"/>
            <w:bottom w:w="0" w:type="dxa"/>
            <w:right w:w="28" w:type="dxa"/>
          </w:tblCellMar>
        </w:tblPrEx>
        <w:tc>
          <w:tcPr>
            <w:tcW w:w="24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229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内容</w:t>
            </w:r>
          </w:p>
        </w:tc>
        <w:tc>
          <w:tcPr>
            <w:tcW w:w="23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对财务状况和经营成果的影响数</w:t>
            </w:r>
          </w:p>
        </w:tc>
        <w:tc>
          <w:tcPr>
            <w:tcW w:w="23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无法估计影响数的原因</w:t>
            </w:r>
          </w:p>
        </w:tc>
      </w:tr>
      <w:tr>
        <w:tc>
          <w:tcPr>
            <w:tcW w:w="24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重要对外投资</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4"/>
              </w:rPr>
            </w:pPr>
            <w:r>
              <w:rPr>
                <w:rFonts w:hint="eastAsia"/>
                <w:szCs w:val="24"/>
              </w:rPr>
              <w:t>详见注</w:t>
            </w:r>
          </w:p>
        </w:tc>
        <w:tc>
          <w:tcPr>
            <w:tcW w:w="2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4"/>
              </w:rPr>
            </w:pPr>
          </w:p>
        </w:tc>
        <w:tc>
          <w:tcPr>
            <w:tcW w:w="2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4"/>
              </w:rPr>
            </w:pPr>
          </w:p>
        </w:tc>
      </w:tr>
    </w:tbl>
    <w:p>
      <w:pPr>
        <w:jc w:val="left"/>
        <w:rPr>
          <w:szCs w:val="24"/>
        </w:rPr>
      </w:pPr>
      <w:r>
        <w:rPr>
          <w:szCs w:val="24"/>
        </w:rPr>
        <w:t>注</w:t>
      </w:r>
      <w:r>
        <w:rPr>
          <w:rFonts w:hint="eastAsia"/>
          <w:szCs w:val="24"/>
        </w:rPr>
        <w:t>：</w:t>
      </w:r>
      <w:r>
        <w:rPr>
          <w:szCs w:val="24"/>
        </w:rPr>
        <w:t>1</w:t>
      </w:r>
      <w:r>
        <w:rPr>
          <w:rFonts w:hint="eastAsia"/>
          <w:szCs w:val="24"/>
        </w:rPr>
        <w:t>、</w:t>
      </w:r>
      <w:r>
        <w:rPr>
          <w:szCs w:val="24"/>
        </w:rPr>
        <w:t>2020</w:t>
      </w:r>
      <w:r>
        <w:rPr>
          <w:rFonts w:hint="eastAsia"/>
          <w:szCs w:val="24"/>
        </w:rPr>
        <w:t>年</w:t>
      </w:r>
      <w:r>
        <w:rPr>
          <w:szCs w:val="24"/>
        </w:rPr>
        <w:t>2</w:t>
      </w:r>
      <w:r>
        <w:rPr>
          <w:rFonts w:hint="eastAsia"/>
          <w:szCs w:val="24"/>
        </w:rPr>
        <w:t>月</w:t>
      </w:r>
      <w:r>
        <w:rPr>
          <w:szCs w:val="24"/>
        </w:rPr>
        <w:t>28</w:t>
      </w:r>
      <w:r>
        <w:rPr>
          <w:rFonts w:hint="eastAsia"/>
          <w:szCs w:val="24"/>
        </w:rPr>
        <w:t>日，公司与宁波上医善世大健康投资合伙企业（有限合伙）签订《股权转让协议》，宁波上医善世大健康投资合伙企业（有限合伙）将持有的澳瑞（江西）科技有限公司</w:t>
      </w:r>
      <w:r>
        <w:rPr>
          <w:szCs w:val="24"/>
        </w:rPr>
        <w:t>90%</w:t>
      </w:r>
      <w:r>
        <w:rPr>
          <w:rFonts w:hint="eastAsia"/>
          <w:szCs w:val="24"/>
        </w:rPr>
        <w:t>的股权（对应认缴出资额</w:t>
      </w:r>
      <w:r>
        <w:rPr>
          <w:szCs w:val="24"/>
        </w:rPr>
        <w:t>900</w:t>
      </w:r>
      <w:r>
        <w:rPr>
          <w:rFonts w:hint="eastAsia"/>
          <w:szCs w:val="24"/>
        </w:rPr>
        <w:t>万元，已实缴出资额</w:t>
      </w:r>
      <w:r>
        <w:rPr>
          <w:szCs w:val="24"/>
        </w:rPr>
        <w:t>620</w:t>
      </w:r>
      <w:r>
        <w:rPr>
          <w:rFonts w:hint="eastAsia"/>
          <w:szCs w:val="24"/>
        </w:rPr>
        <w:t>万元）以</w:t>
      </w:r>
      <w:r>
        <w:rPr>
          <w:szCs w:val="24"/>
        </w:rPr>
        <w:t>620</w:t>
      </w:r>
      <w:r>
        <w:rPr>
          <w:rFonts w:hint="eastAsia"/>
          <w:szCs w:val="24"/>
        </w:rPr>
        <w:t>万元转让给本公司，未缴足的出资义务由本公司承继。截至</w:t>
      </w:r>
      <w:r>
        <w:rPr>
          <w:szCs w:val="24"/>
        </w:rPr>
        <w:t>2020</w:t>
      </w:r>
      <w:r>
        <w:rPr>
          <w:rFonts w:hint="eastAsia"/>
          <w:szCs w:val="24"/>
        </w:rPr>
        <w:t>年</w:t>
      </w:r>
      <w:r>
        <w:rPr>
          <w:szCs w:val="24"/>
        </w:rPr>
        <w:t>4</w:t>
      </w:r>
      <w:r>
        <w:rPr>
          <w:rFonts w:hint="eastAsia"/>
          <w:szCs w:val="24"/>
        </w:rPr>
        <w:t>月</w:t>
      </w:r>
      <w:r>
        <w:rPr>
          <w:szCs w:val="24"/>
        </w:rPr>
        <w:t>27</w:t>
      </w:r>
      <w:r>
        <w:rPr>
          <w:rFonts w:hint="eastAsia"/>
          <w:szCs w:val="24"/>
        </w:rPr>
        <w:t>日，公司已按协议支付完上述股权转让款。该股权转让已于</w:t>
      </w:r>
      <w:r>
        <w:rPr>
          <w:szCs w:val="24"/>
        </w:rPr>
        <w:t>2020</w:t>
      </w:r>
      <w:r>
        <w:rPr>
          <w:rFonts w:hint="eastAsia"/>
          <w:szCs w:val="24"/>
        </w:rPr>
        <w:t>年</w:t>
      </w:r>
      <w:r>
        <w:rPr>
          <w:szCs w:val="24"/>
        </w:rPr>
        <w:t>3</w:t>
      </w:r>
      <w:r>
        <w:rPr>
          <w:rFonts w:hint="eastAsia"/>
          <w:szCs w:val="24"/>
        </w:rPr>
        <w:t>月</w:t>
      </w:r>
      <w:r>
        <w:rPr>
          <w:szCs w:val="24"/>
        </w:rPr>
        <w:t>2</w:t>
      </w:r>
      <w:r>
        <w:rPr>
          <w:rFonts w:hint="eastAsia"/>
          <w:szCs w:val="24"/>
        </w:rPr>
        <w:t>日办妥工商变更手续。</w:t>
      </w:r>
    </w:p>
    <w:p>
      <w:pPr>
        <w:jc w:val="left"/>
        <w:rPr>
          <w:szCs w:val="24"/>
        </w:rPr>
      </w:pPr>
      <w:r>
        <w:rPr>
          <w:szCs w:val="24"/>
        </w:rPr>
        <w:t>2</w:t>
      </w:r>
      <w:r>
        <w:rPr>
          <w:rFonts w:hint="eastAsia"/>
          <w:szCs w:val="24"/>
        </w:rPr>
        <w:t>、</w:t>
      </w:r>
      <w:r>
        <w:rPr>
          <w:szCs w:val="24"/>
        </w:rPr>
        <w:t>2020</w:t>
      </w:r>
      <w:r>
        <w:rPr>
          <w:rFonts w:hint="eastAsia"/>
          <w:szCs w:val="24"/>
        </w:rPr>
        <w:t>年</w:t>
      </w:r>
      <w:r>
        <w:rPr>
          <w:szCs w:val="24"/>
        </w:rPr>
        <w:t>3</w:t>
      </w:r>
      <w:r>
        <w:rPr>
          <w:rFonts w:hint="eastAsia"/>
          <w:szCs w:val="24"/>
        </w:rPr>
        <w:t>月</w:t>
      </w:r>
      <w:r>
        <w:rPr>
          <w:szCs w:val="24"/>
        </w:rPr>
        <w:t>9</w:t>
      </w:r>
      <w:r>
        <w:rPr>
          <w:rFonts w:hint="eastAsia"/>
          <w:szCs w:val="24"/>
        </w:rPr>
        <w:t>日，公司与宁波上医善世大健康投资合伙企业（有限合伙）签订《股权转让协议》，宁波上医善世大健康投资合伙企业（有限合伙）将持有的重庆润康生物科技有限公司</w:t>
      </w:r>
      <w:r>
        <w:rPr>
          <w:szCs w:val="24"/>
        </w:rPr>
        <w:t>70%</w:t>
      </w:r>
      <w:r>
        <w:rPr>
          <w:rFonts w:hint="eastAsia"/>
          <w:szCs w:val="24"/>
        </w:rPr>
        <w:t>的股权（对应认缴出资额</w:t>
      </w:r>
      <w:r>
        <w:rPr>
          <w:szCs w:val="24"/>
        </w:rPr>
        <w:t>2,100</w:t>
      </w:r>
      <w:r>
        <w:rPr>
          <w:rFonts w:hint="eastAsia"/>
          <w:szCs w:val="24"/>
        </w:rPr>
        <w:t>万元，已实缴出资额</w:t>
      </w:r>
      <w:r>
        <w:rPr>
          <w:szCs w:val="24"/>
        </w:rPr>
        <w:t>876.59</w:t>
      </w:r>
      <w:r>
        <w:rPr>
          <w:rFonts w:hint="eastAsia"/>
          <w:szCs w:val="24"/>
        </w:rPr>
        <w:t>万元）以</w:t>
      </w:r>
      <w:r>
        <w:rPr>
          <w:szCs w:val="24"/>
        </w:rPr>
        <w:t>876.59</w:t>
      </w:r>
      <w:r>
        <w:rPr>
          <w:rFonts w:hint="eastAsia"/>
          <w:szCs w:val="24"/>
        </w:rPr>
        <w:t>万元转让给本公司，未缴足的出资义务由本公司承继。截至</w:t>
      </w:r>
      <w:r>
        <w:rPr>
          <w:szCs w:val="24"/>
        </w:rPr>
        <w:t>2020</w:t>
      </w:r>
      <w:r>
        <w:rPr>
          <w:rFonts w:hint="eastAsia"/>
          <w:szCs w:val="24"/>
        </w:rPr>
        <w:t>年</w:t>
      </w:r>
      <w:r>
        <w:rPr>
          <w:szCs w:val="24"/>
        </w:rPr>
        <w:t>4</w:t>
      </w:r>
      <w:r>
        <w:rPr>
          <w:rFonts w:hint="eastAsia"/>
          <w:szCs w:val="24"/>
        </w:rPr>
        <w:t>月</w:t>
      </w:r>
      <w:r>
        <w:rPr>
          <w:szCs w:val="24"/>
        </w:rPr>
        <w:t>27</w:t>
      </w:r>
      <w:r>
        <w:rPr>
          <w:rFonts w:hint="eastAsia"/>
          <w:szCs w:val="24"/>
        </w:rPr>
        <w:t>日，公司已按协议支付完上述股权转让款。该股权转让已于</w:t>
      </w:r>
      <w:r>
        <w:rPr>
          <w:szCs w:val="24"/>
        </w:rPr>
        <w:t>2020</w:t>
      </w:r>
      <w:r>
        <w:rPr>
          <w:rFonts w:hint="eastAsia"/>
          <w:szCs w:val="24"/>
        </w:rPr>
        <w:t>年</w:t>
      </w:r>
      <w:r>
        <w:rPr>
          <w:szCs w:val="24"/>
        </w:rPr>
        <w:t>3</w:t>
      </w:r>
      <w:r>
        <w:rPr>
          <w:rFonts w:hint="eastAsia"/>
          <w:szCs w:val="24"/>
        </w:rPr>
        <w:t>月</w:t>
      </w:r>
      <w:r>
        <w:rPr>
          <w:szCs w:val="24"/>
        </w:rPr>
        <w:t>19</w:t>
      </w:r>
      <w:r>
        <w:rPr>
          <w:rFonts w:hint="eastAsia"/>
          <w:szCs w:val="24"/>
        </w:rPr>
        <w:t>日办妥工商变更手续。</w:t>
      </w:r>
    </w:p>
    <w:p>
      <w:pPr>
        <w:jc w:val="left"/>
        <w:rPr>
          <w:szCs w:val="24"/>
        </w:rPr>
      </w:pPr>
      <w:r>
        <w:rPr>
          <w:szCs w:val="24"/>
        </w:rPr>
        <w:t>3</w:t>
      </w:r>
      <w:r>
        <w:rPr>
          <w:rFonts w:hint="eastAsia"/>
          <w:szCs w:val="24"/>
        </w:rPr>
        <w:t>、</w:t>
      </w:r>
      <w:r>
        <w:rPr>
          <w:szCs w:val="24"/>
        </w:rPr>
        <w:t>2019</w:t>
      </w:r>
      <w:r>
        <w:rPr>
          <w:rFonts w:hint="eastAsia"/>
          <w:szCs w:val="24"/>
        </w:rPr>
        <w:t>年</w:t>
      </w:r>
      <w:r>
        <w:rPr>
          <w:szCs w:val="24"/>
        </w:rPr>
        <w:t>12</w:t>
      </w:r>
      <w:r>
        <w:rPr>
          <w:rFonts w:hint="eastAsia"/>
          <w:szCs w:val="24"/>
        </w:rPr>
        <w:t>月，公司将持有的浙江汉库健康科技有限公司全部</w:t>
      </w:r>
      <w:r>
        <w:rPr>
          <w:szCs w:val="24"/>
        </w:rPr>
        <w:t>8%</w:t>
      </w:r>
      <w:r>
        <w:rPr>
          <w:rFonts w:hint="eastAsia"/>
          <w:szCs w:val="24"/>
        </w:rPr>
        <w:t>股权作价</w:t>
      </w:r>
      <w:r>
        <w:rPr>
          <w:szCs w:val="24"/>
        </w:rPr>
        <w:t>200</w:t>
      </w:r>
      <w:r>
        <w:rPr>
          <w:rFonts w:hint="eastAsia"/>
          <w:szCs w:val="24"/>
        </w:rPr>
        <w:t>万元，转让给宁波梅山保税港区千堂投资合伙企业（有限合伙），该股权转让事项已于</w:t>
      </w:r>
      <w:r>
        <w:rPr>
          <w:szCs w:val="24"/>
        </w:rPr>
        <w:t>2020</w:t>
      </w:r>
      <w:r>
        <w:rPr>
          <w:rFonts w:hint="eastAsia"/>
          <w:szCs w:val="24"/>
        </w:rPr>
        <w:t>年</w:t>
      </w:r>
      <w:r>
        <w:rPr>
          <w:szCs w:val="24"/>
        </w:rPr>
        <w:t>1</w:t>
      </w:r>
      <w:r>
        <w:rPr>
          <w:rFonts w:hint="eastAsia"/>
          <w:szCs w:val="24"/>
        </w:rPr>
        <w:t>月</w:t>
      </w:r>
      <w:r>
        <w:rPr>
          <w:szCs w:val="24"/>
        </w:rPr>
        <w:t>17</w:t>
      </w:r>
      <w:r>
        <w:rPr>
          <w:rFonts w:hint="eastAsia"/>
          <w:szCs w:val="24"/>
        </w:rPr>
        <w:t>日办妥工商变更手续，截至</w:t>
      </w:r>
      <w:r>
        <w:rPr>
          <w:szCs w:val="24"/>
        </w:rPr>
        <w:t>2020</w:t>
      </w:r>
      <w:r>
        <w:rPr>
          <w:rFonts w:hint="eastAsia"/>
          <w:szCs w:val="24"/>
        </w:rPr>
        <w:t>年</w:t>
      </w:r>
      <w:r>
        <w:rPr>
          <w:szCs w:val="24"/>
        </w:rPr>
        <w:t>4</w:t>
      </w:r>
      <w:r>
        <w:rPr>
          <w:rFonts w:hint="eastAsia"/>
          <w:szCs w:val="24"/>
        </w:rPr>
        <w:t>月</w:t>
      </w:r>
      <w:r>
        <w:rPr>
          <w:szCs w:val="24"/>
        </w:rPr>
        <w:t>27</w:t>
      </w:r>
      <w:r>
        <w:rPr>
          <w:rFonts w:hint="eastAsia"/>
          <w:szCs w:val="24"/>
        </w:rPr>
        <w:t>日，公司已收到上述股权转让款。</w:t>
      </w:r>
    </w:p>
    <w:p>
      <w:pPr>
        <w:pStyle w:val="14"/>
        <w:outlineLvl w:val="2"/>
        <w:rPr>
          <w:bCs w:val="0"/>
          <w:szCs w:val="24"/>
        </w:rPr>
      </w:pPr>
      <w:r>
        <w:rPr>
          <w:bCs w:val="0"/>
          <w:szCs w:val="24"/>
        </w:rPr>
        <w:t>2</w:t>
      </w:r>
      <w:r>
        <w:rPr>
          <w:rFonts w:hint="eastAsia"/>
          <w:bCs w:val="0"/>
          <w:szCs w:val="24"/>
        </w:rPr>
        <w:t>、利润分配情况</w:t>
      </w:r>
    </w:p>
    <w:p>
      <w:pPr>
        <w:pStyle w:val="14"/>
        <w:ind w:firstLine="420"/>
        <w:outlineLvl w:val="2"/>
        <w:rPr>
          <w:b w:val="0"/>
          <w:bCs w:val="0"/>
          <w:kern w:val="2"/>
          <w:sz w:val="18"/>
          <w:szCs w:val="24"/>
        </w:rPr>
      </w:pPr>
      <w:r>
        <w:rPr>
          <w:rFonts w:hint="eastAsia"/>
          <w:b w:val="0"/>
          <w:bCs w:val="0"/>
          <w:kern w:val="2"/>
          <w:sz w:val="18"/>
          <w:szCs w:val="24"/>
        </w:rPr>
        <w:t>根据公司2020年4月27日召开的第三届董事会第二十五次会议，公司2019年度利润分配预案为：不派发现金红利，不送红股，不以公积金转增股本，该利润分配预案须经股东大会同意后实施。</w:t>
      </w:r>
    </w:p>
    <w:p>
      <w:pPr>
        <w:pStyle w:val="14"/>
        <w:outlineLvl w:val="2"/>
        <w:rPr>
          <w:bCs w:val="0"/>
          <w:szCs w:val="24"/>
        </w:rPr>
      </w:pPr>
      <w:r>
        <w:rPr>
          <w:bCs w:val="0"/>
          <w:szCs w:val="24"/>
        </w:rPr>
        <w:t>3</w:t>
      </w:r>
      <w:r>
        <w:rPr>
          <w:rFonts w:hint="eastAsia"/>
          <w:bCs w:val="0"/>
          <w:szCs w:val="24"/>
        </w:rPr>
        <w:t>、销售退回</w:t>
      </w:r>
    </w:p>
    <w:p>
      <w:pPr>
        <w:pStyle w:val="14"/>
        <w:outlineLvl w:val="2"/>
        <w:rPr>
          <w:bCs w:val="0"/>
          <w:szCs w:val="24"/>
        </w:rPr>
      </w:pPr>
      <w:r>
        <w:rPr>
          <w:bCs w:val="0"/>
          <w:szCs w:val="24"/>
        </w:rPr>
        <w:t>4</w:t>
      </w:r>
      <w:r>
        <w:rPr>
          <w:rFonts w:hint="eastAsia"/>
          <w:bCs w:val="0"/>
          <w:szCs w:val="24"/>
        </w:rPr>
        <w:t>、其他资产负债表日后事项说明</w:t>
      </w:r>
    </w:p>
    <w:p>
      <w:pPr>
        <w:pStyle w:val="28"/>
        <w:spacing w:line="360" w:lineRule="auto"/>
        <w:ind w:left="0" w:firstLine="360" w:firstLineChars="200"/>
        <w:rPr>
          <w:sz w:val="18"/>
          <w:szCs w:val="18"/>
        </w:rPr>
      </w:pPr>
      <w:r>
        <w:rPr>
          <w:rFonts w:hint="eastAsia"/>
          <w:sz w:val="18"/>
          <w:szCs w:val="18"/>
        </w:rPr>
        <w:t>1、2020年2月29日，子公司杭州倚天收到雅培贸易（上海）有限公司（以下简称雅培公司）发出的告知函，将于2020年4月1日起取消杭州倚天关于雅培产品的部分经销渠道，将该部分经销渠道转移至杭州科慧生物科技有限公司，要求杭州倚天做好后续的渠道交接工作。2020年4月，子公司杭州倚天与杭州科慧生物科技有限公司、雅培公司签订《业务转让协议》。根据该协议，杭州倚天在2020年4月3日收到雅培与其的结算单，同时收到杭州科慧生物科技有限公司根据协议约定所涉及全部款项的60%的3个工作日内，杭州倚天逐家向杭州科慧生物科技有限公司转让业务渠道。三方关于渠道、资产的交接计划于2020年9月完成。杭州倚天与雅培公司之间的结算款项（押金、货款等）将在2020年4月2日之后的60个工作日内结清。</w:t>
      </w:r>
    </w:p>
    <w:p>
      <w:pPr>
        <w:pStyle w:val="28"/>
        <w:spacing w:line="360" w:lineRule="auto"/>
        <w:ind w:left="0" w:firstLine="360" w:firstLineChars="200"/>
        <w:rPr>
          <w:sz w:val="18"/>
          <w:szCs w:val="18"/>
        </w:rPr>
      </w:pPr>
      <w:r>
        <w:rPr>
          <w:sz w:val="18"/>
          <w:szCs w:val="18"/>
        </w:rPr>
        <w:t>2</w:t>
      </w:r>
      <w:r>
        <w:rPr>
          <w:rFonts w:hint="eastAsia"/>
          <w:sz w:val="18"/>
          <w:szCs w:val="18"/>
        </w:rPr>
        <w:t>、2020年2月29日，子公司杭州倚天收到雅培贸易（上海）有限公司（以下简称雅培公司）发出的告知函，将于2020年4月1日起取消杭州倚天关于雅培产品的部分经销渠道，将该部分经销渠道转移至杭州赛柏雅医疗器械有限公司，要求杭州倚天做好后续的渠道交接工作。2020年4月，子公司杭州倚天与杭州赛柏雅医疗器械有限公司、雅培公司签订《业务转让协议》。根据该协议，在2020年4月1日，雅培将杭州倚天现有二级代理业务（包括浙江省内部分现有代理业务、全国部分GPO业务 ）转给杭州赛柏雅医疗器械有限公司。</w:t>
      </w:r>
    </w:p>
    <w:p>
      <w:pPr>
        <w:pStyle w:val="28"/>
        <w:spacing w:line="360" w:lineRule="auto"/>
        <w:ind w:left="0" w:firstLine="360" w:firstLineChars="200"/>
        <w:rPr>
          <w:sz w:val="18"/>
          <w:szCs w:val="18"/>
        </w:rPr>
      </w:pPr>
      <w:r>
        <w:rPr>
          <w:rFonts w:hint="eastAsia"/>
          <w:sz w:val="18"/>
          <w:szCs w:val="18"/>
        </w:rPr>
        <w:t>3、2020年2月29日，杭州倚天子公司上海曼贝收到雅培贸易（上海）有限公司（以下简称雅培公司）发出的告知函，将于2020年5月1日起取消上海曼贝关于雅培产品的部分经销渠道，将该部分经销渠道转移至杭州赛柏雅医疗器械有限公司，要求上海曼贝做好后续的渠道交接工作。2020年4月，上海曼贝与杭州赛柏雅医疗器械有限公司、雅培公司签订《业务转让协议》。根据该协议，上海曼贝将现有代理雅培部分第三方实验室业务转移给杭州赛柏雅医疗器械有限公司。</w:t>
      </w:r>
    </w:p>
    <w:p>
      <w:pPr>
        <w:pStyle w:val="28"/>
        <w:spacing w:line="360" w:lineRule="auto"/>
        <w:ind w:left="0" w:firstLine="360" w:firstLineChars="200"/>
        <w:rPr>
          <w:sz w:val="18"/>
          <w:szCs w:val="18"/>
        </w:rPr>
      </w:pPr>
      <w:r>
        <w:rPr>
          <w:sz w:val="18"/>
          <w:szCs w:val="18"/>
        </w:rPr>
        <w:t>4</w:t>
      </w:r>
      <w:r>
        <w:rPr>
          <w:rFonts w:hint="eastAsia"/>
          <w:sz w:val="18"/>
          <w:szCs w:val="18"/>
        </w:rPr>
        <w:t>、2020年4月，杭州倚天子公司上海曼贝收到雅培贸易（上海）有限公司（以下简称雅培公司）声明函，上海曼贝与雅培公司的经销合作关系将于2020年4月30日正式终止。</w:t>
      </w:r>
    </w:p>
    <w:p>
      <w:pPr>
        <w:pStyle w:val="28"/>
        <w:spacing w:line="360" w:lineRule="auto"/>
        <w:ind w:left="0" w:firstLine="360" w:firstLineChars="200"/>
        <w:rPr>
          <w:sz w:val="18"/>
          <w:szCs w:val="18"/>
        </w:rPr>
      </w:pPr>
      <w:r>
        <w:rPr>
          <w:sz w:val="18"/>
          <w:szCs w:val="18"/>
        </w:rPr>
        <w:t>5</w:t>
      </w:r>
      <w:r>
        <w:rPr>
          <w:rFonts w:hint="eastAsia"/>
          <w:sz w:val="18"/>
          <w:szCs w:val="18"/>
        </w:rPr>
        <w:t>、2020年4月，杭州倚天子公司上海曼贝与杭州德格医疗设备有限公司签订《业务转让协议》。根据该协议，在希森美康医用电子（上海）有限公司授权认可下，上海曼贝转让其在浙江省区域内希森美康品牌业务销售、维护及代表希森美康厂家进行一系列的商业活动的权利与义务。</w:t>
      </w:r>
    </w:p>
    <w:p>
      <w:pPr>
        <w:pStyle w:val="28"/>
        <w:spacing w:line="360" w:lineRule="auto"/>
        <w:ind w:left="0" w:firstLine="360" w:firstLineChars="200"/>
        <w:rPr>
          <w:sz w:val="18"/>
          <w:szCs w:val="18"/>
        </w:rPr>
      </w:pPr>
      <w:r>
        <w:rPr>
          <w:sz w:val="18"/>
          <w:szCs w:val="18"/>
        </w:rPr>
        <w:t>6</w:t>
      </w:r>
      <w:r>
        <w:rPr>
          <w:rFonts w:hint="eastAsia"/>
          <w:sz w:val="18"/>
          <w:szCs w:val="18"/>
        </w:rPr>
        <w:t>、2020年3月16日，子公司盛达生物与雅培公司签订《经销协议》，盛达生物获取雅培公司部分仪器、试剂的代理权。</w:t>
      </w:r>
    </w:p>
    <w:p>
      <w:pPr>
        <w:pStyle w:val="28"/>
        <w:spacing w:line="360" w:lineRule="auto"/>
        <w:ind w:left="0" w:firstLine="360" w:firstLineChars="200"/>
        <w:rPr>
          <w:sz w:val="18"/>
          <w:szCs w:val="18"/>
        </w:rPr>
      </w:pPr>
      <w:r>
        <w:rPr>
          <w:rFonts w:hint="eastAsia"/>
          <w:sz w:val="18"/>
          <w:szCs w:val="18"/>
        </w:rPr>
        <w:t>7、新型冠状病毒的传染疫情(“新冠疫情”)从 2020 年 1 月起在全国及全球爆发，预计此次新冠疫情及防控措施将对本公司的生产和经营造成一定的暂时性影响， 影响程度取决于疫情持续时间、防控政策要求及防疫进展情况等方面。截止至本报告出具日，尚未发现重大不利影响。</w:t>
      </w:r>
    </w:p>
    <w:p>
      <w:pPr>
        <w:pStyle w:val="19"/>
        <w:numPr>
          <w:ilvl w:val="0"/>
          <w:numId w:val="0"/>
        </w:numPr>
        <w:spacing w:line="360" w:lineRule="auto"/>
        <w:ind w:firstLine="360" w:firstLineChars="200"/>
        <w:rPr>
          <w:rFonts w:eastAsiaTheme="minorEastAsia"/>
          <w:b w:val="0"/>
          <w:sz w:val="18"/>
          <w:szCs w:val="18"/>
        </w:rPr>
      </w:pPr>
      <w:r>
        <w:rPr>
          <w:rFonts w:hint="eastAsia"/>
          <w:b w:val="0"/>
          <w:sz w:val="18"/>
          <w:szCs w:val="18"/>
        </w:rPr>
        <w:t>除上述资产负债表日后事项外，截至本报告报出具日，公司无需要披露的其他资产负债表日后事项。</w:t>
      </w:r>
    </w:p>
    <w:p>
      <w:pPr>
        <w:pStyle w:val="13"/>
        <w:outlineLvl w:val="1"/>
        <w:rPr>
          <w:bCs w:val="0"/>
        </w:rPr>
      </w:pPr>
      <w:r>
        <w:rPr>
          <w:rFonts w:hint="eastAsia"/>
          <w:bCs w:val="0"/>
        </w:rPr>
        <w:t>十六、其他重要事项</w:t>
      </w:r>
    </w:p>
    <w:p>
      <w:pPr>
        <w:pStyle w:val="14"/>
        <w:outlineLvl w:val="2"/>
        <w:rPr>
          <w:bCs w:val="0"/>
          <w:szCs w:val="24"/>
        </w:rPr>
      </w:pPr>
      <w:r>
        <w:rPr>
          <w:bCs w:val="0"/>
          <w:szCs w:val="24"/>
        </w:rPr>
        <w:t>1</w:t>
      </w:r>
      <w:r>
        <w:rPr>
          <w:rFonts w:hint="eastAsia"/>
          <w:bCs w:val="0"/>
          <w:szCs w:val="24"/>
        </w:rPr>
        <w:t>、前期会计差错更正</w:t>
      </w:r>
    </w:p>
    <w:p>
      <w:pPr>
        <w:pStyle w:val="14"/>
        <w:outlineLvl w:val="3"/>
        <w:rPr>
          <w:bCs w:val="0"/>
          <w:szCs w:val="24"/>
        </w:rPr>
      </w:pPr>
      <w:r>
        <w:rPr>
          <w:rFonts w:hint="eastAsia"/>
          <w:bCs w:val="0"/>
          <w:szCs w:val="24"/>
        </w:rPr>
        <w:t>（</w:t>
      </w:r>
      <w:r>
        <w:rPr>
          <w:bCs w:val="0"/>
          <w:szCs w:val="24"/>
        </w:rPr>
        <w:t>1</w:t>
      </w:r>
      <w:r>
        <w:rPr>
          <w:rFonts w:hint="eastAsia"/>
          <w:bCs w:val="0"/>
          <w:szCs w:val="24"/>
        </w:rPr>
        <w:t>）追溯重述法</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493"/>
        <w:gridCol w:w="2295"/>
        <w:gridCol w:w="2390"/>
        <w:gridCol w:w="2390"/>
      </w:tblGrid>
      <w:tr>
        <w:tblPrEx>
          <w:tblCellMar>
            <w:top w:w="0" w:type="dxa"/>
            <w:left w:w="28" w:type="dxa"/>
            <w:bottom w:w="0" w:type="dxa"/>
            <w:right w:w="28" w:type="dxa"/>
          </w:tblCellMar>
        </w:tblPrEx>
        <w:tc>
          <w:tcPr>
            <w:tcW w:w="249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会计差错更正的内容</w:t>
            </w:r>
          </w:p>
        </w:tc>
        <w:tc>
          <w:tcPr>
            <w:tcW w:w="229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处理程序</w:t>
            </w:r>
          </w:p>
        </w:tc>
        <w:tc>
          <w:tcPr>
            <w:tcW w:w="23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受影响的各个比较期间报表项目名称</w:t>
            </w:r>
          </w:p>
        </w:tc>
        <w:tc>
          <w:tcPr>
            <w:tcW w:w="23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累积影响数</w:t>
            </w:r>
          </w:p>
        </w:tc>
      </w:tr>
    </w:tbl>
    <w:p>
      <w:pPr>
        <w:pStyle w:val="14"/>
        <w:outlineLvl w:val="3"/>
        <w:rPr>
          <w:bCs w:val="0"/>
          <w:szCs w:val="24"/>
        </w:rPr>
      </w:pPr>
      <w:r>
        <w:rPr>
          <w:rFonts w:hint="eastAsia"/>
          <w:bCs w:val="0"/>
          <w:szCs w:val="24"/>
        </w:rPr>
        <w:t>（</w:t>
      </w:r>
      <w:r>
        <w:rPr>
          <w:bCs w:val="0"/>
          <w:szCs w:val="24"/>
        </w:rPr>
        <w:t>2</w:t>
      </w:r>
      <w:r>
        <w:rPr>
          <w:rFonts w:hint="eastAsia"/>
          <w:bCs w:val="0"/>
          <w:szCs w:val="24"/>
        </w:rPr>
        <w:t>）未来适用法</w:t>
      </w:r>
    </w:p>
    <w:tbl>
      <w:tblPr>
        <w:tblStyle w:val="9"/>
        <w:tblW w:w="0" w:type="auto"/>
        <w:tblInd w:w="28" w:type="dxa"/>
        <w:tblLayout w:type="fixed"/>
        <w:tblCellMar>
          <w:top w:w="0" w:type="dxa"/>
          <w:left w:w="28" w:type="dxa"/>
          <w:bottom w:w="0" w:type="dxa"/>
          <w:right w:w="28" w:type="dxa"/>
        </w:tblCellMar>
      </w:tblPr>
      <w:tblGrid>
        <w:gridCol w:w="3324"/>
        <w:gridCol w:w="3059"/>
        <w:gridCol w:w="3186"/>
      </w:tblGrid>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会计差错更正的内容</w:t>
            </w:r>
          </w:p>
        </w:tc>
        <w:tc>
          <w:tcPr>
            <w:tcW w:w="305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批准程序</w:t>
            </w:r>
          </w:p>
        </w:tc>
        <w:tc>
          <w:tcPr>
            <w:tcW w:w="318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采用未来适用法的原因</w:t>
            </w:r>
          </w:p>
        </w:tc>
      </w:tr>
    </w:tbl>
    <w:p>
      <w:pPr>
        <w:pStyle w:val="14"/>
        <w:outlineLvl w:val="2"/>
        <w:rPr>
          <w:bCs w:val="0"/>
          <w:szCs w:val="24"/>
        </w:rPr>
      </w:pPr>
      <w:r>
        <w:rPr>
          <w:bCs w:val="0"/>
          <w:szCs w:val="24"/>
        </w:rPr>
        <w:t>2</w:t>
      </w:r>
      <w:r>
        <w:rPr>
          <w:rFonts w:hint="eastAsia"/>
          <w:bCs w:val="0"/>
          <w:szCs w:val="24"/>
        </w:rPr>
        <w:t>、债务重组</w:t>
      </w:r>
    </w:p>
    <w:p>
      <w:pPr>
        <w:autoSpaceDE w:val="0"/>
        <w:autoSpaceDN w:val="0"/>
        <w:adjustRightInd w:val="0"/>
        <w:spacing w:before="0" w:after="0"/>
        <w:ind w:firstLine="360" w:firstLineChars="200"/>
        <w:rPr>
          <w:rFonts w:eastAsiaTheme="minorEastAsia"/>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11</w:t>
      </w:r>
      <w:r>
        <w:rPr>
          <w:rFonts w:hint="eastAsia" w:ascii="宋体" w:hAnsi="宋体" w:cs="宋体"/>
          <w:kern w:val="0"/>
          <w:lang w:val="zh-CN"/>
        </w:rPr>
        <w:t>月</w:t>
      </w:r>
      <w:r>
        <w:rPr>
          <w:rFonts w:eastAsia="Times New Roman"/>
          <w:kern w:val="0"/>
          <w:lang w:val="zh-CN"/>
        </w:rPr>
        <w:t>15</w:t>
      </w:r>
      <w:r>
        <w:rPr>
          <w:rFonts w:hint="eastAsia" w:ascii="宋体" w:hAnsi="宋体" w:cs="宋体"/>
          <w:kern w:val="0"/>
          <w:lang w:val="zh-CN"/>
        </w:rPr>
        <w:t>日，公司与杭州健立生物科技有限公司（以下简称</w:t>
      </w:r>
      <w:r>
        <w:rPr>
          <w:rFonts w:eastAsia="Times New Roman"/>
          <w:kern w:val="0"/>
          <w:lang w:val="zh-CN"/>
        </w:rPr>
        <w:t>“</w:t>
      </w:r>
      <w:r>
        <w:rPr>
          <w:rFonts w:hint="eastAsia" w:ascii="宋体" w:hAnsi="宋体" w:cs="宋体"/>
          <w:kern w:val="0"/>
          <w:lang w:val="zh-CN"/>
        </w:rPr>
        <w:t>杭州健立</w:t>
      </w:r>
      <w:r>
        <w:rPr>
          <w:rFonts w:eastAsia="Times New Roman"/>
          <w:kern w:val="0"/>
          <w:lang w:val="zh-CN"/>
        </w:rPr>
        <w:t>”</w:t>
      </w:r>
      <w:r>
        <w:rPr>
          <w:rFonts w:hint="eastAsia" w:ascii="宋体" w:hAnsi="宋体" w:cs="宋体"/>
          <w:kern w:val="0"/>
          <w:lang w:val="zh-CN"/>
        </w:rPr>
        <w:t>）签订《债务清偿协议》，杭州健立以存货、固定资产清偿所欠本公司货款。本公司应收杭州健立销售货款</w:t>
      </w:r>
      <w:r>
        <w:rPr>
          <w:rFonts w:eastAsia="Times New Roman"/>
          <w:kern w:val="0"/>
          <w:lang w:val="zh-CN"/>
        </w:rPr>
        <w:t>57,382,464.04</w:t>
      </w:r>
      <w:r>
        <w:rPr>
          <w:rFonts w:hint="eastAsia" w:ascii="宋体" w:hAnsi="宋体" w:cs="宋体"/>
          <w:kern w:val="0"/>
          <w:lang w:val="zh-CN"/>
        </w:rPr>
        <w:t>元，杭州健立以存货</w:t>
      </w:r>
      <w:r>
        <w:rPr>
          <w:rFonts w:eastAsia="Times New Roman"/>
          <w:kern w:val="0"/>
          <w:lang w:val="zh-CN"/>
        </w:rPr>
        <w:t>15,599,737.96</w:t>
      </w:r>
      <w:r>
        <w:rPr>
          <w:rFonts w:hint="eastAsia" w:ascii="宋体" w:hAnsi="宋体" w:cs="宋体"/>
          <w:kern w:val="0"/>
          <w:lang w:val="zh-CN"/>
        </w:rPr>
        <w:t>元，固定资产</w:t>
      </w:r>
      <w:r>
        <w:rPr>
          <w:rFonts w:eastAsia="Times New Roman"/>
          <w:kern w:val="0"/>
          <w:lang w:val="zh-CN"/>
        </w:rPr>
        <w:t>37,776,944.91</w:t>
      </w:r>
      <w:r>
        <w:rPr>
          <w:rFonts w:hint="eastAsia" w:ascii="宋体" w:hAnsi="宋体" w:cs="宋体"/>
          <w:kern w:val="0"/>
          <w:lang w:val="zh-CN"/>
        </w:rPr>
        <w:t>元（均为含税金额）清偿债务，扣除原已计提的坏账准备</w:t>
      </w:r>
      <w:r>
        <w:rPr>
          <w:rFonts w:eastAsia="Times New Roman"/>
          <w:kern w:val="0"/>
          <w:lang w:val="zh-CN"/>
        </w:rPr>
        <w:t>2,869,123.20</w:t>
      </w:r>
      <w:r>
        <w:rPr>
          <w:rFonts w:hint="eastAsia" w:ascii="宋体" w:hAnsi="宋体" w:cs="宋体"/>
          <w:kern w:val="0"/>
          <w:lang w:val="zh-CN"/>
        </w:rPr>
        <w:t>元，确认债务重组损失</w:t>
      </w:r>
      <w:r>
        <w:rPr>
          <w:rFonts w:eastAsia="Times New Roman"/>
          <w:kern w:val="0"/>
          <w:lang w:val="zh-CN"/>
        </w:rPr>
        <w:t>1,136,657.97</w:t>
      </w:r>
      <w:r>
        <w:rPr>
          <w:rFonts w:hint="eastAsia" w:ascii="宋体" w:hAnsi="宋体" w:cs="宋体"/>
          <w:kern w:val="0"/>
          <w:lang w:val="zh-CN"/>
        </w:rPr>
        <w:t>元。截止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日，双方已完成资产交接。杭州健立用于债务清偿的存货、固定资产业经银信资产评估有限公司评估，并出具银信评报字（</w:t>
      </w:r>
      <w:r>
        <w:rPr>
          <w:rFonts w:eastAsia="Times New Roman"/>
          <w:kern w:val="0"/>
          <w:lang w:val="zh-CN"/>
        </w:rPr>
        <w:t>2019</w:t>
      </w:r>
      <w:r>
        <w:rPr>
          <w:rFonts w:hint="eastAsia" w:ascii="宋体" w:hAnsi="宋体" w:cs="宋体"/>
          <w:kern w:val="0"/>
          <w:lang w:val="zh-CN"/>
        </w:rPr>
        <w:t>）沪第</w:t>
      </w:r>
      <w:r>
        <w:rPr>
          <w:rFonts w:eastAsia="Times New Roman"/>
          <w:kern w:val="0"/>
          <w:lang w:val="zh-CN"/>
        </w:rPr>
        <w:t>1202</w:t>
      </w:r>
      <w:r>
        <w:rPr>
          <w:rFonts w:hint="eastAsia" w:ascii="宋体" w:hAnsi="宋体" w:cs="宋体"/>
          <w:kern w:val="0"/>
          <w:lang w:val="zh-CN"/>
        </w:rPr>
        <w:t>号评估报告。</w:t>
      </w:r>
    </w:p>
    <w:p>
      <w:pPr>
        <w:pStyle w:val="14"/>
        <w:outlineLvl w:val="2"/>
        <w:rPr>
          <w:bCs w:val="0"/>
          <w:szCs w:val="24"/>
        </w:rPr>
      </w:pPr>
      <w:r>
        <w:rPr>
          <w:bCs w:val="0"/>
          <w:szCs w:val="24"/>
        </w:rPr>
        <w:t>3</w:t>
      </w:r>
      <w:r>
        <w:rPr>
          <w:rFonts w:hint="eastAsia"/>
          <w:bCs w:val="0"/>
          <w:szCs w:val="24"/>
        </w:rPr>
        <w:t>、资产置换</w:t>
      </w:r>
    </w:p>
    <w:p>
      <w:pPr>
        <w:pStyle w:val="14"/>
        <w:outlineLvl w:val="3"/>
        <w:rPr>
          <w:bCs w:val="0"/>
          <w:szCs w:val="24"/>
        </w:rPr>
      </w:pPr>
      <w:r>
        <w:rPr>
          <w:rFonts w:hint="eastAsia"/>
          <w:bCs w:val="0"/>
          <w:szCs w:val="24"/>
        </w:rPr>
        <w:t>（</w:t>
      </w:r>
      <w:r>
        <w:rPr>
          <w:bCs w:val="0"/>
          <w:szCs w:val="24"/>
        </w:rPr>
        <w:t>1</w:t>
      </w:r>
      <w:r>
        <w:rPr>
          <w:rFonts w:hint="eastAsia"/>
          <w:bCs w:val="0"/>
          <w:szCs w:val="24"/>
        </w:rPr>
        <w:t>）非货币性资产交换</w:t>
      </w:r>
    </w:p>
    <w:p>
      <w:pPr>
        <w:pStyle w:val="14"/>
        <w:outlineLvl w:val="3"/>
        <w:rPr>
          <w:bCs w:val="0"/>
          <w:szCs w:val="24"/>
        </w:rPr>
      </w:pPr>
      <w:r>
        <w:rPr>
          <w:rFonts w:hint="eastAsia"/>
          <w:bCs w:val="0"/>
          <w:szCs w:val="24"/>
        </w:rPr>
        <w:t>（</w:t>
      </w:r>
      <w:r>
        <w:rPr>
          <w:bCs w:val="0"/>
          <w:szCs w:val="24"/>
        </w:rPr>
        <w:t>2</w:t>
      </w:r>
      <w:r>
        <w:rPr>
          <w:rFonts w:hint="eastAsia"/>
          <w:bCs w:val="0"/>
          <w:szCs w:val="24"/>
        </w:rPr>
        <w:t>）其他资产置换</w:t>
      </w:r>
    </w:p>
    <w:p>
      <w:pPr>
        <w:pStyle w:val="14"/>
        <w:outlineLvl w:val="2"/>
        <w:rPr>
          <w:bCs w:val="0"/>
          <w:szCs w:val="24"/>
        </w:rPr>
      </w:pPr>
      <w:r>
        <w:rPr>
          <w:bCs w:val="0"/>
          <w:szCs w:val="24"/>
        </w:rPr>
        <w:t>4</w:t>
      </w:r>
      <w:r>
        <w:rPr>
          <w:rFonts w:hint="eastAsia"/>
          <w:bCs w:val="0"/>
          <w:szCs w:val="24"/>
        </w:rPr>
        <w:t>、年金计划</w:t>
      </w:r>
    </w:p>
    <w:p>
      <w:pPr>
        <w:pStyle w:val="14"/>
        <w:outlineLvl w:val="2"/>
        <w:rPr>
          <w:bCs w:val="0"/>
          <w:szCs w:val="24"/>
        </w:rPr>
      </w:pPr>
      <w:r>
        <w:rPr>
          <w:bCs w:val="0"/>
          <w:szCs w:val="24"/>
        </w:rPr>
        <w:t>5</w:t>
      </w:r>
      <w:r>
        <w:rPr>
          <w:rFonts w:hint="eastAsia"/>
          <w:bCs w:val="0"/>
          <w:szCs w:val="24"/>
        </w:rPr>
        <w:t>、终止经营</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368"/>
        <w:gridCol w:w="1368"/>
        <w:gridCol w:w="1367"/>
        <w:gridCol w:w="1367"/>
        <w:gridCol w:w="1367"/>
        <w:gridCol w:w="1367"/>
        <w:gridCol w:w="1367"/>
      </w:tblGrid>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收入</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费用</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利润总额</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所得税费用</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净利润</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归属于母公司所有者的终止经营利润</w:t>
            </w:r>
          </w:p>
        </w:tc>
      </w:tr>
    </w:tbl>
    <w:p>
      <w:pPr>
        <w:pStyle w:val="14"/>
        <w:outlineLvl w:val="2"/>
        <w:rPr>
          <w:bCs w:val="0"/>
          <w:szCs w:val="24"/>
        </w:rPr>
      </w:pPr>
      <w:r>
        <w:rPr>
          <w:bCs w:val="0"/>
          <w:szCs w:val="24"/>
        </w:rPr>
        <w:t>6</w:t>
      </w:r>
      <w:r>
        <w:rPr>
          <w:rFonts w:hint="eastAsia"/>
          <w:bCs w:val="0"/>
          <w:szCs w:val="24"/>
        </w:rPr>
        <w:t>、分部信息</w:t>
      </w:r>
    </w:p>
    <w:p>
      <w:pPr>
        <w:pStyle w:val="14"/>
        <w:outlineLvl w:val="3"/>
        <w:rPr>
          <w:bCs w:val="0"/>
          <w:szCs w:val="24"/>
        </w:rPr>
      </w:pPr>
      <w:r>
        <w:rPr>
          <w:rFonts w:hint="eastAsia"/>
          <w:bCs w:val="0"/>
          <w:szCs w:val="24"/>
        </w:rPr>
        <w:t>（</w:t>
      </w:r>
      <w:r>
        <w:rPr>
          <w:bCs w:val="0"/>
          <w:szCs w:val="24"/>
        </w:rPr>
        <w:t>1</w:t>
      </w:r>
      <w:r>
        <w:rPr>
          <w:rFonts w:hint="eastAsia"/>
          <w:bCs w:val="0"/>
          <w:szCs w:val="24"/>
        </w:rPr>
        <w:t>）报告分部的确定依据与会计政策</w:t>
      </w:r>
    </w:p>
    <w:p>
      <w:pPr>
        <w:pStyle w:val="14"/>
        <w:outlineLvl w:val="3"/>
        <w:rPr>
          <w:bCs w:val="0"/>
          <w:szCs w:val="24"/>
        </w:rPr>
      </w:pPr>
      <w:r>
        <w:rPr>
          <w:rFonts w:hint="eastAsia"/>
          <w:bCs w:val="0"/>
          <w:szCs w:val="24"/>
        </w:rPr>
        <w:t>（</w:t>
      </w:r>
      <w:r>
        <w:rPr>
          <w:bCs w:val="0"/>
          <w:szCs w:val="24"/>
        </w:rPr>
        <w:t>2</w:t>
      </w:r>
      <w:r>
        <w:rPr>
          <w:rFonts w:hint="eastAsia"/>
          <w:bCs w:val="0"/>
          <w:szCs w:val="24"/>
        </w:rPr>
        <w:t>）报告分部的财务信息</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92"/>
        <w:gridCol w:w="2392"/>
        <w:gridCol w:w="2392"/>
        <w:gridCol w:w="2392"/>
      </w:tblGrid>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分部间抵销</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合计</w:t>
            </w:r>
          </w:p>
        </w:tc>
      </w:tr>
    </w:tbl>
    <w:p>
      <w:pPr>
        <w:pStyle w:val="14"/>
        <w:outlineLvl w:val="3"/>
        <w:rPr>
          <w:bCs w:val="0"/>
          <w:szCs w:val="24"/>
        </w:rPr>
      </w:pPr>
      <w:r>
        <w:rPr>
          <w:rFonts w:hint="eastAsia"/>
          <w:bCs w:val="0"/>
          <w:szCs w:val="24"/>
        </w:rPr>
        <w:t>（</w:t>
      </w:r>
      <w:r>
        <w:rPr>
          <w:bCs w:val="0"/>
          <w:szCs w:val="24"/>
        </w:rPr>
        <w:t>3</w:t>
      </w:r>
      <w:r>
        <w:rPr>
          <w:rFonts w:hint="eastAsia"/>
          <w:bCs w:val="0"/>
          <w:szCs w:val="24"/>
        </w:rPr>
        <w:t>）公司无报告分部的，或者不能披露各报告分部的资产总额和负债总额的，应说明原因</w:t>
      </w:r>
    </w:p>
    <w:p>
      <w:pPr>
        <w:pStyle w:val="14"/>
        <w:outlineLvl w:val="3"/>
        <w:rPr>
          <w:bCs w:val="0"/>
          <w:szCs w:val="24"/>
        </w:rPr>
      </w:pPr>
      <w:r>
        <w:rPr>
          <w:rFonts w:hint="eastAsia"/>
          <w:bCs w:val="0"/>
          <w:szCs w:val="24"/>
        </w:rPr>
        <w:t>（</w:t>
      </w:r>
      <w:r>
        <w:rPr>
          <w:bCs w:val="0"/>
          <w:szCs w:val="24"/>
        </w:rPr>
        <w:t>4</w:t>
      </w:r>
      <w:r>
        <w:rPr>
          <w:rFonts w:hint="eastAsia"/>
          <w:bCs w:val="0"/>
          <w:szCs w:val="24"/>
        </w:rPr>
        <w:t>）其他说明</w:t>
      </w:r>
    </w:p>
    <w:p>
      <w:pPr>
        <w:pStyle w:val="14"/>
        <w:outlineLvl w:val="2"/>
        <w:rPr>
          <w:bCs w:val="0"/>
          <w:szCs w:val="24"/>
        </w:rPr>
      </w:pPr>
      <w:r>
        <w:rPr>
          <w:bCs w:val="0"/>
          <w:szCs w:val="24"/>
        </w:rPr>
        <w:t>7</w:t>
      </w:r>
      <w:r>
        <w:rPr>
          <w:rFonts w:hint="eastAsia"/>
          <w:bCs w:val="0"/>
          <w:szCs w:val="24"/>
        </w:rPr>
        <w:t>、其他对投资者决策有影响的重要交易和事项</w:t>
      </w:r>
    </w:p>
    <w:p>
      <w:pPr>
        <w:pStyle w:val="14"/>
        <w:numPr>
          <w:ilvl w:val="0"/>
          <w:numId w:val="19"/>
        </w:numPr>
        <w:outlineLvl w:val="2"/>
        <w:rPr>
          <w:bCs w:val="0"/>
          <w:szCs w:val="24"/>
        </w:rPr>
      </w:pPr>
      <w:r>
        <w:rPr>
          <w:rFonts w:hint="eastAsia"/>
          <w:bCs w:val="0"/>
          <w:szCs w:val="24"/>
        </w:rPr>
        <w:t>其他</w:t>
      </w:r>
    </w:p>
    <w:p>
      <w:pPr>
        <w:autoSpaceDE w:val="0"/>
        <w:autoSpaceDN w:val="0"/>
        <w:adjustRightInd w:val="0"/>
        <w:spacing w:before="0" w:after="0"/>
        <w:ind w:firstLine="361" w:firstLineChars="200"/>
        <w:rPr>
          <w:rFonts w:eastAsia="Times New Roman"/>
          <w:b/>
          <w:kern w:val="0"/>
          <w:lang w:val="zh-CN"/>
        </w:rPr>
      </w:pPr>
      <w:r>
        <w:rPr>
          <w:rFonts w:ascii="宋体" w:hAnsi="宋体" w:cs="宋体"/>
          <w:b/>
          <w:kern w:val="0"/>
          <w:lang w:val="zh-CN"/>
        </w:rPr>
        <w:t>(一)</w:t>
      </w:r>
      <w:r>
        <w:rPr>
          <w:rFonts w:hint="eastAsia" w:ascii="宋体" w:hAnsi="宋体" w:cs="宋体"/>
          <w:b/>
          <w:kern w:val="0"/>
          <w:lang w:val="zh-CN"/>
        </w:rPr>
        <w:t>、杭州倚天股权并购事项的补充约定</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30</w:t>
      </w:r>
      <w:r>
        <w:rPr>
          <w:rFonts w:hint="eastAsia" w:ascii="宋体" w:hAnsi="宋体" w:cs="宋体"/>
          <w:kern w:val="0"/>
          <w:lang w:val="zh-CN"/>
        </w:rPr>
        <w:t>日，美康生物与姚丹华、高俊顺、许志良、陈敬、杭州昆贺投资合伙企业（有限合伙）、</w:t>
      </w:r>
      <w:r>
        <w:rPr>
          <w:rFonts w:eastAsia="Times New Roman"/>
          <w:kern w:val="0"/>
          <w:lang w:val="zh-CN"/>
        </w:rPr>
        <w:t xml:space="preserve"> </w:t>
      </w:r>
      <w:r>
        <w:rPr>
          <w:rFonts w:hint="eastAsia" w:ascii="宋体" w:hAnsi="宋体" w:cs="宋体"/>
          <w:kern w:val="0"/>
          <w:lang w:val="zh-CN"/>
        </w:rPr>
        <w:t>杭州倚天（含上海曼贝）共同签署了《关于</w:t>
      </w:r>
      <w:r>
        <w:rPr>
          <w:rFonts w:eastAsia="Times New Roman"/>
          <w:kern w:val="0"/>
          <w:lang w:val="zh-CN"/>
        </w:rPr>
        <w:t>&lt;</w:t>
      </w:r>
      <w:r>
        <w:rPr>
          <w:rFonts w:hint="eastAsia" w:ascii="宋体" w:hAnsi="宋体" w:cs="宋体"/>
          <w:kern w:val="0"/>
          <w:lang w:val="zh-CN"/>
        </w:rPr>
        <w:t>杭州倚天生物技术有限公司股权并购协议书</w:t>
      </w:r>
      <w:r>
        <w:rPr>
          <w:rFonts w:eastAsia="Times New Roman"/>
          <w:kern w:val="0"/>
          <w:lang w:val="zh-CN"/>
        </w:rPr>
        <w:t>&gt;</w:t>
      </w:r>
      <w:r>
        <w:rPr>
          <w:rFonts w:hint="eastAsia" w:ascii="宋体" w:hAnsi="宋体" w:cs="宋体"/>
          <w:kern w:val="0"/>
          <w:lang w:val="zh-CN"/>
        </w:rPr>
        <w:t>之补充协议（二）》，该协议业经公司</w:t>
      </w:r>
      <w:r>
        <w:rPr>
          <w:rFonts w:eastAsia="Times New Roman"/>
          <w:kern w:val="0"/>
          <w:lang w:val="zh-CN"/>
        </w:rPr>
        <w:t>2020</w:t>
      </w:r>
      <w:r>
        <w:rPr>
          <w:rFonts w:hint="eastAsia" w:ascii="宋体" w:hAnsi="宋体" w:cs="宋体"/>
          <w:kern w:val="0"/>
          <w:lang w:val="zh-CN"/>
        </w:rPr>
        <w:t>年第一次临时股东大会审议通过。</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1</w:t>
      </w:r>
      <w:r>
        <w:rPr>
          <w:rFonts w:hint="eastAsia" w:ascii="宋体" w:hAnsi="宋体" w:cs="宋体"/>
          <w:kern w:val="0"/>
          <w:lang w:val="zh-CN"/>
        </w:rPr>
        <w:t>、根据协议约定，原于</w:t>
      </w:r>
      <w:r>
        <w:rPr>
          <w:rFonts w:eastAsia="Times New Roman"/>
          <w:kern w:val="0"/>
          <w:lang w:val="zh-CN"/>
        </w:rPr>
        <w:t>2016</w:t>
      </w:r>
      <w:r>
        <w:rPr>
          <w:rFonts w:hint="eastAsia" w:ascii="宋体" w:hAnsi="宋体" w:cs="宋体"/>
          <w:kern w:val="0"/>
          <w:lang w:val="zh-CN"/>
        </w:rPr>
        <w:t>年</w:t>
      </w:r>
      <w:r>
        <w:rPr>
          <w:rFonts w:eastAsia="Times New Roman"/>
          <w:kern w:val="0"/>
          <w:lang w:val="zh-CN"/>
        </w:rPr>
        <w:t>8</w:t>
      </w:r>
      <w:r>
        <w:rPr>
          <w:rFonts w:hint="eastAsia" w:ascii="宋体" w:hAnsi="宋体" w:cs="宋体"/>
          <w:kern w:val="0"/>
          <w:lang w:val="zh-CN"/>
        </w:rPr>
        <w:t>月已签订的《杭州倚天生物技术有限公司股权并购协议》中约定的杭州倚天</w:t>
      </w:r>
      <w:r>
        <w:rPr>
          <w:rFonts w:eastAsia="Times New Roman"/>
          <w:kern w:val="0"/>
          <w:lang w:val="zh-CN"/>
        </w:rPr>
        <w:t>100%</w:t>
      </w:r>
      <w:r>
        <w:rPr>
          <w:rFonts w:hint="eastAsia" w:ascii="宋体" w:hAnsi="宋体" w:cs="宋体"/>
          <w:kern w:val="0"/>
          <w:lang w:val="zh-CN"/>
        </w:rPr>
        <w:t>股权转让价格由</w:t>
      </w:r>
      <w:r>
        <w:rPr>
          <w:rFonts w:eastAsia="Times New Roman"/>
          <w:kern w:val="0"/>
          <w:lang w:val="zh-CN"/>
        </w:rPr>
        <w:t>902,200,000.00</w:t>
      </w:r>
      <w:r>
        <w:rPr>
          <w:rFonts w:hint="eastAsia" w:ascii="宋体" w:hAnsi="宋体" w:cs="宋体"/>
          <w:kern w:val="0"/>
          <w:lang w:val="zh-CN"/>
        </w:rPr>
        <w:t>元变更为</w:t>
      </w:r>
      <w:r>
        <w:rPr>
          <w:rFonts w:eastAsia="Times New Roman"/>
          <w:kern w:val="0"/>
          <w:lang w:val="zh-CN"/>
        </w:rPr>
        <w:t>723,564,400.00</w:t>
      </w:r>
      <w:r>
        <w:rPr>
          <w:rFonts w:hint="eastAsia" w:ascii="宋体" w:hAnsi="宋体" w:cs="宋体"/>
          <w:kern w:val="0"/>
          <w:lang w:val="zh-CN"/>
        </w:rPr>
        <w:t>元，减少</w:t>
      </w:r>
      <w:r>
        <w:rPr>
          <w:rFonts w:eastAsia="Times New Roman"/>
          <w:kern w:val="0"/>
          <w:lang w:val="zh-CN"/>
        </w:rPr>
        <w:t>178,635,600.00</w:t>
      </w:r>
      <w:r>
        <w:rPr>
          <w:rFonts w:hint="eastAsia" w:ascii="宋体" w:hAnsi="宋体" w:cs="宋体"/>
          <w:kern w:val="0"/>
          <w:lang w:val="zh-CN"/>
        </w:rPr>
        <w:t>元。截止</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日，该股权转让价格调整金额</w:t>
      </w:r>
      <w:r>
        <w:rPr>
          <w:rFonts w:eastAsia="Times New Roman"/>
          <w:kern w:val="0"/>
          <w:lang w:val="zh-CN"/>
        </w:rPr>
        <w:t>178,635,600.00</w:t>
      </w:r>
      <w:r>
        <w:rPr>
          <w:rFonts w:hint="eastAsia" w:ascii="宋体" w:hAnsi="宋体" w:cs="宋体"/>
          <w:kern w:val="0"/>
          <w:lang w:val="zh-CN"/>
        </w:rPr>
        <w:t>元公司尚未支付，账面列报在</w:t>
      </w:r>
      <w:r>
        <w:rPr>
          <w:rFonts w:eastAsia="Times New Roman"/>
          <w:kern w:val="0"/>
          <w:lang w:val="zh-CN"/>
        </w:rPr>
        <w:t>“</w:t>
      </w:r>
      <w:r>
        <w:rPr>
          <w:rFonts w:hint="eastAsia" w:ascii="宋体" w:hAnsi="宋体" w:cs="宋体"/>
          <w:kern w:val="0"/>
          <w:lang w:val="zh-CN"/>
        </w:rPr>
        <w:t>其他应付款</w:t>
      </w:r>
      <w:r>
        <w:rPr>
          <w:rFonts w:eastAsia="Times New Roman"/>
          <w:kern w:val="0"/>
          <w:lang w:val="zh-CN"/>
        </w:rPr>
        <w:t>”</w:t>
      </w:r>
      <w:r>
        <w:rPr>
          <w:rFonts w:hint="eastAsia" w:ascii="宋体" w:hAnsi="宋体" w:cs="宋体"/>
          <w:kern w:val="0"/>
          <w:lang w:val="zh-CN"/>
        </w:rPr>
        <w:t>科目。根据该协议，公司将于</w:t>
      </w:r>
      <w:r>
        <w:rPr>
          <w:rFonts w:eastAsia="Times New Roman"/>
          <w:kern w:val="0"/>
          <w:lang w:val="zh-CN"/>
        </w:rPr>
        <w:t>2020</w:t>
      </w:r>
      <w:r>
        <w:rPr>
          <w:rFonts w:hint="eastAsia" w:ascii="宋体" w:hAnsi="宋体" w:cs="宋体"/>
          <w:kern w:val="0"/>
          <w:lang w:val="zh-CN"/>
        </w:rPr>
        <w:t>年冲减其他应付款，并增加营业外收入</w:t>
      </w:r>
      <w:r>
        <w:rPr>
          <w:rFonts w:eastAsia="Times New Roman"/>
          <w:kern w:val="0"/>
          <w:lang w:val="zh-CN"/>
        </w:rPr>
        <w:t>178,635,600.00</w:t>
      </w:r>
      <w:r>
        <w:rPr>
          <w:rFonts w:hint="eastAsia" w:ascii="宋体" w:hAnsi="宋体" w:cs="宋体"/>
          <w:kern w:val="0"/>
          <w:lang w:val="zh-CN"/>
        </w:rPr>
        <w:t>元。</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2</w:t>
      </w:r>
      <w:r>
        <w:rPr>
          <w:rFonts w:hint="eastAsia" w:ascii="宋体" w:hAnsi="宋体" w:cs="宋体"/>
          <w:kern w:val="0"/>
          <w:lang w:val="zh-CN"/>
        </w:rPr>
        <w:t>、根据协议约定，公司取消了对姚丹华等人的竞业限制。</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3</w:t>
      </w:r>
      <w:r>
        <w:rPr>
          <w:rFonts w:hint="eastAsia" w:ascii="宋体" w:hAnsi="宋体" w:cs="宋体"/>
          <w:kern w:val="0"/>
          <w:lang w:val="zh-CN"/>
        </w:rPr>
        <w:t>、根据协议约定，姚丹华负责的业务对应的应收账款</w:t>
      </w:r>
      <w:r>
        <w:rPr>
          <w:rFonts w:eastAsia="Times New Roman"/>
          <w:kern w:val="0"/>
          <w:lang w:val="zh-CN"/>
        </w:rPr>
        <w:t>295,693,730.00</w:t>
      </w:r>
      <w:r>
        <w:rPr>
          <w:rFonts w:hint="eastAsia" w:ascii="宋体" w:hAnsi="宋体" w:cs="宋体"/>
          <w:kern w:val="0"/>
          <w:lang w:val="zh-CN"/>
        </w:rPr>
        <w:t>元，由姚丹华负责在</w:t>
      </w:r>
      <w:r>
        <w:rPr>
          <w:rFonts w:eastAsia="Times New Roman"/>
          <w:kern w:val="0"/>
          <w:lang w:val="zh-CN"/>
        </w:rPr>
        <w:t>2020</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日前收回，未能收回的，由姚丹华在</w:t>
      </w:r>
      <w:r>
        <w:rPr>
          <w:rFonts w:eastAsia="Times New Roman"/>
          <w:kern w:val="0"/>
          <w:lang w:val="zh-CN"/>
        </w:rPr>
        <w:t>2021</w:t>
      </w:r>
      <w:r>
        <w:rPr>
          <w:rFonts w:hint="eastAsia" w:ascii="宋体" w:hAnsi="宋体" w:cs="宋体"/>
          <w:kern w:val="0"/>
          <w:lang w:val="zh-CN"/>
        </w:rPr>
        <w:t>年</w:t>
      </w:r>
      <w:r>
        <w:rPr>
          <w:rFonts w:eastAsia="Times New Roman"/>
          <w:kern w:val="0"/>
          <w:lang w:val="zh-CN"/>
        </w:rPr>
        <w:t>1</w:t>
      </w:r>
      <w:r>
        <w:rPr>
          <w:rFonts w:hint="eastAsia" w:ascii="宋体" w:hAnsi="宋体" w:cs="宋体"/>
          <w:kern w:val="0"/>
          <w:lang w:val="zh-CN"/>
        </w:rPr>
        <w:t>月</w:t>
      </w:r>
      <w:r>
        <w:rPr>
          <w:rFonts w:eastAsia="Times New Roman"/>
          <w:kern w:val="0"/>
          <w:lang w:val="zh-CN"/>
        </w:rPr>
        <w:t>15</w:t>
      </w:r>
      <w:r>
        <w:rPr>
          <w:rFonts w:hint="eastAsia" w:ascii="宋体" w:hAnsi="宋体" w:cs="宋体"/>
          <w:kern w:val="0"/>
          <w:lang w:val="zh-CN"/>
        </w:rPr>
        <w:t>日前补给杭州倚天，后续如能收回，由杭州倚天在收款后</w:t>
      </w:r>
      <w:r>
        <w:rPr>
          <w:rFonts w:eastAsia="Times New Roman"/>
          <w:kern w:val="0"/>
          <w:lang w:val="zh-CN"/>
        </w:rPr>
        <w:t>15</w:t>
      </w:r>
      <w:r>
        <w:rPr>
          <w:rFonts w:hint="eastAsia" w:ascii="宋体" w:hAnsi="宋体" w:cs="宋体"/>
          <w:kern w:val="0"/>
          <w:lang w:val="zh-CN"/>
        </w:rPr>
        <w:t>日内返还给姚丹华。</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为了配合上述应收款项的回收，姚丹华负责的客户在</w:t>
      </w:r>
      <w:r>
        <w:rPr>
          <w:rFonts w:eastAsia="Times New Roman"/>
          <w:kern w:val="0"/>
          <w:lang w:val="zh-CN"/>
        </w:rPr>
        <w:t>2020</w:t>
      </w:r>
      <w:r>
        <w:rPr>
          <w:rFonts w:hint="eastAsia" w:ascii="宋体" w:hAnsi="宋体" w:cs="宋体"/>
          <w:kern w:val="0"/>
          <w:lang w:val="zh-CN"/>
        </w:rPr>
        <w:t>年业务可以继续延续，但应逐步缩小规模，姚丹华负责的客户业务开展的时间最晚到</w:t>
      </w:r>
      <w:r>
        <w:rPr>
          <w:rFonts w:eastAsia="Times New Roman"/>
          <w:kern w:val="0"/>
          <w:lang w:val="zh-CN"/>
        </w:rPr>
        <w:t>2020</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日。姚丹华保证，到</w:t>
      </w:r>
      <w:r>
        <w:rPr>
          <w:rFonts w:eastAsia="Times New Roman"/>
          <w:kern w:val="0"/>
          <w:lang w:val="zh-CN"/>
        </w:rPr>
        <w:t>2020</w:t>
      </w:r>
      <w:r>
        <w:rPr>
          <w:rFonts w:hint="eastAsia" w:ascii="宋体" w:hAnsi="宋体" w:cs="宋体"/>
          <w:kern w:val="0"/>
          <w:lang w:val="zh-CN"/>
        </w:rPr>
        <w:t>年底，杭州倚天由姚丹华负责的客户形成的应收账款金额控制在</w:t>
      </w:r>
      <w:r>
        <w:rPr>
          <w:rFonts w:eastAsia="Times New Roman"/>
          <w:kern w:val="0"/>
          <w:lang w:val="zh-CN"/>
        </w:rPr>
        <w:t>1</w:t>
      </w:r>
      <w:r>
        <w:rPr>
          <w:rFonts w:hint="eastAsia" w:ascii="宋体" w:hAnsi="宋体" w:cs="宋体"/>
          <w:kern w:val="0"/>
          <w:lang w:val="zh-CN"/>
        </w:rPr>
        <w:t>亿元以下，存货账面金额控制在</w:t>
      </w:r>
      <w:r>
        <w:rPr>
          <w:rFonts w:eastAsia="Times New Roman"/>
          <w:kern w:val="0"/>
          <w:lang w:val="zh-CN"/>
        </w:rPr>
        <w:t>2,000</w:t>
      </w:r>
      <w:r>
        <w:rPr>
          <w:rFonts w:hint="eastAsia" w:ascii="宋体" w:hAnsi="宋体" w:cs="宋体"/>
          <w:kern w:val="0"/>
          <w:lang w:val="zh-CN"/>
        </w:rPr>
        <w:t>万元以下。</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如果到</w:t>
      </w:r>
      <w:r>
        <w:rPr>
          <w:rFonts w:eastAsia="Times New Roman"/>
          <w:kern w:val="0"/>
          <w:lang w:val="zh-CN"/>
        </w:rPr>
        <w:t>2020</w:t>
      </w:r>
      <w:r>
        <w:rPr>
          <w:rFonts w:hint="eastAsia" w:ascii="宋体" w:hAnsi="宋体" w:cs="宋体"/>
          <w:kern w:val="0"/>
          <w:lang w:val="zh-CN"/>
        </w:rPr>
        <w:t>年底，杭州倚天由姚丹华负责的客户形成的应收账款金额超过</w:t>
      </w:r>
      <w:r>
        <w:rPr>
          <w:rFonts w:eastAsia="Times New Roman"/>
          <w:kern w:val="0"/>
          <w:lang w:val="zh-CN"/>
        </w:rPr>
        <w:t>1</w:t>
      </w:r>
      <w:r>
        <w:rPr>
          <w:rFonts w:hint="eastAsia" w:ascii="宋体" w:hAnsi="宋体" w:cs="宋体"/>
          <w:kern w:val="0"/>
          <w:lang w:val="zh-CN"/>
        </w:rPr>
        <w:t>亿元或者存货超过</w:t>
      </w:r>
      <w:r>
        <w:rPr>
          <w:rFonts w:eastAsia="Times New Roman"/>
          <w:kern w:val="0"/>
          <w:lang w:val="zh-CN"/>
        </w:rPr>
        <w:t>2000</w:t>
      </w:r>
      <w:r>
        <w:rPr>
          <w:rFonts w:hint="eastAsia" w:ascii="宋体" w:hAnsi="宋体" w:cs="宋体"/>
          <w:kern w:val="0"/>
          <w:lang w:val="zh-CN"/>
        </w:rPr>
        <w:t>万元的，应收账款差额部分（账面应收款</w:t>
      </w:r>
      <w:r>
        <w:rPr>
          <w:rFonts w:eastAsia="Times New Roman"/>
          <w:kern w:val="0"/>
          <w:lang w:val="zh-CN"/>
        </w:rPr>
        <w:t>-1</w:t>
      </w:r>
      <w:r>
        <w:rPr>
          <w:rFonts w:hint="eastAsia" w:ascii="宋体" w:hAnsi="宋体" w:cs="宋体"/>
          <w:kern w:val="0"/>
          <w:lang w:val="zh-CN"/>
        </w:rPr>
        <w:t>亿元）以及存货的差额部分（账面存货</w:t>
      </w:r>
      <w:r>
        <w:rPr>
          <w:rFonts w:eastAsia="Times New Roman"/>
          <w:kern w:val="0"/>
          <w:lang w:val="zh-CN"/>
        </w:rPr>
        <w:t>-2,000</w:t>
      </w:r>
      <w:r>
        <w:rPr>
          <w:rFonts w:hint="eastAsia" w:ascii="宋体" w:hAnsi="宋体" w:cs="宋体"/>
          <w:kern w:val="0"/>
          <w:lang w:val="zh-CN"/>
        </w:rPr>
        <w:t>万元）由姚丹华在</w:t>
      </w:r>
      <w:r>
        <w:rPr>
          <w:rFonts w:eastAsia="Times New Roman"/>
          <w:kern w:val="0"/>
          <w:lang w:val="zh-CN"/>
        </w:rPr>
        <w:t>2021</w:t>
      </w:r>
      <w:r>
        <w:rPr>
          <w:rFonts w:hint="eastAsia" w:ascii="宋体" w:hAnsi="宋体" w:cs="宋体"/>
          <w:kern w:val="0"/>
          <w:lang w:val="zh-CN"/>
        </w:rPr>
        <w:t>年</w:t>
      </w:r>
      <w:r>
        <w:rPr>
          <w:rFonts w:eastAsia="Times New Roman"/>
          <w:kern w:val="0"/>
          <w:lang w:val="zh-CN"/>
        </w:rPr>
        <w:t>1</w:t>
      </w:r>
      <w:r>
        <w:rPr>
          <w:rFonts w:hint="eastAsia" w:ascii="宋体" w:hAnsi="宋体" w:cs="宋体"/>
          <w:kern w:val="0"/>
          <w:lang w:val="zh-CN"/>
        </w:rPr>
        <w:t>月</w:t>
      </w:r>
      <w:r>
        <w:rPr>
          <w:rFonts w:eastAsia="Times New Roman"/>
          <w:kern w:val="0"/>
          <w:lang w:val="zh-CN"/>
        </w:rPr>
        <w:t>15</w:t>
      </w:r>
      <w:r>
        <w:rPr>
          <w:rFonts w:hint="eastAsia" w:ascii="宋体" w:hAnsi="宋体" w:cs="宋体"/>
          <w:kern w:val="0"/>
          <w:lang w:val="zh-CN"/>
        </w:rPr>
        <w:t>日前补给杭州倚天。</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对于</w:t>
      </w:r>
      <w:r>
        <w:rPr>
          <w:rFonts w:eastAsia="Times New Roman"/>
          <w:kern w:val="0"/>
          <w:lang w:val="zh-CN"/>
        </w:rPr>
        <w:t>2020</w:t>
      </w:r>
      <w:r>
        <w:rPr>
          <w:rFonts w:hint="eastAsia" w:ascii="宋体" w:hAnsi="宋体" w:cs="宋体"/>
          <w:kern w:val="0"/>
          <w:lang w:val="zh-CN"/>
        </w:rPr>
        <w:t>年底杭州倚天由姚丹华负责的客户形成的应收账款，姚丹华承诺在</w:t>
      </w:r>
      <w:r>
        <w:rPr>
          <w:rFonts w:eastAsia="Times New Roman"/>
          <w:kern w:val="0"/>
          <w:lang w:val="zh-CN"/>
        </w:rPr>
        <w:t>2021</w:t>
      </w:r>
      <w:r>
        <w:rPr>
          <w:rFonts w:hint="eastAsia" w:ascii="宋体" w:hAnsi="宋体" w:cs="宋体"/>
          <w:kern w:val="0"/>
          <w:lang w:val="zh-CN"/>
        </w:rPr>
        <w:t>年</w:t>
      </w:r>
      <w:r>
        <w:rPr>
          <w:rFonts w:eastAsia="Times New Roman"/>
          <w:kern w:val="0"/>
          <w:lang w:val="zh-CN"/>
        </w:rPr>
        <w:t>6</w:t>
      </w:r>
      <w:r>
        <w:rPr>
          <w:rFonts w:hint="eastAsia" w:ascii="宋体" w:hAnsi="宋体" w:cs="宋体"/>
          <w:kern w:val="0"/>
          <w:lang w:val="zh-CN"/>
        </w:rPr>
        <w:t>月</w:t>
      </w:r>
      <w:r>
        <w:rPr>
          <w:rFonts w:eastAsia="Times New Roman"/>
          <w:kern w:val="0"/>
          <w:lang w:val="zh-CN"/>
        </w:rPr>
        <w:t>30</w:t>
      </w:r>
      <w:r>
        <w:rPr>
          <w:rFonts w:hint="eastAsia" w:ascii="宋体" w:hAnsi="宋体" w:cs="宋体"/>
          <w:kern w:val="0"/>
          <w:lang w:val="zh-CN"/>
        </w:rPr>
        <w:t>日前全部收回，未能收回的，由姚丹华在</w:t>
      </w:r>
      <w:r>
        <w:rPr>
          <w:rFonts w:eastAsia="Times New Roman"/>
          <w:kern w:val="0"/>
          <w:lang w:val="zh-CN"/>
        </w:rPr>
        <w:t>2021</w:t>
      </w:r>
      <w:r>
        <w:rPr>
          <w:rFonts w:hint="eastAsia" w:ascii="宋体" w:hAnsi="宋体" w:cs="宋体"/>
          <w:kern w:val="0"/>
          <w:lang w:val="zh-CN"/>
        </w:rPr>
        <w:t>年</w:t>
      </w:r>
      <w:r>
        <w:rPr>
          <w:rFonts w:eastAsia="Times New Roman"/>
          <w:kern w:val="0"/>
          <w:lang w:val="zh-CN"/>
        </w:rPr>
        <w:t>7</w:t>
      </w:r>
      <w:r>
        <w:rPr>
          <w:rFonts w:hint="eastAsia" w:ascii="宋体" w:hAnsi="宋体" w:cs="宋体"/>
          <w:kern w:val="0"/>
          <w:lang w:val="zh-CN"/>
        </w:rPr>
        <w:t>月</w:t>
      </w:r>
      <w:r>
        <w:rPr>
          <w:rFonts w:eastAsia="Times New Roman"/>
          <w:kern w:val="0"/>
          <w:lang w:val="zh-CN"/>
        </w:rPr>
        <w:t>15</w:t>
      </w:r>
      <w:r>
        <w:rPr>
          <w:rFonts w:hint="eastAsia" w:ascii="宋体" w:hAnsi="宋体" w:cs="宋体"/>
          <w:kern w:val="0"/>
          <w:lang w:val="zh-CN"/>
        </w:rPr>
        <w:t>日前补给杭州倚天，后续如能收回，由杭州倚天在收款后</w:t>
      </w:r>
      <w:r>
        <w:rPr>
          <w:rFonts w:eastAsia="Times New Roman"/>
          <w:kern w:val="0"/>
          <w:lang w:val="zh-CN"/>
        </w:rPr>
        <w:t>15</w:t>
      </w:r>
      <w:r>
        <w:rPr>
          <w:rFonts w:hint="eastAsia" w:ascii="宋体" w:hAnsi="宋体" w:cs="宋体"/>
          <w:kern w:val="0"/>
          <w:lang w:val="zh-CN"/>
        </w:rPr>
        <w:t>日内返还给姚丹华。</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4</w:t>
      </w:r>
      <w:r>
        <w:rPr>
          <w:rFonts w:hint="eastAsia" w:ascii="宋体" w:hAnsi="宋体" w:cs="宋体"/>
          <w:kern w:val="0"/>
          <w:lang w:val="zh-CN"/>
        </w:rPr>
        <w:t>、姚丹华保证，到</w:t>
      </w:r>
      <w:r>
        <w:rPr>
          <w:rFonts w:eastAsia="Times New Roman"/>
          <w:kern w:val="0"/>
          <w:lang w:val="zh-CN"/>
        </w:rPr>
        <w:t>2021</w:t>
      </w:r>
      <w:r>
        <w:rPr>
          <w:rFonts w:hint="eastAsia" w:ascii="宋体" w:hAnsi="宋体" w:cs="宋体"/>
          <w:kern w:val="0"/>
          <w:lang w:val="zh-CN"/>
        </w:rPr>
        <w:t>年</w:t>
      </w:r>
      <w:r>
        <w:rPr>
          <w:rFonts w:eastAsia="Times New Roman"/>
          <w:kern w:val="0"/>
          <w:lang w:val="zh-CN"/>
        </w:rPr>
        <w:t>6</w:t>
      </w:r>
      <w:r>
        <w:rPr>
          <w:rFonts w:hint="eastAsia" w:ascii="宋体" w:hAnsi="宋体" w:cs="宋体"/>
          <w:kern w:val="0"/>
          <w:lang w:val="zh-CN"/>
        </w:rPr>
        <w:t>月</w:t>
      </w:r>
      <w:r>
        <w:rPr>
          <w:rFonts w:eastAsia="Times New Roman"/>
          <w:kern w:val="0"/>
          <w:lang w:val="zh-CN"/>
        </w:rPr>
        <w:t>30</w:t>
      </w:r>
      <w:r>
        <w:rPr>
          <w:rFonts w:hint="eastAsia" w:ascii="宋体" w:hAnsi="宋体" w:cs="宋体"/>
          <w:kern w:val="0"/>
          <w:lang w:val="zh-CN"/>
        </w:rPr>
        <w:t>日，杭州倚天的存货应全部变现，如存货未能全部处置，由姚丹华按存货账面值收购，姚丹华应在</w:t>
      </w:r>
      <w:r>
        <w:rPr>
          <w:rFonts w:eastAsia="Times New Roman"/>
          <w:kern w:val="0"/>
          <w:lang w:val="zh-CN"/>
        </w:rPr>
        <w:t>2021</w:t>
      </w:r>
      <w:r>
        <w:rPr>
          <w:rFonts w:hint="eastAsia" w:ascii="宋体" w:hAnsi="宋体" w:cs="宋体"/>
          <w:kern w:val="0"/>
          <w:lang w:val="zh-CN"/>
        </w:rPr>
        <w:t>年</w:t>
      </w:r>
      <w:r>
        <w:rPr>
          <w:rFonts w:eastAsia="Times New Roman"/>
          <w:kern w:val="0"/>
          <w:lang w:val="zh-CN"/>
        </w:rPr>
        <w:t>7</w:t>
      </w:r>
      <w:r>
        <w:rPr>
          <w:rFonts w:hint="eastAsia" w:ascii="宋体" w:hAnsi="宋体" w:cs="宋体"/>
          <w:kern w:val="0"/>
          <w:lang w:val="zh-CN"/>
        </w:rPr>
        <w:t>月</w:t>
      </w:r>
      <w:r>
        <w:rPr>
          <w:rFonts w:eastAsia="Times New Roman"/>
          <w:kern w:val="0"/>
          <w:lang w:val="zh-CN"/>
        </w:rPr>
        <w:t>15</w:t>
      </w:r>
      <w:r>
        <w:rPr>
          <w:rFonts w:hint="eastAsia" w:ascii="宋体" w:hAnsi="宋体" w:cs="宋体"/>
          <w:kern w:val="0"/>
          <w:lang w:val="zh-CN"/>
        </w:rPr>
        <w:t>日前将收购款足额支付给杭州倚天。</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5</w:t>
      </w:r>
      <w:r>
        <w:rPr>
          <w:rFonts w:hint="eastAsia" w:ascii="宋体" w:hAnsi="宋体" w:cs="宋体"/>
          <w:kern w:val="0"/>
          <w:lang w:val="zh-CN"/>
        </w:rPr>
        <w:t>、杭州倚天雅培业务所涉及的应收押金</w:t>
      </w:r>
      <w:r>
        <w:rPr>
          <w:rFonts w:eastAsia="Times New Roman"/>
          <w:kern w:val="0"/>
          <w:lang w:val="zh-CN"/>
        </w:rPr>
        <w:t>40,155,173.30</w:t>
      </w:r>
      <w:r>
        <w:rPr>
          <w:rFonts w:hint="eastAsia" w:ascii="宋体" w:hAnsi="宋体" w:cs="宋体"/>
          <w:kern w:val="0"/>
          <w:lang w:val="zh-CN"/>
        </w:rPr>
        <w:t>元，由姚丹华负责在</w:t>
      </w:r>
      <w:r>
        <w:rPr>
          <w:rFonts w:eastAsia="Times New Roman"/>
          <w:kern w:val="0"/>
          <w:lang w:val="zh-CN"/>
        </w:rPr>
        <w:t>2021</w:t>
      </w:r>
      <w:r>
        <w:rPr>
          <w:rFonts w:hint="eastAsia" w:ascii="宋体" w:hAnsi="宋体" w:cs="宋体"/>
          <w:kern w:val="0"/>
          <w:lang w:val="zh-CN"/>
        </w:rPr>
        <w:t>年</w:t>
      </w:r>
      <w:r>
        <w:rPr>
          <w:rFonts w:eastAsia="Times New Roman"/>
          <w:kern w:val="0"/>
          <w:lang w:val="zh-CN"/>
        </w:rPr>
        <w:t>6</w:t>
      </w:r>
      <w:r>
        <w:rPr>
          <w:rFonts w:hint="eastAsia" w:ascii="宋体" w:hAnsi="宋体" w:cs="宋体"/>
          <w:kern w:val="0"/>
          <w:lang w:val="zh-CN"/>
        </w:rPr>
        <w:t>月</w:t>
      </w:r>
      <w:r>
        <w:rPr>
          <w:rFonts w:eastAsia="Times New Roman"/>
          <w:kern w:val="0"/>
          <w:lang w:val="zh-CN"/>
        </w:rPr>
        <w:t>30</w:t>
      </w:r>
      <w:r>
        <w:rPr>
          <w:rFonts w:hint="eastAsia" w:ascii="宋体" w:hAnsi="宋体" w:cs="宋体"/>
          <w:kern w:val="0"/>
          <w:lang w:val="zh-CN"/>
        </w:rPr>
        <w:t>日前收回。未能收回的，由姚丹华在</w:t>
      </w:r>
      <w:r>
        <w:rPr>
          <w:rFonts w:eastAsia="Times New Roman"/>
          <w:kern w:val="0"/>
          <w:lang w:val="zh-CN"/>
        </w:rPr>
        <w:t>2021</w:t>
      </w:r>
      <w:r>
        <w:rPr>
          <w:rFonts w:hint="eastAsia" w:ascii="宋体" w:hAnsi="宋体" w:cs="宋体"/>
          <w:kern w:val="0"/>
          <w:lang w:val="zh-CN"/>
        </w:rPr>
        <w:t>年</w:t>
      </w:r>
      <w:r>
        <w:rPr>
          <w:rFonts w:eastAsia="Times New Roman"/>
          <w:kern w:val="0"/>
          <w:lang w:val="zh-CN"/>
        </w:rPr>
        <w:t>7</w:t>
      </w:r>
      <w:r>
        <w:rPr>
          <w:rFonts w:hint="eastAsia" w:ascii="宋体" w:hAnsi="宋体" w:cs="宋体"/>
          <w:kern w:val="0"/>
          <w:lang w:val="zh-CN"/>
        </w:rPr>
        <w:t>月</w:t>
      </w:r>
      <w:r>
        <w:rPr>
          <w:rFonts w:eastAsia="Times New Roman"/>
          <w:kern w:val="0"/>
          <w:lang w:val="zh-CN"/>
        </w:rPr>
        <w:t>15</w:t>
      </w:r>
      <w:r>
        <w:rPr>
          <w:rFonts w:hint="eastAsia" w:ascii="宋体" w:hAnsi="宋体" w:cs="宋体"/>
          <w:kern w:val="0"/>
          <w:lang w:val="zh-CN"/>
        </w:rPr>
        <w:t>日前补给杭州倚天，后续如能收回，由杭州倚天收款后</w:t>
      </w:r>
      <w:r>
        <w:rPr>
          <w:rFonts w:eastAsia="Times New Roman"/>
          <w:kern w:val="0"/>
          <w:lang w:val="zh-CN"/>
        </w:rPr>
        <w:t>15</w:t>
      </w:r>
      <w:r>
        <w:rPr>
          <w:rFonts w:hint="eastAsia" w:ascii="宋体" w:hAnsi="宋体" w:cs="宋体"/>
          <w:kern w:val="0"/>
          <w:lang w:val="zh-CN"/>
        </w:rPr>
        <w:t>日内返还给姚丹华。</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6</w:t>
      </w:r>
      <w:r>
        <w:rPr>
          <w:rFonts w:hint="eastAsia" w:ascii="宋体" w:hAnsi="宋体" w:cs="宋体"/>
          <w:kern w:val="0"/>
          <w:lang w:val="zh-CN"/>
        </w:rPr>
        <w:t>、杭州倚天部分的固定资产</w:t>
      </w:r>
      <w:r>
        <w:rPr>
          <w:rFonts w:eastAsia="Times New Roman"/>
          <w:kern w:val="0"/>
          <w:lang w:val="zh-CN"/>
        </w:rPr>
        <w:t>9,033,092.31</w:t>
      </w:r>
      <w:r>
        <w:rPr>
          <w:rFonts w:hint="eastAsia" w:ascii="宋体" w:hAnsi="宋体" w:cs="宋体"/>
          <w:kern w:val="0"/>
          <w:lang w:val="zh-CN"/>
        </w:rPr>
        <w:t>元，由姚丹华负责在</w:t>
      </w:r>
      <w:r>
        <w:rPr>
          <w:rFonts w:eastAsia="Times New Roman"/>
          <w:kern w:val="0"/>
          <w:lang w:val="zh-CN"/>
        </w:rPr>
        <w:t>2021</w:t>
      </w:r>
      <w:r>
        <w:rPr>
          <w:rFonts w:hint="eastAsia" w:ascii="宋体" w:hAnsi="宋体" w:cs="宋体"/>
          <w:kern w:val="0"/>
          <w:lang w:val="zh-CN"/>
        </w:rPr>
        <w:t>年</w:t>
      </w:r>
      <w:r>
        <w:rPr>
          <w:rFonts w:eastAsia="Times New Roman"/>
          <w:kern w:val="0"/>
          <w:lang w:val="zh-CN"/>
        </w:rPr>
        <w:t>6</w:t>
      </w:r>
      <w:r>
        <w:rPr>
          <w:rFonts w:hint="eastAsia" w:ascii="宋体" w:hAnsi="宋体" w:cs="宋体"/>
          <w:kern w:val="0"/>
          <w:lang w:val="zh-CN"/>
        </w:rPr>
        <w:t>月</w:t>
      </w:r>
      <w:r>
        <w:rPr>
          <w:rFonts w:eastAsia="Times New Roman"/>
          <w:kern w:val="0"/>
          <w:lang w:val="zh-CN"/>
        </w:rPr>
        <w:t>30</w:t>
      </w:r>
      <w:r>
        <w:rPr>
          <w:rFonts w:hint="eastAsia" w:ascii="宋体" w:hAnsi="宋体" w:cs="宋体"/>
          <w:kern w:val="0"/>
          <w:lang w:val="zh-CN"/>
        </w:rPr>
        <w:t>日前按不低于账面值的价格全部对外转让变现，未能转让变现的固定资产按账面值由姚丹华收购，姚丹华应在</w:t>
      </w:r>
      <w:r>
        <w:rPr>
          <w:rFonts w:eastAsia="Times New Roman"/>
          <w:kern w:val="0"/>
          <w:lang w:val="zh-CN"/>
        </w:rPr>
        <w:t>2021</w:t>
      </w:r>
      <w:r>
        <w:rPr>
          <w:rFonts w:hint="eastAsia" w:ascii="宋体" w:hAnsi="宋体" w:cs="宋体"/>
          <w:kern w:val="0"/>
          <w:lang w:val="zh-CN"/>
        </w:rPr>
        <w:t>年</w:t>
      </w:r>
      <w:r>
        <w:rPr>
          <w:rFonts w:eastAsia="Times New Roman"/>
          <w:kern w:val="0"/>
          <w:lang w:val="zh-CN"/>
        </w:rPr>
        <w:t>7</w:t>
      </w:r>
      <w:r>
        <w:rPr>
          <w:rFonts w:hint="eastAsia" w:ascii="宋体" w:hAnsi="宋体" w:cs="宋体"/>
          <w:kern w:val="0"/>
          <w:lang w:val="zh-CN"/>
        </w:rPr>
        <w:t>月</w:t>
      </w:r>
      <w:r>
        <w:rPr>
          <w:rFonts w:eastAsia="Times New Roman"/>
          <w:kern w:val="0"/>
          <w:lang w:val="zh-CN"/>
        </w:rPr>
        <w:t>15</w:t>
      </w:r>
      <w:r>
        <w:rPr>
          <w:rFonts w:hint="eastAsia" w:ascii="宋体" w:hAnsi="宋体" w:cs="宋体"/>
          <w:kern w:val="0"/>
          <w:lang w:val="zh-CN"/>
        </w:rPr>
        <w:t>日前将收购款足额支付给杭州倚天。</w:t>
      </w:r>
    </w:p>
    <w:p>
      <w:pPr>
        <w:autoSpaceDE w:val="0"/>
        <w:autoSpaceDN w:val="0"/>
        <w:adjustRightInd w:val="0"/>
        <w:spacing w:before="0" w:after="0"/>
        <w:ind w:firstLine="360" w:firstLineChars="200"/>
        <w:rPr>
          <w:rFonts w:ascii="宋体" w:hAnsi="宋体" w:cs="宋体"/>
          <w:kern w:val="0"/>
          <w:lang w:val="zh-CN"/>
        </w:rPr>
      </w:pPr>
      <w:r>
        <w:rPr>
          <w:rFonts w:eastAsia="Times New Roman"/>
          <w:kern w:val="0"/>
          <w:lang w:val="zh-CN"/>
        </w:rPr>
        <w:t>7</w:t>
      </w:r>
      <w:r>
        <w:rPr>
          <w:rFonts w:hint="eastAsia" w:ascii="宋体" w:hAnsi="宋体" w:cs="宋体"/>
          <w:kern w:val="0"/>
          <w:lang w:val="zh-CN"/>
        </w:rPr>
        <w:t>、姚丹华保证杭州倚天</w:t>
      </w:r>
      <w:r>
        <w:rPr>
          <w:rFonts w:eastAsia="Times New Roman"/>
          <w:kern w:val="0"/>
          <w:lang w:val="zh-CN"/>
        </w:rPr>
        <w:t>2020</w:t>
      </w:r>
      <w:r>
        <w:rPr>
          <w:rFonts w:hint="eastAsia" w:ascii="宋体" w:hAnsi="宋体" w:cs="宋体"/>
          <w:kern w:val="0"/>
          <w:lang w:val="zh-CN"/>
        </w:rPr>
        <w:t>年</w:t>
      </w:r>
      <w:r>
        <w:rPr>
          <w:rFonts w:eastAsia="Times New Roman"/>
          <w:kern w:val="0"/>
          <w:lang w:val="zh-CN"/>
        </w:rPr>
        <w:t>1</w:t>
      </w:r>
      <w:r>
        <w:rPr>
          <w:rFonts w:hint="eastAsia" w:ascii="宋体" w:hAnsi="宋体" w:cs="宋体"/>
          <w:kern w:val="0"/>
          <w:lang w:val="zh-CN"/>
        </w:rPr>
        <w:t>月</w:t>
      </w:r>
      <w:r>
        <w:rPr>
          <w:rFonts w:eastAsia="Times New Roman"/>
          <w:kern w:val="0"/>
          <w:lang w:val="zh-CN"/>
        </w:rPr>
        <w:t>1</w:t>
      </w:r>
      <w:r>
        <w:rPr>
          <w:rFonts w:hint="eastAsia" w:ascii="宋体" w:hAnsi="宋体" w:cs="宋体"/>
          <w:kern w:val="0"/>
          <w:lang w:val="zh-CN"/>
        </w:rPr>
        <w:t>日至</w:t>
      </w:r>
      <w:r>
        <w:rPr>
          <w:rFonts w:eastAsia="Times New Roman"/>
          <w:kern w:val="0"/>
          <w:lang w:val="zh-CN"/>
        </w:rPr>
        <w:t>2021</w:t>
      </w:r>
      <w:r>
        <w:rPr>
          <w:rFonts w:hint="eastAsia" w:ascii="宋体" w:hAnsi="宋体" w:cs="宋体"/>
          <w:kern w:val="0"/>
          <w:lang w:val="zh-CN"/>
        </w:rPr>
        <w:t>年</w:t>
      </w:r>
      <w:r>
        <w:rPr>
          <w:rFonts w:eastAsia="Times New Roman"/>
          <w:kern w:val="0"/>
          <w:lang w:val="zh-CN"/>
        </w:rPr>
        <w:t>6</w:t>
      </w:r>
      <w:r>
        <w:rPr>
          <w:rFonts w:hint="eastAsia" w:ascii="宋体" w:hAnsi="宋体" w:cs="宋体"/>
          <w:kern w:val="0"/>
          <w:lang w:val="zh-CN"/>
        </w:rPr>
        <w:t>月</w:t>
      </w:r>
      <w:r>
        <w:rPr>
          <w:rFonts w:eastAsia="Times New Roman"/>
          <w:kern w:val="0"/>
          <w:lang w:val="zh-CN"/>
        </w:rPr>
        <w:t>30</w:t>
      </w:r>
      <w:r>
        <w:rPr>
          <w:rFonts w:hint="eastAsia" w:ascii="宋体" w:hAnsi="宋体" w:cs="宋体"/>
          <w:kern w:val="0"/>
          <w:lang w:val="zh-CN"/>
        </w:rPr>
        <w:t>日期间合计的净利润为正，杭州倚天的成本费用支出须经美康生物与姚丹华共同确认，如产生亏损（非姚丹华负责的客户产生的亏损由美康生物承担），由姚丹华全额补足给杭州倚天，该补足款项应在美康生物与姚丹华共同聘请的会计师事务所出具杭州倚天审计报告后</w:t>
      </w:r>
      <w:r>
        <w:rPr>
          <w:rFonts w:eastAsia="Times New Roman"/>
          <w:kern w:val="0"/>
          <w:lang w:val="zh-CN"/>
        </w:rPr>
        <w:t>15</w:t>
      </w:r>
      <w:r>
        <w:rPr>
          <w:rFonts w:hint="eastAsia" w:ascii="宋体" w:hAnsi="宋体" w:cs="宋体"/>
          <w:kern w:val="0"/>
          <w:lang w:val="zh-CN"/>
        </w:rPr>
        <w:t>日内支付。</w:t>
      </w:r>
    </w:p>
    <w:p>
      <w:pPr>
        <w:autoSpaceDE w:val="0"/>
        <w:autoSpaceDN w:val="0"/>
        <w:adjustRightInd w:val="0"/>
        <w:spacing w:before="0" w:after="0"/>
        <w:ind w:firstLine="360" w:firstLineChars="200"/>
        <w:rPr>
          <w:rFonts w:ascii="宋体" w:hAnsi="宋体" w:cs="宋体"/>
          <w:kern w:val="0"/>
          <w:lang w:val="zh-CN"/>
        </w:rPr>
      </w:pPr>
      <w:r>
        <w:rPr>
          <w:rFonts w:hint="eastAsia" w:ascii="宋体" w:hAnsi="宋体" w:cs="宋体"/>
          <w:kern w:val="0"/>
          <w:lang w:val="zh-CN"/>
        </w:rPr>
        <w:t>截止至本报告出具日，上述协议约定的事项中，应收账款已收回约1.8亿元，存货、固定资产、押金等变现或收回将随着杭州倚天及其子公司上海曼贝业务的转移后到位。</w:t>
      </w:r>
    </w:p>
    <w:p>
      <w:pPr>
        <w:pStyle w:val="24"/>
        <w:numPr>
          <w:ilvl w:val="0"/>
          <w:numId w:val="20"/>
        </w:numPr>
        <w:autoSpaceDE w:val="0"/>
        <w:autoSpaceDN w:val="0"/>
        <w:adjustRightInd w:val="0"/>
        <w:spacing w:before="0" w:after="0"/>
        <w:ind w:left="0" w:firstLine="200" w:firstLineChars="0"/>
        <w:rPr>
          <w:rFonts w:eastAsia="Times New Roman"/>
          <w:b/>
          <w:kern w:val="0"/>
          <w:lang w:val="zh-CN"/>
        </w:rPr>
      </w:pPr>
      <w:r>
        <w:rPr>
          <w:rFonts w:hint="eastAsia" w:ascii="宋体" w:hAnsi="宋体" w:cs="宋体"/>
          <w:b/>
          <w:kern w:val="0"/>
          <w:lang w:val="zh-CN"/>
        </w:rPr>
        <w:t>、诉讼事项</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1</w:t>
      </w:r>
      <w:r>
        <w:rPr>
          <w:rFonts w:hint="eastAsia" w:ascii="宋体" w:hAnsi="宋体" w:cs="宋体"/>
          <w:kern w:val="0"/>
          <w:lang w:val="zh-CN"/>
        </w:rPr>
        <w:t>、</w:t>
      </w:r>
      <w:r>
        <w:rPr>
          <w:rFonts w:eastAsia="Times New Roman"/>
          <w:kern w:val="0"/>
          <w:lang w:val="zh-CN"/>
        </w:rPr>
        <w:t>2018</w:t>
      </w:r>
      <w:r>
        <w:rPr>
          <w:rFonts w:hint="eastAsia" w:ascii="宋体" w:hAnsi="宋体" w:cs="宋体"/>
          <w:kern w:val="0"/>
          <w:lang w:val="zh-CN"/>
        </w:rPr>
        <w:t>年</w:t>
      </w:r>
      <w:r>
        <w:rPr>
          <w:rFonts w:eastAsia="Times New Roman"/>
          <w:kern w:val="0"/>
          <w:lang w:val="zh-CN"/>
        </w:rPr>
        <w:t>9</w:t>
      </w:r>
      <w:r>
        <w:rPr>
          <w:rFonts w:hint="eastAsia" w:ascii="宋体" w:hAnsi="宋体" w:cs="宋体"/>
          <w:kern w:val="0"/>
          <w:lang w:val="zh-CN"/>
        </w:rPr>
        <w:t>月</w:t>
      </w:r>
      <w:r>
        <w:rPr>
          <w:rFonts w:eastAsia="Times New Roman"/>
          <w:kern w:val="0"/>
          <w:lang w:val="zh-CN"/>
        </w:rPr>
        <w:t>13</w:t>
      </w:r>
      <w:r>
        <w:rPr>
          <w:rFonts w:hint="eastAsia" w:ascii="宋体" w:hAnsi="宋体" w:cs="宋体"/>
          <w:kern w:val="0"/>
          <w:lang w:val="zh-CN"/>
        </w:rPr>
        <w:t>日，公司向中国国际经济贸易仲裁委员会上海分会提出仲裁申请，请求裁决嘉祥共创（厦门）生物科技有限公司向公司支付股权转让款</w:t>
      </w:r>
      <w:r>
        <w:rPr>
          <w:rFonts w:eastAsia="Times New Roman"/>
          <w:kern w:val="0"/>
          <w:lang w:val="zh-CN"/>
        </w:rPr>
        <w:t>3,970</w:t>
      </w:r>
      <w:r>
        <w:rPr>
          <w:rFonts w:hint="eastAsia" w:ascii="宋体" w:hAnsi="宋体" w:cs="宋体"/>
          <w:kern w:val="0"/>
          <w:lang w:val="zh-CN"/>
        </w:rPr>
        <w:t>万元、违约金</w:t>
      </w:r>
      <w:r>
        <w:rPr>
          <w:rFonts w:eastAsia="Times New Roman"/>
          <w:kern w:val="0"/>
          <w:lang w:val="zh-CN"/>
        </w:rPr>
        <w:t>1,000</w:t>
      </w:r>
      <w:r>
        <w:rPr>
          <w:rFonts w:hint="eastAsia" w:ascii="宋体" w:hAnsi="宋体" w:cs="宋体"/>
          <w:kern w:val="0"/>
          <w:lang w:val="zh-CN"/>
        </w:rPr>
        <w:t>万元以及支付至款项付清日止的利息损失并承担该案件的律师费。中国国际经济贸易仲裁委员会上海分会于</w:t>
      </w:r>
      <w:r>
        <w:rPr>
          <w:rFonts w:eastAsia="Times New Roman"/>
          <w:kern w:val="0"/>
          <w:lang w:val="zh-CN"/>
        </w:rPr>
        <w:t>2019</w:t>
      </w:r>
      <w:r>
        <w:rPr>
          <w:rFonts w:hint="eastAsia" w:ascii="宋体" w:hAnsi="宋体" w:cs="宋体"/>
          <w:kern w:val="0"/>
          <w:lang w:val="zh-CN"/>
        </w:rPr>
        <w:t>年</w:t>
      </w:r>
      <w:r>
        <w:rPr>
          <w:rFonts w:eastAsia="Times New Roman"/>
          <w:kern w:val="0"/>
          <w:lang w:val="zh-CN"/>
        </w:rPr>
        <w:t>1</w:t>
      </w:r>
      <w:r>
        <w:rPr>
          <w:rFonts w:hint="eastAsia" w:ascii="宋体" w:hAnsi="宋体" w:cs="宋体"/>
          <w:kern w:val="0"/>
          <w:lang w:val="zh-CN"/>
        </w:rPr>
        <w:t>月</w:t>
      </w:r>
      <w:r>
        <w:rPr>
          <w:rFonts w:eastAsia="Times New Roman"/>
          <w:kern w:val="0"/>
          <w:lang w:val="zh-CN"/>
        </w:rPr>
        <w:t>29</w:t>
      </w:r>
      <w:r>
        <w:rPr>
          <w:rFonts w:hint="eastAsia" w:ascii="宋体" w:hAnsi="宋体" w:cs="宋体"/>
          <w:kern w:val="0"/>
          <w:lang w:val="zh-CN"/>
        </w:rPr>
        <w:t>日出具调解书。根据调解书，嘉祥共创（厦门）生物科技有限公司应支付股权转让款</w:t>
      </w:r>
      <w:r>
        <w:rPr>
          <w:rFonts w:eastAsia="Times New Roman"/>
          <w:kern w:val="0"/>
          <w:lang w:val="zh-CN"/>
        </w:rPr>
        <w:t>3,970</w:t>
      </w:r>
      <w:r>
        <w:rPr>
          <w:rFonts w:hint="eastAsia" w:ascii="宋体" w:hAnsi="宋体" w:cs="宋体"/>
          <w:kern w:val="0"/>
          <w:lang w:val="zh-CN"/>
        </w:rPr>
        <w:t>万元，并支付利息损失、仲裁费和公司律师费，其中</w:t>
      </w:r>
      <w:r>
        <w:rPr>
          <w:rFonts w:eastAsia="Times New Roman"/>
          <w:kern w:val="0"/>
          <w:lang w:val="zh-CN"/>
        </w:rPr>
        <w:t>2019</w:t>
      </w:r>
      <w:r>
        <w:rPr>
          <w:rFonts w:hint="eastAsia" w:ascii="宋体" w:hAnsi="宋体" w:cs="宋体"/>
          <w:kern w:val="0"/>
          <w:lang w:val="zh-CN"/>
        </w:rPr>
        <w:t>年</w:t>
      </w:r>
      <w:r>
        <w:rPr>
          <w:rFonts w:eastAsia="Times New Roman"/>
          <w:kern w:val="0"/>
          <w:lang w:val="zh-CN"/>
        </w:rPr>
        <w:t>1</w:t>
      </w:r>
      <w:r>
        <w:rPr>
          <w:rFonts w:hint="eastAsia" w:ascii="宋体" w:hAnsi="宋体" w:cs="宋体"/>
          <w:kern w:val="0"/>
          <w:lang w:val="zh-CN"/>
        </w:rPr>
        <w:t>月</w:t>
      </w:r>
      <w:r>
        <w:rPr>
          <w:rFonts w:eastAsia="Times New Roman"/>
          <w:kern w:val="0"/>
          <w:lang w:val="zh-CN"/>
        </w:rPr>
        <w:t>7</w:t>
      </w:r>
      <w:r>
        <w:rPr>
          <w:rFonts w:hint="eastAsia" w:ascii="宋体" w:hAnsi="宋体" w:cs="宋体"/>
          <w:kern w:val="0"/>
          <w:lang w:val="zh-CN"/>
        </w:rPr>
        <w:t>日应支付股权转让款</w:t>
      </w:r>
      <w:r>
        <w:rPr>
          <w:rFonts w:eastAsia="Times New Roman"/>
          <w:kern w:val="0"/>
          <w:lang w:val="zh-CN"/>
        </w:rPr>
        <w:t>100</w:t>
      </w:r>
      <w:r>
        <w:rPr>
          <w:rFonts w:hint="eastAsia" w:ascii="宋体" w:hAnsi="宋体" w:cs="宋体"/>
          <w:kern w:val="0"/>
          <w:lang w:val="zh-CN"/>
        </w:rPr>
        <w:t>万元；</w:t>
      </w:r>
      <w:r>
        <w:rPr>
          <w:rFonts w:eastAsia="Times New Roman"/>
          <w:kern w:val="0"/>
          <w:lang w:val="zh-CN"/>
        </w:rPr>
        <w:t>2019</w:t>
      </w:r>
      <w:r>
        <w:rPr>
          <w:rFonts w:hint="eastAsia" w:ascii="宋体" w:hAnsi="宋体" w:cs="宋体"/>
          <w:kern w:val="0"/>
          <w:lang w:val="zh-CN"/>
        </w:rPr>
        <w:t>年</w:t>
      </w:r>
      <w:r>
        <w:rPr>
          <w:rFonts w:eastAsia="Times New Roman"/>
          <w:kern w:val="0"/>
          <w:lang w:val="zh-CN"/>
        </w:rPr>
        <w:t>1</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日应支付股权转让款</w:t>
      </w:r>
      <w:r>
        <w:rPr>
          <w:rFonts w:eastAsia="Times New Roman"/>
          <w:kern w:val="0"/>
          <w:lang w:val="zh-CN"/>
        </w:rPr>
        <w:t>200</w:t>
      </w:r>
      <w:r>
        <w:rPr>
          <w:rFonts w:hint="eastAsia" w:ascii="宋体" w:hAnsi="宋体" w:cs="宋体"/>
          <w:kern w:val="0"/>
          <w:lang w:val="zh-CN"/>
        </w:rPr>
        <w:t>万元；</w:t>
      </w:r>
      <w:r>
        <w:rPr>
          <w:rFonts w:eastAsia="Times New Roman"/>
          <w:kern w:val="0"/>
          <w:lang w:val="zh-CN"/>
        </w:rPr>
        <w:t>2019</w:t>
      </w:r>
      <w:r>
        <w:rPr>
          <w:rFonts w:hint="eastAsia" w:ascii="宋体" w:hAnsi="宋体" w:cs="宋体"/>
          <w:kern w:val="0"/>
          <w:lang w:val="zh-CN"/>
        </w:rPr>
        <w:t>年</w:t>
      </w:r>
      <w:r>
        <w:rPr>
          <w:rFonts w:eastAsia="Times New Roman"/>
          <w:kern w:val="0"/>
          <w:lang w:val="zh-CN"/>
        </w:rPr>
        <w:t>2</w:t>
      </w:r>
      <w:r>
        <w:rPr>
          <w:rFonts w:hint="eastAsia" w:ascii="宋体" w:hAnsi="宋体" w:cs="宋体"/>
          <w:kern w:val="0"/>
          <w:lang w:val="zh-CN"/>
        </w:rPr>
        <w:t>月</w:t>
      </w:r>
      <w:r>
        <w:rPr>
          <w:rFonts w:eastAsia="Times New Roman"/>
          <w:kern w:val="0"/>
          <w:lang w:val="zh-CN"/>
        </w:rPr>
        <w:t>28</w:t>
      </w:r>
      <w:r>
        <w:rPr>
          <w:rFonts w:hint="eastAsia" w:ascii="宋体" w:hAnsi="宋体" w:cs="宋体"/>
          <w:kern w:val="0"/>
          <w:lang w:val="zh-CN"/>
        </w:rPr>
        <w:t>日应支付股权转让款</w:t>
      </w:r>
      <w:r>
        <w:rPr>
          <w:rFonts w:eastAsia="Times New Roman"/>
          <w:kern w:val="0"/>
          <w:lang w:val="zh-CN"/>
        </w:rPr>
        <w:t>200</w:t>
      </w:r>
      <w:r>
        <w:rPr>
          <w:rFonts w:hint="eastAsia" w:ascii="宋体" w:hAnsi="宋体" w:cs="宋体"/>
          <w:kern w:val="0"/>
          <w:lang w:val="zh-CN"/>
        </w:rPr>
        <w:t>万元；</w:t>
      </w:r>
      <w:r>
        <w:rPr>
          <w:rFonts w:eastAsia="Times New Roman"/>
          <w:kern w:val="0"/>
          <w:lang w:val="zh-CN"/>
        </w:rPr>
        <w:t>2019</w:t>
      </w:r>
      <w:r>
        <w:rPr>
          <w:rFonts w:hint="eastAsia" w:ascii="宋体" w:hAnsi="宋体" w:cs="宋体"/>
          <w:kern w:val="0"/>
          <w:lang w:val="zh-CN"/>
        </w:rPr>
        <w:t>年</w:t>
      </w:r>
      <w:r>
        <w:rPr>
          <w:rFonts w:eastAsia="Times New Roman"/>
          <w:kern w:val="0"/>
          <w:lang w:val="zh-CN"/>
        </w:rPr>
        <w:t>5</w:t>
      </w:r>
      <w:r>
        <w:rPr>
          <w:rFonts w:hint="eastAsia" w:ascii="宋体" w:hAnsi="宋体" w:cs="宋体"/>
          <w:kern w:val="0"/>
          <w:lang w:val="zh-CN"/>
        </w:rPr>
        <w:t>月</w:t>
      </w:r>
      <w:r>
        <w:rPr>
          <w:rFonts w:eastAsia="Times New Roman"/>
          <w:kern w:val="0"/>
          <w:lang w:val="zh-CN"/>
        </w:rPr>
        <w:t>31</w:t>
      </w:r>
      <w:r>
        <w:rPr>
          <w:rFonts w:hint="eastAsia" w:ascii="宋体" w:hAnsi="宋体" w:cs="宋体"/>
          <w:kern w:val="0"/>
          <w:lang w:val="zh-CN"/>
        </w:rPr>
        <w:t>日前付清全部剩余款项。截至</w:t>
      </w:r>
      <w:r>
        <w:rPr>
          <w:rFonts w:eastAsia="Times New Roman"/>
          <w:kern w:val="0"/>
          <w:lang w:val="zh-CN"/>
        </w:rPr>
        <w:t>2020</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27</w:t>
      </w:r>
      <w:r>
        <w:rPr>
          <w:rFonts w:hint="eastAsia" w:ascii="宋体" w:hAnsi="宋体" w:cs="宋体"/>
          <w:kern w:val="0"/>
          <w:lang w:val="zh-CN"/>
        </w:rPr>
        <w:t>日，公司已累计收到股权转让款</w:t>
      </w:r>
      <w:r>
        <w:rPr>
          <w:rFonts w:eastAsia="Times New Roman"/>
          <w:kern w:val="0"/>
          <w:lang w:val="zh-CN"/>
        </w:rPr>
        <w:t>100</w:t>
      </w:r>
      <w:r>
        <w:rPr>
          <w:rFonts w:hint="eastAsia" w:ascii="宋体" w:hAnsi="宋体" w:cs="宋体"/>
          <w:kern w:val="0"/>
          <w:lang w:val="zh-CN"/>
        </w:rPr>
        <w:t>万元，仍有</w:t>
      </w:r>
      <w:r>
        <w:rPr>
          <w:rFonts w:eastAsia="Times New Roman"/>
          <w:kern w:val="0"/>
          <w:lang w:val="zh-CN"/>
        </w:rPr>
        <w:t>3,870</w:t>
      </w:r>
      <w:r>
        <w:rPr>
          <w:rFonts w:hint="eastAsia" w:ascii="宋体" w:hAnsi="宋体" w:cs="宋体"/>
          <w:kern w:val="0"/>
          <w:lang w:val="zh-CN"/>
        </w:rPr>
        <w:t>万元尚未收到，对方未完全履行调解协议。公司已于</w:t>
      </w:r>
      <w:r>
        <w:rPr>
          <w:rFonts w:eastAsia="Times New Roman"/>
          <w:kern w:val="0"/>
          <w:lang w:val="zh-CN"/>
        </w:rPr>
        <w:t>2019</w:t>
      </w:r>
      <w:r>
        <w:rPr>
          <w:rFonts w:hint="eastAsia" w:ascii="宋体" w:hAnsi="宋体" w:cs="宋体"/>
          <w:kern w:val="0"/>
          <w:lang w:val="zh-CN"/>
        </w:rPr>
        <w:t>年</w:t>
      </w:r>
      <w:r>
        <w:rPr>
          <w:rFonts w:eastAsia="Times New Roman"/>
          <w:kern w:val="0"/>
          <w:lang w:val="zh-CN"/>
        </w:rPr>
        <w:t xml:space="preserve"> 6</w:t>
      </w:r>
      <w:r>
        <w:rPr>
          <w:rFonts w:hint="eastAsia" w:ascii="宋体" w:hAnsi="宋体" w:cs="宋体"/>
          <w:kern w:val="0"/>
          <w:lang w:val="zh-CN"/>
        </w:rPr>
        <w:t>月</w:t>
      </w:r>
      <w:r>
        <w:rPr>
          <w:rFonts w:eastAsia="Times New Roman"/>
          <w:kern w:val="0"/>
          <w:lang w:val="zh-CN"/>
        </w:rPr>
        <w:t>26</w:t>
      </w:r>
      <w:r>
        <w:rPr>
          <w:rFonts w:hint="eastAsia" w:ascii="宋体" w:hAnsi="宋体" w:cs="宋体"/>
          <w:kern w:val="0"/>
          <w:lang w:val="zh-CN"/>
        </w:rPr>
        <w:t>日就上述股权转让合同纠纷事项向厦门中院申请强制执行，厦门中院已出具《执行裁定书》</w:t>
      </w:r>
      <w:r>
        <w:rPr>
          <w:rFonts w:eastAsia="Times New Roman"/>
          <w:kern w:val="0"/>
          <w:lang w:val="zh-CN"/>
        </w:rPr>
        <w:t xml:space="preserve"> </w:t>
      </w:r>
      <w:r>
        <w:rPr>
          <w:rFonts w:hint="eastAsia" w:ascii="宋体" w:hAnsi="宋体" w:cs="宋体"/>
          <w:kern w:val="0"/>
          <w:lang w:val="zh-CN"/>
        </w:rPr>
        <w:t>并查封了被执行人的可执行财产，相关程序仍在履行中。</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2</w:t>
      </w:r>
      <w:r>
        <w:rPr>
          <w:rFonts w:hint="eastAsia" w:ascii="宋体" w:hAnsi="宋体" w:cs="宋体"/>
          <w:kern w:val="0"/>
          <w:lang w:val="zh-CN"/>
        </w:rPr>
        <w:t>、</w:t>
      </w:r>
      <w:r>
        <w:rPr>
          <w:rFonts w:eastAsia="Times New Roman"/>
          <w:kern w:val="0"/>
          <w:lang w:val="zh-CN"/>
        </w:rPr>
        <w:t>2019</w:t>
      </w:r>
      <w:r>
        <w:rPr>
          <w:rFonts w:hint="eastAsia" w:ascii="宋体" w:hAnsi="宋体" w:cs="宋体"/>
          <w:kern w:val="0"/>
          <w:lang w:val="zh-CN"/>
        </w:rPr>
        <w:t>年</w:t>
      </w:r>
      <w:r>
        <w:rPr>
          <w:rFonts w:eastAsia="Times New Roman"/>
          <w:kern w:val="0"/>
          <w:lang w:val="zh-CN"/>
        </w:rPr>
        <w:t>10</w:t>
      </w:r>
      <w:r>
        <w:rPr>
          <w:rFonts w:hint="eastAsia" w:ascii="宋体" w:hAnsi="宋体" w:cs="宋体"/>
          <w:kern w:val="0"/>
          <w:lang w:val="zh-CN"/>
        </w:rPr>
        <w:t>月，公司和子公司武汉美康向宁波鄞州区法院提交民事诉状，起诉武汉安合瑞科技有限公司、徐联英和邱重任，要求武汉安合瑞科技有限公司支付结算欠款</w:t>
      </w:r>
      <w:r>
        <w:rPr>
          <w:rFonts w:eastAsia="Times New Roman"/>
          <w:kern w:val="0"/>
          <w:lang w:val="zh-CN"/>
        </w:rPr>
        <w:t>25,839,925.08</w:t>
      </w:r>
      <w:r>
        <w:rPr>
          <w:rFonts w:hint="eastAsia" w:ascii="宋体" w:hAnsi="宋体" w:cs="宋体"/>
          <w:kern w:val="0"/>
          <w:lang w:val="zh-CN"/>
        </w:rPr>
        <w:t>元及相关滞纳金，徐联英和邱重任承担连带责任，要求邱重任支付违约金</w:t>
      </w:r>
      <w:r>
        <w:rPr>
          <w:rFonts w:eastAsia="Times New Roman"/>
          <w:kern w:val="0"/>
          <w:lang w:val="zh-CN"/>
        </w:rPr>
        <w:t>250</w:t>
      </w:r>
      <w:r>
        <w:rPr>
          <w:rFonts w:hint="eastAsia" w:ascii="宋体" w:hAnsi="宋体" w:cs="宋体"/>
          <w:kern w:val="0"/>
          <w:lang w:val="zh-CN"/>
        </w:rPr>
        <w:t>万元。宁波鄞州区法院已于</w:t>
      </w:r>
      <w:r>
        <w:rPr>
          <w:rFonts w:eastAsia="Times New Roman"/>
          <w:kern w:val="0"/>
          <w:lang w:val="zh-CN"/>
        </w:rPr>
        <w:t>2019</w:t>
      </w:r>
      <w:r>
        <w:rPr>
          <w:rFonts w:hint="eastAsia" w:ascii="宋体" w:hAnsi="宋体" w:cs="宋体"/>
          <w:kern w:val="0"/>
          <w:lang w:val="zh-CN"/>
        </w:rPr>
        <w:t>年</w:t>
      </w:r>
      <w:r>
        <w:rPr>
          <w:rFonts w:eastAsia="Times New Roman"/>
          <w:kern w:val="0"/>
          <w:lang w:val="zh-CN"/>
        </w:rPr>
        <w:t>10</w:t>
      </w:r>
      <w:r>
        <w:rPr>
          <w:rFonts w:hint="eastAsia" w:ascii="宋体" w:hAnsi="宋体" w:cs="宋体"/>
          <w:kern w:val="0"/>
          <w:lang w:val="zh-CN"/>
        </w:rPr>
        <w:t>月</w:t>
      </w:r>
      <w:r>
        <w:rPr>
          <w:rFonts w:eastAsia="Times New Roman"/>
          <w:kern w:val="0"/>
          <w:lang w:val="zh-CN"/>
        </w:rPr>
        <w:t>14</w:t>
      </w:r>
      <w:r>
        <w:rPr>
          <w:rFonts w:hint="eastAsia" w:ascii="宋体" w:hAnsi="宋体" w:cs="宋体"/>
          <w:kern w:val="0"/>
          <w:lang w:val="zh-CN"/>
        </w:rPr>
        <w:t>日受理。截至</w:t>
      </w:r>
      <w:r>
        <w:rPr>
          <w:rFonts w:eastAsia="Times New Roman"/>
          <w:kern w:val="0"/>
          <w:lang w:val="zh-CN"/>
        </w:rPr>
        <w:t>2020</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27</w:t>
      </w:r>
      <w:r>
        <w:rPr>
          <w:rFonts w:hint="eastAsia" w:ascii="宋体" w:hAnsi="宋体" w:cs="宋体"/>
          <w:kern w:val="0"/>
          <w:lang w:val="zh-CN"/>
        </w:rPr>
        <w:t>日，尚未开庭审理。</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3</w:t>
      </w:r>
      <w:r>
        <w:rPr>
          <w:rFonts w:hint="eastAsia" w:ascii="宋体" w:hAnsi="宋体" w:cs="宋体"/>
          <w:kern w:val="0"/>
          <w:lang w:val="zh-CN"/>
        </w:rPr>
        <w:t>、</w:t>
      </w:r>
      <w:r>
        <w:rPr>
          <w:rFonts w:eastAsia="Times New Roman"/>
          <w:kern w:val="0"/>
          <w:lang w:val="zh-CN"/>
        </w:rPr>
        <w:t>2019</w:t>
      </w:r>
      <w:r>
        <w:rPr>
          <w:rFonts w:hint="eastAsia" w:ascii="宋体" w:hAnsi="宋体" w:cs="宋体"/>
          <w:kern w:val="0"/>
          <w:lang w:val="zh-CN"/>
        </w:rPr>
        <w:t>年</w:t>
      </w:r>
      <w:r>
        <w:rPr>
          <w:rFonts w:eastAsia="Times New Roman"/>
          <w:kern w:val="0"/>
          <w:lang w:val="zh-CN"/>
        </w:rPr>
        <w:t>10</w:t>
      </w:r>
      <w:r>
        <w:rPr>
          <w:rFonts w:hint="eastAsia" w:ascii="宋体" w:hAnsi="宋体" w:cs="宋体"/>
          <w:kern w:val="0"/>
          <w:lang w:val="zh-CN"/>
        </w:rPr>
        <w:t>月，公司和子公司武汉美康向宁波鄞州区法院提交民事诉状，起诉武汉市和美科技发展有限公司、徐联英和邱重任，要求武汉市和美科技发展有限公司支付结算欠款</w:t>
      </w:r>
      <w:r>
        <w:rPr>
          <w:rFonts w:eastAsia="Times New Roman"/>
          <w:kern w:val="0"/>
          <w:lang w:val="zh-CN"/>
        </w:rPr>
        <w:t>14,289,756.28</w:t>
      </w:r>
      <w:r>
        <w:rPr>
          <w:rFonts w:hint="eastAsia" w:ascii="宋体" w:hAnsi="宋体" w:cs="宋体"/>
          <w:kern w:val="0"/>
          <w:lang w:val="zh-CN"/>
        </w:rPr>
        <w:t>元及相关滞纳金，徐联英和邱重任承担连带责任，要求邱重任支付违约金</w:t>
      </w:r>
      <w:r>
        <w:rPr>
          <w:rFonts w:eastAsia="Times New Roman"/>
          <w:kern w:val="0"/>
          <w:lang w:val="zh-CN"/>
        </w:rPr>
        <w:t>250</w:t>
      </w:r>
      <w:r>
        <w:rPr>
          <w:rFonts w:hint="eastAsia" w:ascii="宋体" w:hAnsi="宋体" w:cs="宋体"/>
          <w:kern w:val="0"/>
          <w:lang w:val="zh-CN"/>
        </w:rPr>
        <w:t>万元。宁波鄞州区法院已于</w:t>
      </w:r>
      <w:r>
        <w:rPr>
          <w:rFonts w:eastAsia="Times New Roman"/>
          <w:kern w:val="0"/>
          <w:lang w:val="zh-CN"/>
        </w:rPr>
        <w:t>2019</w:t>
      </w:r>
      <w:r>
        <w:rPr>
          <w:rFonts w:hint="eastAsia" w:ascii="宋体" w:hAnsi="宋体" w:cs="宋体"/>
          <w:kern w:val="0"/>
          <w:lang w:val="zh-CN"/>
        </w:rPr>
        <w:t>年</w:t>
      </w:r>
      <w:r>
        <w:rPr>
          <w:rFonts w:eastAsia="Times New Roman"/>
          <w:kern w:val="0"/>
          <w:lang w:val="zh-CN"/>
        </w:rPr>
        <w:t>10</w:t>
      </w:r>
      <w:r>
        <w:rPr>
          <w:rFonts w:hint="eastAsia" w:ascii="宋体" w:hAnsi="宋体" w:cs="宋体"/>
          <w:kern w:val="0"/>
          <w:lang w:val="zh-CN"/>
        </w:rPr>
        <w:t>月</w:t>
      </w:r>
      <w:r>
        <w:rPr>
          <w:rFonts w:eastAsia="Times New Roman"/>
          <w:kern w:val="0"/>
          <w:lang w:val="zh-CN"/>
        </w:rPr>
        <w:t>14</w:t>
      </w:r>
      <w:r>
        <w:rPr>
          <w:rFonts w:hint="eastAsia" w:ascii="宋体" w:hAnsi="宋体" w:cs="宋体"/>
          <w:kern w:val="0"/>
          <w:lang w:val="zh-CN"/>
        </w:rPr>
        <w:t>日受理。截至</w:t>
      </w:r>
      <w:r>
        <w:rPr>
          <w:rFonts w:eastAsia="Times New Roman"/>
          <w:kern w:val="0"/>
          <w:lang w:val="zh-CN"/>
        </w:rPr>
        <w:t>2020</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27</w:t>
      </w:r>
      <w:r>
        <w:rPr>
          <w:rFonts w:hint="eastAsia" w:ascii="宋体" w:hAnsi="宋体" w:cs="宋体"/>
          <w:kern w:val="0"/>
          <w:lang w:val="zh-CN"/>
        </w:rPr>
        <w:t>日，尚未开庭审理。</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4</w:t>
      </w:r>
      <w:r>
        <w:rPr>
          <w:rFonts w:hint="eastAsia" w:ascii="宋体" w:hAnsi="宋体" w:cs="宋体"/>
          <w:kern w:val="0"/>
          <w:lang w:val="zh-CN"/>
        </w:rPr>
        <w:t>、</w:t>
      </w:r>
      <w:r>
        <w:rPr>
          <w:rFonts w:eastAsia="Times New Roman"/>
          <w:kern w:val="0"/>
          <w:lang w:val="zh-CN"/>
        </w:rPr>
        <w:t>2019</w:t>
      </w:r>
      <w:r>
        <w:rPr>
          <w:rFonts w:hint="eastAsia" w:ascii="宋体" w:hAnsi="宋体" w:cs="宋体"/>
          <w:kern w:val="0"/>
          <w:lang w:val="zh-CN"/>
        </w:rPr>
        <w:t>年</w:t>
      </w:r>
      <w:r>
        <w:rPr>
          <w:rFonts w:eastAsia="Times New Roman"/>
          <w:kern w:val="0"/>
          <w:lang w:val="zh-CN"/>
        </w:rPr>
        <w:t>11</w:t>
      </w:r>
      <w:r>
        <w:rPr>
          <w:rFonts w:hint="eastAsia" w:ascii="宋体" w:hAnsi="宋体" w:cs="宋体"/>
          <w:kern w:val="0"/>
          <w:lang w:val="zh-CN"/>
        </w:rPr>
        <w:t>月，子公司盛德医检所向宁波鄞州区法院提交民事诉状，起诉江西中寰医院，要求支付技术服务费收入</w:t>
      </w:r>
      <w:r>
        <w:rPr>
          <w:rFonts w:eastAsia="Times New Roman"/>
          <w:kern w:val="0"/>
          <w:lang w:val="zh-CN"/>
        </w:rPr>
        <w:t>4,440,087.35</w:t>
      </w:r>
      <w:r>
        <w:rPr>
          <w:rFonts w:hint="eastAsia" w:ascii="宋体" w:hAnsi="宋体" w:cs="宋体"/>
          <w:kern w:val="0"/>
          <w:lang w:val="zh-CN"/>
        </w:rPr>
        <w:t>元及相关滞纳金。宁波鄞州区法院已于</w:t>
      </w:r>
      <w:r>
        <w:rPr>
          <w:rFonts w:eastAsia="Times New Roman"/>
          <w:kern w:val="0"/>
          <w:lang w:val="zh-CN"/>
        </w:rPr>
        <w:t>2019</w:t>
      </w:r>
      <w:r>
        <w:rPr>
          <w:rFonts w:hint="eastAsia" w:ascii="宋体" w:hAnsi="宋体" w:cs="宋体"/>
          <w:kern w:val="0"/>
          <w:lang w:val="zh-CN"/>
        </w:rPr>
        <w:t>年</w:t>
      </w:r>
      <w:r>
        <w:rPr>
          <w:rFonts w:eastAsia="Times New Roman"/>
          <w:kern w:val="0"/>
          <w:lang w:val="zh-CN"/>
        </w:rPr>
        <w:t>11</w:t>
      </w:r>
      <w:r>
        <w:rPr>
          <w:rFonts w:hint="eastAsia" w:ascii="宋体" w:hAnsi="宋体" w:cs="宋体"/>
          <w:kern w:val="0"/>
          <w:lang w:val="zh-CN"/>
        </w:rPr>
        <w:t>月</w:t>
      </w:r>
      <w:r>
        <w:rPr>
          <w:rFonts w:eastAsia="Times New Roman"/>
          <w:kern w:val="0"/>
          <w:lang w:val="zh-CN"/>
        </w:rPr>
        <w:t>20</w:t>
      </w:r>
      <w:r>
        <w:rPr>
          <w:rFonts w:hint="eastAsia" w:ascii="宋体" w:hAnsi="宋体" w:cs="宋体"/>
          <w:kern w:val="0"/>
          <w:lang w:val="zh-CN"/>
        </w:rPr>
        <w:t>日受理。截至</w:t>
      </w:r>
      <w:r>
        <w:rPr>
          <w:rFonts w:eastAsia="Times New Roman"/>
          <w:kern w:val="0"/>
          <w:lang w:val="zh-CN"/>
        </w:rPr>
        <w:t>2020</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27</w:t>
      </w:r>
      <w:r>
        <w:rPr>
          <w:rFonts w:hint="eastAsia" w:ascii="宋体" w:hAnsi="宋体" w:cs="宋体"/>
          <w:kern w:val="0"/>
          <w:lang w:val="zh-CN"/>
        </w:rPr>
        <w:t>日，尚未开庭审理。</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5</w:t>
      </w:r>
      <w:r>
        <w:rPr>
          <w:rFonts w:hint="eastAsia" w:ascii="宋体" w:hAnsi="宋体" w:cs="宋体"/>
          <w:kern w:val="0"/>
          <w:lang w:val="zh-CN"/>
        </w:rPr>
        <w:t>、</w:t>
      </w:r>
      <w:r>
        <w:rPr>
          <w:rFonts w:eastAsia="Times New Roman"/>
          <w:kern w:val="0"/>
          <w:lang w:val="zh-CN"/>
        </w:rPr>
        <w:t>2019</w:t>
      </w:r>
      <w:r>
        <w:rPr>
          <w:rFonts w:hint="eastAsia" w:ascii="宋体" w:hAnsi="宋体" w:cs="宋体"/>
          <w:kern w:val="0"/>
          <w:lang w:val="zh-CN"/>
        </w:rPr>
        <w:t>年</w:t>
      </w:r>
      <w:r>
        <w:rPr>
          <w:rFonts w:eastAsia="Times New Roman"/>
          <w:kern w:val="0"/>
          <w:lang w:val="zh-CN"/>
        </w:rPr>
        <w:t>11</w:t>
      </w:r>
      <w:r>
        <w:rPr>
          <w:rFonts w:hint="eastAsia" w:ascii="宋体" w:hAnsi="宋体" w:cs="宋体"/>
          <w:kern w:val="0"/>
          <w:lang w:val="zh-CN"/>
        </w:rPr>
        <w:t>月，公司向宁波鄞州区法院提交民事诉状，起诉上海瀚联医疗技术股份有限公司，要求支付合同款</w:t>
      </w:r>
      <w:r>
        <w:rPr>
          <w:rFonts w:eastAsia="Times New Roman"/>
          <w:kern w:val="0"/>
          <w:lang w:val="zh-CN"/>
        </w:rPr>
        <w:t>2,454,830.00</w:t>
      </w:r>
      <w:r>
        <w:rPr>
          <w:rFonts w:hint="eastAsia" w:ascii="宋体" w:hAnsi="宋体" w:cs="宋体"/>
          <w:kern w:val="0"/>
          <w:lang w:val="zh-CN"/>
        </w:rPr>
        <w:t>元及相关滞纳金。宁波鄞州区法院已于</w:t>
      </w:r>
      <w:r>
        <w:rPr>
          <w:rFonts w:eastAsia="Times New Roman"/>
          <w:kern w:val="0"/>
          <w:lang w:val="zh-CN"/>
        </w:rPr>
        <w:t>2019</w:t>
      </w:r>
      <w:r>
        <w:rPr>
          <w:rFonts w:hint="eastAsia" w:ascii="宋体" w:hAnsi="宋体" w:cs="宋体"/>
          <w:kern w:val="0"/>
          <w:lang w:val="zh-CN"/>
        </w:rPr>
        <w:t>年</w:t>
      </w:r>
      <w:r>
        <w:rPr>
          <w:rFonts w:eastAsia="Times New Roman"/>
          <w:kern w:val="0"/>
          <w:lang w:val="zh-CN"/>
        </w:rPr>
        <w:t>11</w:t>
      </w:r>
      <w:r>
        <w:rPr>
          <w:rFonts w:hint="eastAsia" w:ascii="宋体" w:hAnsi="宋体" w:cs="宋体"/>
          <w:kern w:val="0"/>
          <w:lang w:val="zh-CN"/>
        </w:rPr>
        <w:t>月</w:t>
      </w:r>
      <w:r>
        <w:rPr>
          <w:rFonts w:eastAsia="Times New Roman"/>
          <w:kern w:val="0"/>
          <w:lang w:val="zh-CN"/>
        </w:rPr>
        <w:t>6</w:t>
      </w:r>
      <w:r>
        <w:rPr>
          <w:rFonts w:hint="eastAsia" w:ascii="宋体" w:hAnsi="宋体" w:cs="宋体"/>
          <w:kern w:val="0"/>
          <w:lang w:val="zh-CN"/>
        </w:rPr>
        <w:t>日受理。截至</w:t>
      </w:r>
      <w:r>
        <w:rPr>
          <w:rFonts w:eastAsia="Times New Roman"/>
          <w:kern w:val="0"/>
          <w:lang w:val="zh-CN"/>
        </w:rPr>
        <w:t>2020</w:t>
      </w:r>
      <w:r>
        <w:rPr>
          <w:rFonts w:hint="eastAsia" w:ascii="宋体" w:hAnsi="宋体" w:cs="宋体"/>
          <w:kern w:val="0"/>
          <w:lang w:val="zh-CN"/>
        </w:rPr>
        <w:t>年</w:t>
      </w:r>
      <w:r>
        <w:rPr>
          <w:rFonts w:eastAsia="Times New Roman"/>
          <w:kern w:val="0"/>
          <w:lang w:val="zh-CN"/>
        </w:rPr>
        <w:t>4</w:t>
      </w:r>
      <w:r>
        <w:rPr>
          <w:rFonts w:hint="eastAsia" w:ascii="宋体" w:hAnsi="宋体" w:cs="宋体"/>
          <w:kern w:val="0"/>
          <w:lang w:val="zh-CN"/>
        </w:rPr>
        <w:t>月</w:t>
      </w:r>
      <w:r>
        <w:rPr>
          <w:rFonts w:eastAsia="Times New Roman"/>
          <w:kern w:val="0"/>
          <w:lang w:val="zh-CN"/>
        </w:rPr>
        <w:t>27</w:t>
      </w:r>
      <w:r>
        <w:rPr>
          <w:rFonts w:hint="eastAsia" w:ascii="宋体" w:hAnsi="宋体" w:cs="宋体"/>
          <w:kern w:val="0"/>
          <w:lang w:val="zh-CN"/>
        </w:rPr>
        <w:t>日，尚未开庭审理。</w:t>
      </w:r>
    </w:p>
    <w:p>
      <w:pPr>
        <w:autoSpaceDE w:val="0"/>
        <w:autoSpaceDN w:val="0"/>
        <w:adjustRightInd w:val="0"/>
        <w:spacing w:before="0" w:after="0"/>
        <w:ind w:firstLine="360" w:firstLineChars="200"/>
        <w:rPr>
          <w:rFonts w:eastAsia="Times New Roman"/>
          <w:kern w:val="0"/>
          <w:lang w:val="zh-CN"/>
        </w:rPr>
      </w:pPr>
      <w:r>
        <w:rPr>
          <w:rFonts w:eastAsia="Times New Roman"/>
          <w:kern w:val="0"/>
          <w:lang w:val="zh-CN"/>
        </w:rPr>
        <w:t>6</w:t>
      </w:r>
      <w:r>
        <w:rPr>
          <w:rFonts w:hint="eastAsia" w:ascii="宋体" w:hAnsi="宋体" w:cs="宋体"/>
          <w:kern w:val="0"/>
          <w:lang w:val="zh-CN"/>
        </w:rPr>
        <w:t>、</w:t>
      </w:r>
      <w:r>
        <w:rPr>
          <w:rFonts w:eastAsia="Times New Roman"/>
          <w:kern w:val="0"/>
          <w:lang w:val="zh-CN"/>
        </w:rPr>
        <w:t>2019</w:t>
      </w:r>
      <w:r>
        <w:rPr>
          <w:rFonts w:hint="eastAsia" w:ascii="宋体" w:hAnsi="宋体" w:cs="宋体"/>
          <w:kern w:val="0"/>
          <w:lang w:val="zh-CN"/>
        </w:rPr>
        <w:t>年</w:t>
      </w:r>
      <w:r>
        <w:rPr>
          <w:rFonts w:eastAsia="Times New Roman"/>
          <w:kern w:val="0"/>
          <w:lang w:val="zh-CN"/>
        </w:rPr>
        <w:t>11</w:t>
      </w:r>
      <w:r>
        <w:rPr>
          <w:rFonts w:hint="eastAsia" w:ascii="宋体" w:hAnsi="宋体" w:cs="宋体"/>
          <w:kern w:val="0"/>
          <w:lang w:val="zh-CN"/>
        </w:rPr>
        <w:t>月，公司向宁波鄞州区法院提交民事诉状，起诉天水市秦州区人民医院，要求支付合同款</w:t>
      </w:r>
      <w:r>
        <w:rPr>
          <w:rFonts w:eastAsia="Times New Roman"/>
          <w:kern w:val="0"/>
          <w:lang w:val="zh-CN"/>
        </w:rPr>
        <w:t>10,333,738.40</w:t>
      </w:r>
      <w:r>
        <w:rPr>
          <w:rFonts w:hint="eastAsia" w:ascii="宋体" w:hAnsi="宋体" w:cs="宋体"/>
          <w:kern w:val="0"/>
          <w:lang w:val="zh-CN"/>
        </w:rPr>
        <w:t>元及相关滞纳金。宁波鄞州区法院已于</w:t>
      </w:r>
      <w:r>
        <w:rPr>
          <w:rFonts w:eastAsia="Times New Roman"/>
          <w:kern w:val="0"/>
          <w:lang w:val="zh-CN"/>
        </w:rPr>
        <w:t>2019</w:t>
      </w:r>
      <w:r>
        <w:rPr>
          <w:rFonts w:hint="eastAsia" w:ascii="宋体" w:hAnsi="宋体" w:cs="宋体"/>
          <w:kern w:val="0"/>
          <w:lang w:val="zh-CN"/>
        </w:rPr>
        <w:t>年</w:t>
      </w:r>
      <w:r>
        <w:rPr>
          <w:rFonts w:eastAsia="Times New Roman"/>
          <w:kern w:val="0"/>
          <w:lang w:val="zh-CN"/>
        </w:rPr>
        <w:t>11</w:t>
      </w:r>
      <w:r>
        <w:rPr>
          <w:rFonts w:hint="eastAsia" w:ascii="宋体" w:hAnsi="宋体" w:cs="宋体"/>
          <w:kern w:val="0"/>
          <w:lang w:val="zh-CN"/>
        </w:rPr>
        <w:t>月</w:t>
      </w:r>
      <w:r>
        <w:rPr>
          <w:rFonts w:eastAsia="Times New Roman"/>
          <w:kern w:val="0"/>
          <w:lang w:val="zh-CN"/>
        </w:rPr>
        <w:t>15</w:t>
      </w:r>
      <w:r>
        <w:rPr>
          <w:rFonts w:hint="eastAsia" w:ascii="宋体" w:hAnsi="宋体" w:cs="宋体"/>
          <w:kern w:val="0"/>
          <w:lang w:val="zh-CN"/>
        </w:rPr>
        <w:t>日受理。于</w:t>
      </w:r>
      <w:r>
        <w:rPr>
          <w:rFonts w:eastAsia="Times New Roman"/>
          <w:kern w:val="0"/>
          <w:lang w:val="zh-CN"/>
        </w:rPr>
        <w:t>2020</w:t>
      </w:r>
      <w:r>
        <w:rPr>
          <w:rFonts w:hint="eastAsia" w:ascii="宋体" w:hAnsi="宋体" w:cs="宋体"/>
          <w:kern w:val="0"/>
          <w:lang w:val="zh-CN"/>
        </w:rPr>
        <w:t>年</w:t>
      </w:r>
      <w:r>
        <w:rPr>
          <w:rFonts w:eastAsia="Times New Roman"/>
          <w:kern w:val="0"/>
          <w:lang w:val="zh-CN"/>
        </w:rPr>
        <w:t>1</w:t>
      </w:r>
      <w:r>
        <w:rPr>
          <w:rFonts w:hint="eastAsia" w:ascii="宋体" w:hAnsi="宋体" w:cs="宋体"/>
          <w:kern w:val="0"/>
          <w:lang w:val="zh-CN"/>
        </w:rPr>
        <w:t>月</w:t>
      </w:r>
      <w:r>
        <w:rPr>
          <w:rFonts w:eastAsia="Times New Roman"/>
          <w:kern w:val="0"/>
          <w:lang w:val="zh-CN"/>
        </w:rPr>
        <w:t>17</w:t>
      </w:r>
      <w:r>
        <w:rPr>
          <w:rFonts w:hint="eastAsia" w:ascii="宋体" w:hAnsi="宋体" w:cs="宋体"/>
          <w:kern w:val="0"/>
          <w:lang w:val="zh-CN"/>
        </w:rPr>
        <w:t>日开庭审理，尚未判决。</w:t>
      </w:r>
    </w:p>
    <w:p>
      <w:pPr>
        <w:autoSpaceDE w:val="0"/>
        <w:autoSpaceDN w:val="0"/>
        <w:adjustRightInd w:val="0"/>
        <w:spacing w:before="0" w:after="0"/>
        <w:ind w:firstLine="361" w:firstLineChars="200"/>
        <w:rPr>
          <w:rFonts w:eastAsia="Times New Roman"/>
          <w:b/>
          <w:kern w:val="0"/>
          <w:lang w:val="zh-CN"/>
        </w:rPr>
      </w:pPr>
      <w:r>
        <w:rPr>
          <w:rFonts w:hint="eastAsia" w:eastAsiaTheme="minorEastAsia"/>
          <w:b/>
          <w:kern w:val="0"/>
          <w:lang w:val="zh-CN"/>
        </w:rPr>
        <w:t>（三）、</w:t>
      </w:r>
      <w:r>
        <w:rPr>
          <w:rFonts w:hint="eastAsia" w:ascii="宋体" w:hAnsi="宋体" w:cs="宋体"/>
          <w:b/>
          <w:kern w:val="0"/>
          <w:lang w:val="zh-CN"/>
        </w:rPr>
        <w:t>实际控制人股权质押情况</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截至</w:t>
      </w:r>
      <w:r>
        <w:rPr>
          <w:rFonts w:eastAsia="Times New Roman"/>
          <w:kern w:val="0"/>
          <w:lang w:val="zh-CN"/>
        </w:rPr>
        <w:t>2019</w:t>
      </w:r>
      <w:r>
        <w:rPr>
          <w:rFonts w:hint="eastAsia" w:ascii="宋体" w:hAnsi="宋体" w:cs="宋体"/>
          <w:kern w:val="0"/>
          <w:lang w:val="zh-CN"/>
        </w:rPr>
        <w:t>年</w:t>
      </w:r>
      <w:r>
        <w:rPr>
          <w:rFonts w:eastAsia="Times New Roman"/>
          <w:kern w:val="0"/>
          <w:lang w:val="zh-CN"/>
        </w:rPr>
        <w:t>12</w:t>
      </w:r>
      <w:r>
        <w:rPr>
          <w:rFonts w:hint="eastAsia" w:ascii="宋体" w:hAnsi="宋体" w:cs="宋体"/>
          <w:kern w:val="0"/>
          <w:lang w:val="zh-CN"/>
        </w:rPr>
        <w:t>月底，本公司的实际控制人邹炳德持有本公司股份</w:t>
      </w:r>
      <w:r>
        <w:rPr>
          <w:rFonts w:eastAsia="Times New Roman"/>
          <w:kern w:val="0"/>
          <w:lang w:val="zh-CN"/>
        </w:rPr>
        <w:t>169,201,526</w:t>
      </w:r>
      <w:r>
        <w:rPr>
          <w:rFonts w:hint="eastAsia" w:ascii="宋体" w:hAnsi="宋体" w:cs="宋体"/>
          <w:kern w:val="0"/>
          <w:lang w:val="zh-CN"/>
        </w:rPr>
        <w:t>股，其中已质押股份</w:t>
      </w:r>
      <w:r>
        <w:rPr>
          <w:rFonts w:eastAsia="Times New Roman"/>
          <w:kern w:val="0"/>
          <w:lang w:val="zh-CN"/>
        </w:rPr>
        <w:t>81,710,000</w:t>
      </w:r>
      <w:r>
        <w:rPr>
          <w:rFonts w:hint="eastAsia" w:ascii="宋体" w:hAnsi="宋体" w:cs="宋体"/>
          <w:kern w:val="0"/>
          <w:lang w:val="zh-CN"/>
        </w:rPr>
        <w:t>股，质押比例为</w:t>
      </w:r>
      <w:r>
        <w:rPr>
          <w:rFonts w:eastAsia="Times New Roman"/>
          <w:kern w:val="0"/>
          <w:lang w:val="zh-CN"/>
        </w:rPr>
        <w:t>48.29%</w:t>
      </w:r>
      <w:r>
        <w:rPr>
          <w:rFonts w:hint="eastAsia" w:ascii="宋体" w:hAnsi="宋体" w:cs="宋体"/>
          <w:kern w:val="0"/>
          <w:lang w:val="zh-CN"/>
        </w:rPr>
        <w:t>。邹炳德控股的宁波美康盛德投资咨询有限公司持有本公司股份</w:t>
      </w:r>
      <w:r>
        <w:rPr>
          <w:rFonts w:eastAsia="Times New Roman"/>
          <w:kern w:val="0"/>
          <w:lang w:val="zh-CN"/>
        </w:rPr>
        <w:t>39,988,209</w:t>
      </w:r>
      <w:r>
        <w:rPr>
          <w:rFonts w:hint="eastAsia" w:ascii="宋体" w:hAnsi="宋体" w:cs="宋体"/>
          <w:kern w:val="0"/>
          <w:lang w:val="zh-CN"/>
        </w:rPr>
        <w:t>股</w:t>
      </w:r>
      <w:r>
        <w:rPr>
          <w:rFonts w:eastAsia="Times New Roman"/>
          <w:kern w:val="0"/>
          <w:lang w:val="zh-CN"/>
        </w:rPr>
        <w:t>(</w:t>
      </w:r>
      <w:r>
        <w:rPr>
          <w:rFonts w:hint="eastAsia" w:ascii="宋体" w:hAnsi="宋体" w:cs="宋体"/>
          <w:kern w:val="0"/>
          <w:lang w:val="zh-CN"/>
        </w:rPr>
        <w:t>其中邹炳德持股比例为</w:t>
      </w:r>
      <w:r>
        <w:rPr>
          <w:rFonts w:eastAsia="Times New Roman"/>
          <w:kern w:val="0"/>
          <w:lang w:val="zh-CN"/>
        </w:rPr>
        <w:t>76.92%)</w:t>
      </w:r>
      <w:r>
        <w:rPr>
          <w:rFonts w:hint="eastAsia" w:ascii="宋体" w:hAnsi="宋体" w:cs="宋体"/>
          <w:kern w:val="0"/>
          <w:lang w:val="zh-CN"/>
        </w:rPr>
        <w:t>，无质押。</w:t>
      </w:r>
    </w:p>
    <w:p>
      <w:pPr>
        <w:pStyle w:val="13"/>
        <w:outlineLvl w:val="1"/>
        <w:rPr>
          <w:bCs w:val="0"/>
        </w:rPr>
      </w:pPr>
      <w:r>
        <w:rPr>
          <w:rFonts w:hint="eastAsia"/>
          <w:bCs w:val="0"/>
        </w:rPr>
        <w:t>十七、母公司财务报表主要项目注释</w:t>
      </w:r>
    </w:p>
    <w:p>
      <w:pPr>
        <w:pStyle w:val="14"/>
        <w:outlineLvl w:val="2"/>
        <w:rPr>
          <w:bCs w:val="0"/>
          <w:szCs w:val="24"/>
        </w:rPr>
      </w:pPr>
      <w:r>
        <w:rPr>
          <w:bCs w:val="0"/>
          <w:szCs w:val="24"/>
        </w:rPr>
        <w:t>1</w:t>
      </w:r>
      <w:r>
        <w:rPr>
          <w:rFonts w:hint="eastAsia"/>
          <w:bCs w:val="0"/>
          <w:szCs w:val="24"/>
        </w:rPr>
        <w:t>、应收账款</w:t>
      </w:r>
    </w:p>
    <w:p>
      <w:pPr>
        <w:pStyle w:val="14"/>
        <w:outlineLvl w:val="3"/>
        <w:rPr>
          <w:bCs w:val="0"/>
          <w:szCs w:val="24"/>
        </w:rPr>
      </w:pPr>
      <w:r>
        <w:rPr>
          <w:rFonts w:hint="eastAsia"/>
          <w:bCs w:val="0"/>
          <w:szCs w:val="24"/>
        </w:rPr>
        <w:t>（</w:t>
      </w:r>
      <w:r>
        <w:rPr>
          <w:bCs w:val="0"/>
          <w:szCs w:val="24"/>
        </w:rPr>
        <w:t>1</w:t>
      </w:r>
      <w:r>
        <w:rPr>
          <w:rFonts w:hint="eastAsia"/>
          <w:bCs w:val="0"/>
          <w:szCs w:val="24"/>
        </w:rPr>
        <w:t>）应收账款分类披露</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635"/>
        <w:gridCol w:w="763"/>
        <w:gridCol w:w="762"/>
        <w:gridCol w:w="762"/>
        <w:gridCol w:w="763"/>
        <w:gridCol w:w="789"/>
        <w:gridCol w:w="776"/>
        <w:gridCol w:w="797"/>
        <w:gridCol w:w="798"/>
        <w:gridCol w:w="790"/>
        <w:gridCol w:w="932"/>
      </w:tblGrid>
      <w:tr>
        <w:tblPrEx>
          <w:tblCellMar>
            <w:top w:w="0" w:type="dxa"/>
            <w:left w:w="28" w:type="dxa"/>
            <w:bottom w:w="0" w:type="dxa"/>
            <w:right w:w="28" w:type="dxa"/>
          </w:tblCellMar>
        </w:tblPrEx>
        <w:tc>
          <w:tcPr>
            <w:tcW w:w="1635"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类别</w:t>
            </w:r>
          </w:p>
        </w:tc>
        <w:tc>
          <w:tcPr>
            <w:tcW w:w="3839" w:type="dxa"/>
            <w:gridSpan w:val="5"/>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4093" w:type="dxa"/>
            <w:gridSpan w:val="5"/>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163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525"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525"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789"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573"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588"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r>
      <w:tr>
        <w:tblPrEx>
          <w:tblCellMar>
            <w:top w:w="0" w:type="dxa"/>
            <w:left w:w="28" w:type="dxa"/>
            <w:bottom w:w="0" w:type="dxa"/>
            <w:right w:w="28" w:type="dxa"/>
          </w:tblCellMar>
        </w:tblPrEx>
        <w:tc>
          <w:tcPr>
            <w:tcW w:w="163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比例</w:t>
            </w: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计提比例</w:t>
            </w:r>
          </w:p>
        </w:tc>
        <w:tc>
          <w:tcPr>
            <w:tcW w:w="789"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7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比例</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7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计提比例</w:t>
            </w:r>
          </w:p>
        </w:tc>
        <w:tc>
          <w:tcPr>
            <w:tcW w:w="93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6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按单项计提坏账准备的应收账款</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10,333,438.40</w:t>
            </w: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w:t>
            </w: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5,166,719.20</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5,166,719.20</w:t>
            </w:r>
          </w:p>
        </w:tc>
        <w:tc>
          <w:tcPr>
            <w:tcW w:w="7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6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其中：</w:t>
            </w: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7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93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16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按组合计提坏账准备的应收账款</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465,810,531.44</w:t>
            </w: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97.83%</w:t>
            </w: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24,684,905.59</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5.30%</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441,125,625.85</w:t>
            </w:r>
          </w:p>
        </w:tc>
        <w:tc>
          <w:tcPr>
            <w:tcW w:w="7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558,754,334.58</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29,175,577.93</w:t>
            </w: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5.22%</w:t>
            </w:r>
          </w:p>
        </w:tc>
        <w:tc>
          <w:tcPr>
            <w:tcW w:w="9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529,578,756.65</w:t>
            </w:r>
          </w:p>
        </w:tc>
      </w:tr>
      <w:tr>
        <w:tblPrEx>
          <w:tblCellMar>
            <w:top w:w="0" w:type="dxa"/>
            <w:left w:w="28" w:type="dxa"/>
            <w:bottom w:w="0" w:type="dxa"/>
            <w:right w:w="28" w:type="dxa"/>
          </w:tblCellMar>
        </w:tblPrEx>
        <w:tc>
          <w:tcPr>
            <w:tcW w:w="16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其中：</w:t>
            </w: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6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7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79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c>
          <w:tcPr>
            <w:tcW w:w="93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p>
        </w:tc>
      </w:tr>
      <w:tr>
        <w:tblPrEx>
          <w:tblCellMar>
            <w:top w:w="0" w:type="dxa"/>
            <w:left w:w="28" w:type="dxa"/>
            <w:bottom w:w="0" w:type="dxa"/>
            <w:right w:w="28" w:type="dxa"/>
          </w:tblCellMar>
        </w:tblPrEx>
        <w:tc>
          <w:tcPr>
            <w:tcW w:w="16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账龄组合</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465,810,531.44</w:t>
            </w: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97.83%</w:t>
            </w: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24,684,905.59</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5.30%</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441,125,625.85</w:t>
            </w:r>
          </w:p>
        </w:tc>
        <w:tc>
          <w:tcPr>
            <w:tcW w:w="7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9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63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按信用风险特征组合计提坏账准备的应收账款</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558,754,334.58</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29,175,577.93</w:t>
            </w: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5.22%</w:t>
            </w:r>
          </w:p>
        </w:tc>
        <w:tc>
          <w:tcPr>
            <w:tcW w:w="9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529,578,756.65</w:t>
            </w:r>
          </w:p>
        </w:tc>
      </w:tr>
      <w:tr>
        <w:tblPrEx>
          <w:tblCellMar>
            <w:top w:w="0" w:type="dxa"/>
            <w:left w:w="28" w:type="dxa"/>
            <w:bottom w:w="0" w:type="dxa"/>
            <w:right w:w="28" w:type="dxa"/>
          </w:tblCellMar>
        </w:tblPrEx>
        <w:tc>
          <w:tcPr>
            <w:tcW w:w="1635"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476,143,969.84</w:t>
            </w: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76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29,851,624.79</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6.27%</w:t>
            </w:r>
          </w:p>
        </w:tc>
        <w:tc>
          <w:tcPr>
            <w:tcW w:w="789"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446,292,345.05</w:t>
            </w:r>
          </w:p>
        </w:tc>
        <w:tc>
          <w:tcPr>
            <w:tcW w:w="77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558,754,334.58</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29,175,577.93</w:t>
            </w: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5.22%</w:t>
            </w:r>
          </w:p>
        </w:tc>
        <w:tc>
          <w:tcPr>
            <w:tcW w:w="9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529,578,756.65</w:t>
            </w:r>
          </w:p>
        </w:tc>
      </w:tr>
    </w:tbl>
    <w:p>
      <w:pPr>
        <w:jc w:val="left"/>
        <w:rPr>
          <w:szCs w:val="24"/>
        </w:rPr>
      </w:pPr>
      <w:r>
        <w:rPr>
          <w:rFonts w:hint="eastAsia"/>
          <w:szCs w:val="24"/>
        </w:rPr>
        <w:t>按单项计提坏账准备：</w:t>
      </w:r>
      <w:r>
        <w:rPr>
          <w:szCs w:val="24"/>
        </w:rPr>
        <w:t>5,166,719.20</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3"/>
        <w:gridCol w:w="1915"/>
        <w:gridCol w:w="1914"/>
        <w:gridCol w:w="1914"/>
        <w:gridCol w:w="1914"/>
      </w:tblGrid>
      <w:tr>
        <w:tc>
          <w:tcPr>
            <w:tcW w:w="191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名称</w:t>
            </w:r>
          </w:p>
        </w:tc>
        <w:tc>
          <w:tcPr>
            <w:tcW w:w="7657"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c>
          <w:tcPr>
            <w:tcW w:w="191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计提比例</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计提理由</w:t>
            </w:r>
          </w:p>
        </w:tc>
      </w:tr>
      <w:tr>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天水市秦州区人民医院</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10,333,438.40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5,166,719.20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已逾期</w:t>
            </w:r>
          </w:p>
        </w:tc>
      </w:tr>
      <w:tr>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10,333,438.40</w:t>
            </w:r>
          </w:p>
        </w:tc>
        <w:tc>
          <w:tcPr>
            <w:tcW w:w="191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5,166,719.20</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jc w:val="left"/>
        <w:rPr>
          <w:szCs w:val="24"/>
        </w:rPr>
      </w:pPr>
      <w:r>
        <w:rPr>
          <w:rFonts w:hint="eastAsia"/>
          <w:szCs w:val="24"/>
        </w:rPr>
        <w:t>按单项计提坏账准备：</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3"/>
        <w:gridCol w:w="1915"/>
        <w:gridCol w:w="1914"/>
        <w:gridCol w:w="1914"/>
        <w:gridCol w:w="1914"/>
      </w:tblGrid>
      <w:tr>
        <w:tc>
          <w:tcPr>
            <w:tcW w:w="191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名称</w:t>
            </w:r>
          </w:p>
        </w:tc>
        <w:tc>
          <w:tcPr>
            <w:tcW w:w="7657"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c>
          <w:tcPr>
            <w:tcW w:w="191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9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计提比例</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计提理由</w:t>
            </w:r>
          </w:p>
        </w:tc>
      </w:tr>
    </w:tbl>
    <w:p>
      <w:pPr>
        <w:jc w:val="left"/>
        <w:rPr>
          <w:szCs w:val="24"/>
        </w:rPr>
      </w:pPr>
      <w:r>
        <w:rPr>
          <w:rFonts w:hint="eastAsia"/>
          <w:szCs w:val="24"/>
        </w:rPr>
        <w:t>按组合计提坏账准备：</w:t>
      </w:r>
      <w:r>
        <w:rPr>
          <w:szCs w:val="24"/>
        </w:rPr>
        <w:t xml:space="preserve"> 24,684,905.59</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92"/>
        <w:gridCol w:w="2392"/>
        <w:gridCol w:w="2392"/>
        <w:gridCol w:w="2392"/>
      </w:tblGrid>
      <w:tr>
        <w:tc>
          <w:tcPr>
            <w:tcW w:w="239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名称</w:t>
            </w:r>
          </w:p>
        </w:tc>
        <w:tc>
          <w:tcPr>
            <w:tcW w:w="7176"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c>
          <w:tcPr>
            <w:tcW w:w="239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计提比例</w:t>
            </w:r>
          </w:p>
        </w:tc>
      </w:tr>
      <w:tr>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1</w:t>
            </w:r>
            <w:r>
              <w:rPr>
                <w:rFonts w:hint="eastAsia"/>
                <w:szCs w:val="24"/>
              </w:rPr>
              <w:t>年以内</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445,359,101.83</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22,267,955.09</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1</w:t>
            </w:r>
            <w:r>
              <w:rPr>
                <w:rFonts w:hint="eastAsia"/>
                <w:szCs w:val="24"/>
              </w:rPr>
              <w:t>－</w:t>
            </w:r>
            <w:r>
              <w:rPr>
                <w:szCs w:val="24"/>
              </w:rPr>
              <w:t>2</w:t>
            </w:r>
            <w:r>
              <w:rPr>
                <w:rFonts w:hint="eastAsia"/>
                <w:szCs w:val="24"/>
              </w:rPr>
              <w:t>年</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18,889,310.09</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1,888,931.01</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2</w:t>
            </w:r>
            <w:r>
              <w:rPr>
                <w:rFonts w:hint="eastAsia"/>
                <w:szCs w:val="24"/>
              </w:rPr>
              <w:t>－</w:t>
            </w:r>
            <w:r>
              <w:rPr>
                <w:szCs w:val="24"/>
              </w:rPr>
              <w:t>3</w:t>
            </w:r>
            <w:r>
              <w:rPr>
                <w:rFonts w:hint="eastAsia"/>
                <w:szCs w:val="24"/>
              </w:rPr>
              <w:t>年</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1,032,206.11</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206,441.22</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3</w:t>
            </w:r>
            <w:r>
              <w:rPr>
                <w:rFonts w:hint="eastAsia"/>
                <w:szCs w:val="24"/>
              </w:rPr>
              <w:t>－</w:t>
            </w:r>
            <w:r>
              <w:rPr>
                <w:szCs w:val="24"/>
              </w:rPr>
              <w:t>4</w:t>
            </w:r>
            <w:r>
              <w:rPr>
                <w:rFonts w:hint="eastAsia"/>
                <w:szCs w:val="24"/>
              </w:rPr>
              <w:t>年</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341,175.12</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170,587.56</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4</w:t>
            </w:r>
            <w:r>
              <w:rPr>
                <w:rFonts w:hint="eastAsia"/>
                <w:szCs w:val="24"/>
              </w:rPr>
              <w:t>－</w:t>
            </w:r>
            <w:r>
              <w:rPr>
                <w:szCs w:val="24"/>
              </w:rPr>
              <w:t>5</w:t>
            </w:r>
            <w:r>
              <w:rPr>
                <w:rFonts w:hint="eastAsia"/>
                <w:szCs w:val="24"/>
              </w:rPr>
              <w:t>年</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188,737.89</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150,990.31</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80.00%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szCs w:val="24"/>
              </w:rPr>
              <w:t>5</w:t>
            </w:r>
            <w:r>
              <w:rPr>
                <w:rFonts w:hint="eastAsia"/>
                <w:szCs w:val="24"/>
              </w:rPr>
              <w:t>年以上</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0.40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0.40</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465,810,531.44</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24,684,905.59</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jc w:val="left"/>
        <w:rPr>
          <w:szCs w:val="24"/>
        </w:rPr>
      </w:pPr>
      <w:r>
        <w:rPr>
          <w:rFonts w:hint="eastAsia"/>
          <w:szCs w:val="24"/>
        </w:rPr>
        <w:t>确定该组合依据的说明：</w:t>
      </w:r>
    </w:p>
    <w:p>
      <w:pPr>
        <w:jc w:val="left"/>
        <w:rPr>
          <w:szCs w:val="24"/>
        </w:rPr>
      </w:pPr>
      <w:r>
        <w:rPr>
          <w:rFonts w:hint="eastAsia"/>
          <w:szCs w:val="24"/>
        </w:rPr>
        <w:t>按组合计提坏账准备：</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92"/>
        <w:gridCol w:w="2392"/>
        <w:gridCol w:w="2392"/>
        <w:gridCol w:w="2392"/>
      </w:tblGrid>
      <w:tr>
        <w:tblPrEx>
          <w:tblCellMar>
            <w:top w:w="0" w:type="dxa"/>
            <w:left w:w="28" w:type="dxa"/>
            <w:bottom w:w="0" w:type="dxa"/>
            <w:right w:w="28" w:type="dxa"/>
          </w:tblCellMar>
        </w:tblPrEx>
        <w:tc>
          <w:tcPr>
            <w:tcW w:w="239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名称</w:t>
            </w:r>
          </w:p>
        </w:tc>
        <w:tc>
          <w:tcPr>
            <w:tcW w:w="7176"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239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计提比例</w:t>
            </w:r>
          </w:p>
        </w:tc>
      </w:tr>
    </w:tbl>
    <w:p>
      <w:pPr>
        <w:jc w:val="left"/>
        <w:rPr>
          <w:szCs w:val="24"/>
        </w:rPr>
      </w:pPr>
      <w:r>
        <w:rPr>
          <w:rFonts w:hint="eastAsia"/>
          <w:szCs w:val="24"/>
        </w:rPr>
        <w:t>确定该组合依据的说明：</w:t>
      </w:r>
    </w:p>
    <w:p>
      <w:pPr>
        <w:jc w:val="left"/>
        <w:rPr>
          <w:szCs w:val="24"/>
        </w:rPr>
      </w:pPr>
      <w:r>
        <w:rPr>
          <w:rFonts w:hint="eastAsia"/>
          <w:szCs w:val="24"/>
        </w:rPr>
        <w:t>如是按照预期信用损失一般模型计提应收账款坏账准备，请参照其他应收款的披露方式披露坏账准备的相关信息：</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按账龄披露</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84"/>
        <w:gridCol w:w="4784"/>
      </w:tblGrid>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账龄</w:t>
            </w:r>
          </w:p>
        </w:tc>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年以内（含</w:t>
            </w:r>
            <w:r>
              <w:rPr>
                <w:szCs w:val="24"/>
              </w:rPr>
              <w:t>1</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452,263,755.03</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至</w:t>
            </w:r>
            <w:r>
              <w:rPr>
                <w:szCs w:val="24"/>
              </w:rPr>
              <w:t>2</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22,318,095.29</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至</w:t>
            </w:r>
            <w:r>
              <w:rPr>
                <w:szCs w:val="24"/>
              </w:rPr>
              <w:t>3</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1,032,206.11</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r>
              <w:rPr>
                <w:rFonts w:hint="eastAsia"/>
                <w:szCs w:val="24"/>
              </w:rPr>
              <w:t>年以上</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529,913.41</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3</w:t>
            </w:r>
            <w:r>
              <w:rPr>
                <w:rFonts w:hint="eastAsia"/>
                <w:szCs w:val="24"/>
              </w:rPr>
              <w:t>至</w:t>
            </w:r>
            <w:r>
              <w:rPr>
                <w:szCs w:val="24"/>
              </w:rPr>
              <w:t>4</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341,175.12</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4</w:t>
            </w:r>
            <w:r>
              <w:rPr>
                <w:rFonts w:hint="eastAsia"/>
                <w:szCs w:val="24"/>
              </w:rPr>
              <w:t>至</w:t>
            </w:r>
            <w:r>
              <w:rPr>
                <w:szCs w:val="24"/>
              </w:rPr>
              <w:t>5</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188,737.89</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5</w:t>
            </w:r>
            <w:r>
              <w:rPr>
                <w:rFonts w:hint="eastAsia"/>
                <w:szCs w:val="24"/>
              </w:rPr>
              <w:t>年以上</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0.40</w:t>
            </w:r>
          </w:p>
        </w:tc>
      </w:tr>
      <w:tr>
        <w:tblPrEx>
          <w:tblCellMar>
            <w:top w:w="0" w:type="dxa"/>
            <w:left w:w="28" w:type="dxa"/>
            <w:bottom w:w="0" w:type="dxa"/>
            <w:right w:w="28" w:type="dxa"/>
          </w:tblCellMar>
        </w:tblPrEx>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4784"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476,143,969.84</w:t>
            </w:r>
          </w:p>
        </w:tc>
      </w:tr>
    </w:tbl>
    <w:p>
      <w:pPr>
        <w:pStyle w:val="14"/>
        <w:outlineLvl w:val="3"/>
        <w:rPr>
          <w:bCs w:val="0"/>
          <w:szCs w:val="24"/>
        </w:rPr>
      </w:pPr>
      <w:r>
        <w:rPr>
          <w:rFonts w:hint="eastAsia"/>
          <w:bCs w:val="0"/>
          <w:szCs w:val="24"/>
        </w:rPr>
        <w:t>（</w:t>
      </w:r>
      <w:r>
        <w:rPr>
          <w:bCs w:val="0"/>
          <w:szCs w:val="24"/>
        </w:rPr>
        <w:t>2</w:t>
      </w:r>
      <w:r>
        <w:rPr>
          <w:rFonts w:hint="eastAsia"/>
          <w:bCs w:val="0"/>
          <w:szCs w:val="24"/>
        </w:rPr>
        <w:t>）本期计提、收回或转回的坏账准备情况</w:t>
      </w:r>
    </w:p>
    <w:p>
      <w:pPr>
        <w:jc w:val="left"/>
        <w:rPr>
          <w:szCs w:val="24"/>
        </w:rPr>
      </w:pPr>
      <w:r>
        <w:rPr>
          <w:rFonts w:hint="eastAsia"/>
          <w:szCs w:val="24"/>
        </w:rPr>
        <w:t>本期计提坏账准备情况：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369"/>
        <w:gridCol w:w="1367"/>
        <w:gridCol w:w="1367"/>
        <w:gridCol w:w="1367"/>
        <w:gridCol w:w="1367"/>
        <w:gridCol w:w="1367"/>
        <w:gridCol w:w="1367"/>
      </w:tblGrid>
      <w:tr>
        <w:tblPrEx>
          <w:tblCellMar>
            <w:top w:w="0" w:type="dxa"/>
            <w:left w:w="28" w:type="dxa"/>
            <w:bottom w:w="0" w:type="dxa"/>
            <w:right w:w="28" w:type="dxa"/>
          </w:tblCellMar>
        </w:tblPrEx>
        <w:tc>
          <w:tcPr>
            <w:tcW w:w="1369"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类别</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5468"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本期变动金额</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blPrEx>
          <w:tblCellMar>
            <w:top w:w="0" w:type="dxa"/>
            <w:left w:w="28" w:type="dxa"/>
            <w:bottom w:w="0" w:type="dxa"/>
            <w:right w:w="28" w:type="dxa"/>
          </w:tblCellMar>
        </w:tblPrEx>
        <w:tc>
          <w:tcPr>
            <w:tcW w:w="1369"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收回或转回</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应收账款坏账准备</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29,175,577.93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6,562,997.63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5,886,950.77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29,851,624.79</w:t>
            </w:r>
          </w:p>
        </w:tc>
      </w:tr>
      <w:tr>
        <w:tblPrEx>
          <w:tblCellMar>
            <w:top w:w="0" w:type="dxa"/>
            <w:left w:w="28" w:type="dxa"/>
            <w:bottom w:w="0" w:type="dxa"/>
            <w:right w:w="28" w:type="dxa"/>
          </w:tblCellMar>
        </w:tblPrEx>
        <w:tc>
          <w:tcPr>
            <w:tcW w:w="136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合计</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29,175,577.93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6,562,997.63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5,886,950.77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29,851,624.79</w:t>
            </w:r>
          </w:p>
        </w:tc>
      </w:tr>
    </w:tbl>
    <w:p>
      <w:pPr>
        <w:jc w:val="left"/>
        <w:rPr>
          <w:szCs w:val="24"/>
        </w:rPr>
      </w:pPr>
      <w:r>
        <w:rPr>
          <w:rFonts w:hint="eastAsia"/>
          <w:szCs w:val="24"/>
        </w:rPr>
        <w:t>其中本期坏账准备收回或转回金额重要的：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368"/>
        <w:gridCol w:w="3100"/>
        <w:gridCol w:w="3100"/>
      </w:tblGrid>
      <w:tr>
        <w:tblPrEx>
          <w:tblCellMar>
            <w:top w:w="0" w:type="dxa"/>
            <w:left w:w="28" w:type="dxa"/>
            <w:bottom w:w="0" w:type="dxa"/>
            <w:right w:w="28" w:type="dxa"/>
          </w:tblCellMar>
        </w:tblPrEx>
        <w:tc>
          <w:tcPr>
            <w:tcW w:w="3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单位名称</w:t>
            </w:r>
          </w:p>
        </w:tc>
        <w:tc>
          <w:tcPr>
            <w:tcW w:w="310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收回或转回金额</w:t>
            </w:r>
          </w:p>
        </w:tc>
        <w:tc>
          <w:tcPr>
            <w:tcW w:w="310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收回方式</w:t>
            </w:r>
          </w:p>
        </w:tc>
      </w:tr>
    </w:tbl>
    <w:p>
      <w:pPr>
        <w:pStyle w:val="14"/>
        <w:outlineLvl w:val="3"/>
        <w:rPr>
          <w:bCs w:val="0"/>
          <w:szCs w:val="24"/>
        </w:rPr>
      </w:pPr>
      <w:r>
        <w:rPr>
          <w:rFonts w:hint="eastAsia"/>
          <w:bCs w:val="0"/>
          <w:szCs w:val="24"/>
        </w:rPr>
        <w:t>（</w:t>
      </w:r>
      <w:r>
        <w:rPr>
          <w:bCs w:val="0"/>
          <w:szCs w:val="24"/>
        </w:rPr>
        <w:t>3</w:t>
      </w:r>
      <w:r>
        <w:rPr>
          <w:rFonts w:hint="eastAsia"/>
          <w:bCs w:val="0"/>
          <w:szCs w:val="24"/>
        </w:rPr>
        <w:t>）本期实际核销的应收账款情况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983"/>
        <w:gridCol w:w="4585"/>
      </w:tblGrid>
      <w:tr>
        <w:tblPrEx>
          <w:tblCellMar>
            <w:top w:w="0" w:type="dxa"/>
            <w:left w:w="28" w:type="dxa"/>
            <w:bottom w:w="0" w:type="dxa"/>
            <w:right w:w="28" w:type="dxa"/>
          </w:tblCellMar>
        </w:tblPrEx>
        <w:tc>
          <w:tcPr>
            <w:tcW w:w="498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458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核销金额</w:t>
            </w:r>
          </w:p>
        </w:tc>
      </w:tr>
      <w:tr>
        <w:tblPrEx>
          <w:tblCellMar>
            <w:top w:w="0" w:type="dxa"/>
            <w:left w:w="28" w:type="dxa"/>
            <w:bottom w:w="0" w:type="dxa"/>
            <w:right w:w="28" w:type="dxa"/>
          </w:tblCellMar>
        </w:tblPrEx>
        <w:tc>
          <w:tcPr>
            <w:tcW w:w="4983"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实际核销的应收账款</w:t>
            </w:r>
          </w:p>
        </w:tc>
        <w:tc>
          <w:tcPr>
            <w:tcW w:w="458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5,886,950.77</w:t>
            </w:r>
          </w:p>
        </w:tc>
      </w:tr>
    </w:tbl>
    <w:p>
      <w:pPr>
        <w:jc w:val="left"/>
        <w:rPr>
          <w:szCs w:val="24"/>
        </w:rPr>
      </w:pPr>
      <w:r>
        <w:rPr>
          <w:rFonts w:hint="eastAsia"/>
          <w:szCs w:val="24"/>
        </w:rPr>
        <w:t>其中重要的应收账款核销情况：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684"/>
        <w:gridCol w:w="1551"/>
        <w:gridCol w:w="1552"/>
        <w:gridCol w:w="1552"/>
        <w:gridCol w:w="1615"/>
        <w:gridCol w:w="1615"/>
      </w:tblGrid>
      <w:tr>
        <w:tc>
          <w:tcPr>
            <w:tcW w:w="16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单位名称</w:t>
            </w:r>
          </w:p>
        </w:tc>
        <w:tc>
          <w:tcPr>
            <w:tcW w:w="155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应收账款性质</w:t>
            </w:r>
          </w:p>
        </w:tc>
        <w:tc>
          <w:tcPr>
            <w:tcW w:w="155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核销金额</w:t>
            </w:r>
          </w:p>
        </w:tc>
        <w:tc>
          <w:tcPr>
            <w:tcW w:w="155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核销原因</w:t>
            </w:r>
          </w:p>
        </w:tc>
        <w:tc>
          <w:tcPr>
            <w:tcW w:w="16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履行的核销程序</w:t>
            </w:r>
          </w:p>
        </w:tc>
        <w:tc>
          <w:tcPr>
            <w:tcW w:w="16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款项是否由关联交易产生</w:t>
            </w:r>
          </w:p>
        </w:tc>
      </w:tr>
    </w:tbl>
    <w:p>
      <w:pPr>
        <w:jc w:val="left"/>
        <w:rPr>
          <w:szCs w:val="24"/>
        </w:rPr>
      </w:pPr>
      <w:r>
        <w:rPr>
          <w:rFonts w:hint="eastAsia"/>
          <w:szCs w:val="24"/>
        </w:rPr>
        <w:t>应收账款核销说明：</w:t>
      </w:r>
    </w:p>
    <w:p>
      <w:pPr>
        <w:pStyle w:val="14"/>
        <w:outlineLvl w:val="3"/>
        <w:rPr>
          <w:bCs w:val="0"/>
          <w:szCs w:val="24"/>
        </w:rPr>
      </w:pPr>
      <w:r>
        <w:rPr>
          <w:rFonts w:hint="eastAsia"/>
          <w:bCs w:val="0"/>
          <w:szCs w:val="24"/>
        </w:rPr>
        <w:t>（</w:t>
      </w:r>
      <w:r>
        <w:rPr>
          <w:bCs w:val="0"/>
          <w:szCs w:val="24"/>
        </w:rPr>
        <w:t>4</w:t>
      </w:r>
      <w:r>
        <w:rPr>
          <w:rFonts w:hint="eastAsia"/>
          <w:bCs w:val="0"/>
          <w:szCs w:val="24"/>
        </w:rPr>
        <w:t>）按欠款方归集的期末余额前五名的应收账款情况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392"/>
        <w:gridCol w:w="2392"/>
        <w:gridCol w:w="2392"/>
        <w:gridCol w:w="2392"/>
      </w:tblGrid>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单位名称</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应收账款期末余额</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占应收账款期末余额合计数的比例</w:t>
            </w:r>
          </w:p>
        </w:tc>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坏账准备期末余额</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第一名</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51,011,568.32  </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10.71</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2,550,578.42  </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第二名</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 18,382,384.02 </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3.86</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919,119.20  </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第三名</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 16,759,075.87 </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3.52</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 837,953.79 </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第四名</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 13,313,088.15 </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2.80</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 665,654.41 </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第五名</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 12,179,740.13 </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2.56</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 608,987.01 </w:t>
            </w:r>
          </w:p>
        </w:tc>
      </w:tr>
      <w:tr>
        <w:tblPrEx>
          <w:tblCellMar>
            <w:top w:w="0" w:type="dxa"/>
            <w:left w:w="28" w:type="dxa"/>
            <w:bottom w:w="0" w:type="dxa"/>
            <w:right w:w="28" w:type="dxa"/>
          </w:tblCellMar>
        </w:tblPrEx>
        <w:tc>
          <w:tcPr>
            <w:tcW w:w="239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 xml:space="preserve">111,645,856.49  </w:t>
            </w:r>
          </w:p>
        </w:tc>
        <w:tc>
          <w:tcPr>
            <w:tcW w:w="239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23.45</w:t>
            </w:r>
          </w:p>
        </w:tc>
        <w:tc>
          <w:tcPr>
            <w:tcW w:w="2392" w:type="dxa"/>
            <w:tcBorders>
              <w:top w:val="single" w:color="auto" w:sz="4" w:space="0"/>
              <w:left w:val="single" w:color="auto" w:sz="4" w:space="0"/>
              <w:bottom w:val="single" w:color="auto" w:sz="4" w:space="0"/>
              <w:right w:val="single" w:color="auto" w:sz="4" w:space="0"/>
            </w:tcBorders>
            <w:shd w:val="clear" w:color="auto" w:fill="D3D3D3"/>
          </w:tcPr>
          <w:p>
            <w:pPr>
              <w:rPr>
                <w:szCs w:val="24"/>
              </w:rPr>
            </w:pPr>
          </w:p>
        </w:tc>
      </w:tr>
    </w:tbl>
    <w:p>
      <w:pPr>
        <w:pStyle w:val="14"/>
        <w:outlineLvl w:val="3"/>
        <w:rPr>
          <w:bCs w:val="0"/>
          <w:szCs w:val="24"/>
        </w:rPr>
      </w:pPr>
      <w:r>
        <w:rPr>
          <w:rFonts w:hint="eastAsia"/>
          <w:bCs w:val="0"/>
          <w:szCs w:val="24"/>
        </w:rPr>
        <w:t>（</w:t>
      </w:r>
      <w:r>
        <w:rPr>
          <w:bCs w:val="0"/>
          <w:szCs w:val="24"/>
        </w:rPr>
        <w:t>5</w:t>
      </w:r>
      <w:r>
        <w:rPr>
          <w:rFonts w:hint="eastAsia"/>
          <w:bCs w:val="0"/>
          <w:szCs w:val="24"/>
        </w:rPr>
        <w:t>）因金融资产转移而终止确认的应收账款</w:t>
      </w:r>
    </w:p>
    <w:p>
      <w:pPr>
        <w:pStyle w:val="14"/>
        <w:outlineLvl w:val="3"/>
        <w:rPr>
          <w:bCs w:val="0"/>
          <w:szCs w:val="24"/>
        </w:rPr>
      </w:pPr>
      <w:r>
        <w:rPr>
          <w:rFonts w:hint="eastAsia"/>
          <w:bCs w:val="0"/>
          <w:szCs w:val="24"/>
        </w:rPr>
        <w:t>（</w:t>
      </w:r>
      <w:r>
        <w:rPr>
          <w:bCs w:val="0"/>
          <w:szCs w:val="24"/>
        </w:rPr>
        <w:t>6</w:t>
      </w:r>
      <w:r>
        <w:rPr>
          <w:rFonts w:hint="eastAsia"/>
          <w:bCs w:val="0"/>
          <w:szCs w:val="24"/>
        </w:rPr>
        <w:t>）转移应收账款且继续涉入形成的资产、负债金额</w:t>
      </w:r>
    </w:p>
    <w:p>
      <w:pPr>
        <w:pStyle w:val="14"/>
        <w:outlineLvl w:val="2"/>
        <w:rPr>
          <w:bCs w:val="0"/>
          <w:szCs w:val="24"/>
        </w:rPr>
      </w:pPr>
      <w:r>
        <w:rPr>
          <w:bCs w:val="0"/>
          <w:szCs w:val="24"/>
        </w:rPr>
        <w:t>2</w:t>
      </w:r>
      <w:r>
        <w:rPr>
          <w:rFonts w:hint="eastAsia"/>
          <w:bCs w:val="0"/>
          <w:szCs w:val="24"/>
        </w:rPr>
        <w:t>、其他应收款</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9"/>
        <w:gridCol w:w="3190"/>
        <w:gridCol w:w="3190"/>
      </w:tblGrid>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应收股利</w:t>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9,802,979.34</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其他应收款</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403,906,878.50</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372,090,632.22</w:t>
            </w:r>
          </w:p>
        </w:tc>
      </w:tr>
      <w:tr>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413,709,857.84</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372,090,632.22</w:t>
            </w:r>
          </w:p>
        </w:tc>
      </w:tr>
    </w:tbl>
    <w:p>
      <w:pPr>
        <w:pStyle w:val="14"/>
        <w:outlineLvl w:val="3"/>
        <w:rPr>
          <w:bCs w:val="0"/>
          <w:szCs w:val="24"/>
        </w:rPr>
      </w:pPr>
      <w:r>
        <w:rPr>
          <w:rFonts w:hint="eastAsia"/>
          <w:bCs w:val="0"/>
          <w:szCs w:val="24"/>
        </w:rPr>
        <w:t>（</w:t>
      </w:r>
      <w:r>
        <w:rPr>
          <w:bCs w:val="0"/>
          <w:szCs w:val="24"/>
        </w:rPr>
        <w:t>1</w:t>
      </w:r>
      <w:r>
        <w:rPr>
          <w:rFonts w:hint="eastAsia"/>
          <w:bCs w:val="0"/>
          <w:szCs w:val="24"/>
        </w:rPr>
        <w:t>）应收利息</w:t>
      </w:r>
    </w:p>
    <w:p>
      <w:pPr>
        <w:pStyle w:val="14"/>
        <w:outlineLvl w:val="4"/>
        <w:rPr>
          <w:bCs w:val="0"/>
          <w:szCs w:val="24"/>
        </w:rPr>
      </w:pPr>
      <w:r>
        <w:rPr>
          <w:bCs w:val="0"/>
          <w:szCs w:val="24"/>
        </w:rPr>
        <w:t>1</w:t>
      </w:r>
      <w:r>
        <w:rPr>
          <w:rFonts w:hint="eastAsia"/>
          <w:bCs w:val="0"/>
          <w:szCs w:val="24"/>
        </w:rPr>
        <w:t>）应收利息分类</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90"/>
        <w:gridCol w:w="3190"/>
        <w:gridCol w:w="3189"/>
      </w:tblGrid>
      <w:tr>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bl>
    <w:p>
      <w:pPr>
        <w:pStyle w:val="14"/>
        <w:outlineLvl w:val="4"/>
        <w:rPr>
          <w:bCs w:val="0"/>
          <w:szCs w:val="24"/>
        </w:rPr>
      </w:pPr>
      <w:r>
        <w:rPr>
          <w:bCs w:val="0"/>
          <w:szCs w:val="24"/>
        </w:rPr>
        <w:t>2</w:t>
      </w:r>
      <w:r>
        <w:rPr>
          <w:rFonts w:hint="eastAsia"/>
          <w:bCs w:val="0"/>
          <w:szCs w:val="24"/>
        </w:rPr>
        <w:t>）重要逾期利息</w:t>
      </w:r>
    </w:p>
    <w:tbl>
      <w:tblPr>
        <w:tblStyle w:val="9"/>
        <w:tblW w:w="0" w:type="auto"/>
        <w:tblInd w:w="28" w:type="dxa"/>
        <w:tblLayout w:type="fixed"/>
        <w:tblCellMar>
          <w:top w:w="0" w:type="dxa"/>
          <w:left w:w="28" w:type="dxa"/>
          <w:bottom w:w="0" w:type="dxa"/>
          <w:right w:w="28" w:type="dxa"/>
        </w:tblCellMar>
      </w:tblPr>
      <w:tblGrid>
        <w:gridCol w:w="1914"/>
        <w:gridCol w:w="1914"/>
        <w:gridCol w:w="1914"/>
        <w:gridCol w:w="1914"/>
        <w:gridCol w:w="1914"/>
      </w:tblGrid>
      <w:tr>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借款单位</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逾期时间</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逾期原因</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是否发生减值及其判断依据</w:t>
            </w:r>
          </w:p>
        </w:tc>
      </w:tr>
    </w:tbl>
    <w:p>
      <w:pPr>
        <w:pStyle w:val="14"/>
        <w:outlineLvl w:val="4"/>
        <w:rPr>
          <w:bCs w:val="0"/>
          <w:szCs w:val="24"/>
        </w:rPr>
      </w:pPr>
      <w:r>
        <w:rPr>
          <w:bCs w:val="0"/>
          <w:szCs w:val="24"/>
        </w:rPr>
        <w:t>3</w:t>
      </w:r>
      <w:r>
        <w:rPr>
          <w:rFonts w:hint="eastAsia"/>
          <w:bCs w:val="0"/>
          <w:szCs w:val="24"/>
        </w:rPr>
        <w:t>）坏账准备计提情况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3"/>
        <w:rPr>
          <w:bCs w:val="0"/>
          <w:szCs w:val="24"/>
        </w:rPr>
      </w:pPr>
      <w:r>
        <w:rPr>
          <w:rFonts w:hint="eastAsia"/>
          <w:bCs w:val="0"/>
          <w:szCs w:val="24"/>
        </w:rPr>
        <w:t>（</w:t>
      </w:r>
      <w:r>
        <w:rPr>
          <w:bCs w:val="0"/>
          <w:szCs w:val="24"/>
        </w:rPr>
        <w:t>2</w:t>
      </w:r>
      <w:r>
        <w:rPr>
          <w:rFonts w:hint="eastAsia"/>
          <w:bCs w:val="0"/>
          <w:szCs w:val="24"/>
        </w:rPr>
        <w:t>）应收股利</w:t>
      </w:r>
    </w:p>
    <w:p>
      <w:pPr>
        <w:pStyle w:val="14"/>
        <w:outlineLvl w:val="4"/>
        <w:rPr>
          <w:bCs w:val="0"/>
          <w:szCs w:val="24"/>
        </w:rPr>
      </w:pPr>
      <w:r>
        <w:rPr>
          <w:bCs w:val="0"/>
          <w:szCs w:val="24"/>
        </w:rPr>
        <w:t>1</w:t>
      </w:r>
      <w:r>
        <w:rPr>
          <w:rFonts w:hint="eastAsia"/>
          <w:bCs w:val="0"/>
          <w:szCs w:val="24"/>
        </w:rPr>
        <w:t>）应收股利分类</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90"/>
        <w:gridCol w:w="3190"/>
        <w:gridCol w:w="3189"/>
      </w:tblGrid>
      <w:tr>
        <w:tblPrEx>
          <w:tblCellMar>
            <w:top w:w="0" w:type="dxa"/>
            <w:left w:w="28" w:type="dxa"/>
            <w:bottom w:w="0" w:type="dxa"/>
            <w:right w:w="28" w:type="dxa"/>
          </w:tblCellMar>
        </w:tblPrEx>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r>
              <w:rPr>
                <w:szCs w:val="24"/>
              </w:rPr>
              <w:t>(</w:t>
            </w:r>
            <w:r>
              <w:rPr>
                <w:rFonts w:hint="eastAsia"/>
                <w:szCs w:val="24"/>
              </w:rPr>
              <w:t>或被投资单位</w:t>
            </w:r>
            <w:r>
              <w:rPr>
                <w:szCs w:val="24"/>
              </w:rPr>
              <w:t>)</w:t>
            </w:r>
          </w:p>
        </w:tc>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318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重庆和盛医疗器械有限公司</w:t>
            </w:r>
          </w:p>
        </w:tc>
        <w:tc>
          <w:tcPr>
            <w:tcW w:w="319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9,802,979.34</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3190"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0"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9,802,979.34</w:t>
            </w:r>
          </w:p>
        </w:tc>
        <w:tc>
          <w:tcPr>
            <w:tcW w:w="318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bl>
    <w:p>
      <w:pPr>
        <w:pStyle w:val="14"/>
        <w:outlineLvl w:val="4"/>
        <w:rPr>
          <w:bCs w:val="0"/>
          <w:szCs w:val="24"/>
        </w:rPr>
      </w:pPr>
      <w:r>
        <w:rPr>
          <w:bCs w:val="0"/>
          <w:szCs w:val="24"/>
        </w:rPr>
        <w:t>2</w:t>
      </w:r>
      <w:r>
        <w:rPr>
          <w:rFonts w:hint="eastAsia"/>
          <w:bCs w:val="0"/>
          <w:szCs w:val="24"/>
        </w:rPr>
        <w:t>）重要的账龄超过</w:t>
      </w:r>
      <w:r>
        <w:rPr>
          <w:bCs w:val="0"/>
          <w:szCs w:val="24"/>
        </w:rPr>
        <w:t>1</w:t>
      </w:r>
      <w:r>
        <w:rPr>
          <w:rFonts w:hint="eastAsia"/>
          <w:bCs w:val="0"/>
          <w:szCs w:val="24"/>
        </w:rPr>
        <w:t>年的应收股利</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4"/>
        <w:gridCol w:w="1914"/>
        <w:gridCol w:w="1914"/>
        <w:gridCol w:w="1914"/>
        <w:gridCol w:w="1914"/>
      </w:tblGrid>
      <w:tr>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r>
              <w:rPr>
                <w:szCs w:val="24"/>
              </w:rPr>
              <w:t>(</w:t>
            </w:r>
            <w:r>
              <w:rPr>
                <w:rFonts w:hint="eastAsia"/>
                <w:szCs w:val="24"/>
              </w:rPr>
              <w:t>或被投资单位</w:t>
            </w:r>
            <w:r>
              <w:rPr>
                <w:szCs w:val="24"/>
              </w:rPr>
              <w:t>)</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账龄</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未收回的原因</w:t>
            </w:r>
          </w:p>
        </w:tc>
        <w:tc>
          <w:tcPr>
            <w:tcW w:w="191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是否发生减值及其判断依据</w:t>
            </w:r>
          </w:p>
        </w:tc>
      </w:tr>
    </w:tbl>
    <w:p>
      <w:pPr>
        <w:pStyle w:val="14"/>
        <w:outlineLvl w:val="4"/>
        <w:rPr>
          <w:bCs w:val="0"/>
          <w:szCs w:val="24"/>
        </w:rPr>
      </w:pPr>
      <w:r>
        <w:rPr>
          <w:bCs w:val="0"/>
          <w:szCs w:val="24"/>
        </w:rPr>
        <w:t>3</w:t>
      </w:r>
      <w:r>
        <w:rPr>
          <w:rFonts w:hint="eastAsia"/>
          <w:bCs w:val="0"/>
          <w:szCs w:val="24"/>
        </w:rPr>
        <w:t>）坏账准备计提情况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3"/>
        <w:rPr>
          <w:bCs w:val="0"/>
          <w:szCs w:val="24"/>
        </w:rPr>
      </w:pPr>
      <w:r>
        <w:rPr>
          <w:rFonts w:hint="eastAsia"/>
          <w:bCs w:val="0"/>
          <w:szCs w:val="24"/>
        </w:rPr>
        <w:t>（</w:t>
      </w:r>
      <w:r>
        <w:rPr>
          <w:bCs w:val="0"/>
          <w:szCs w:val="24"/>
        </w:rPr>
        <w:t>3</w:t>
      </w:r>
      <w:r>
        <w:rPr>
          <w:rFonts w:hint="eastAsia"/>
          <w:bCs w:val="0"/>
          <w:szCs w:val="24"/>
        </w:rPr>
        <w:t>）其他应收款</w:t>
      </w:r>
    </w:p>
    <w:p>
      <w:pPr>
        <w:pStyle w:val="14"/>
        <w:outlineLvl w:val="4"/>
        <w:rPr>
          <w:bCs w:val="0"/>
          <w:szCs w:val="24"/>
        </w:rPr>
      </w:pPr>
      <w:r>
        <w:rPr>
          <w:bCs w:val="0"/>
          <w:szCs w:val="24"/>
        </w:rPr>
        <w:t>1</w:t>
      </w:r>
      <w:r>
        <w:rPr>
          <w:rFonts w:hint="eastAsia"/>
          <w:bCs w:val="0"/>
          <w:szCs w:val="24"/>
        </w:rPr>
        <w:t>）其他应收款按款项性质分类情况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1"/>
        <w:gridCol w:w="3191"/>
      </w:tblGrid>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款项性质</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期末账面余额</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期初账面余额</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暂付款</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419,798,366.49</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354,818,161.50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股权转让款</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67,880,000.00</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39,700,000.00</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押金保证金</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14,716,929.88</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20,376,733.56</w:t>
            </w:r>
          </w:p>
        </w:tc>
      </w:tr>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备用金</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629,329.46</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1,634,454.18</w:t>
            </w:r>
          </w:p>
        </w:tc>
      </w:tr>
      <w:tr>
        <w:tc>
          <w:tcPr>
            <w:tcW w:w="318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其他</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1,190,196.61</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1,740,040.62</w:t>
            </w:r>
          </w:p>
        </w:tc>
      </w:tr>
      <w:tr>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504,214,822.44</w:t>
            </w:r>
          </w:p>
        </w:tc>
        <w:tc>
          <w:tcPr>
            <w:tcW w:w="3191"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418,269,389.86</w:t>
            </w:r>
          </w:p>
        </w:tc>
      </w:tr>
    </w:tbl>
    <w:p>
      <w:pPr>
        <w:pStyle w:val="14"/>
        <w:outlineLvl w:val="4"/>
        <w:rPr>
          <w:bCs w:val="0"/>
          <w:szCs w:val="24"/>
        </w:rPr>
      </w:pPr>
      <w:r>
        <w:rPr>
          <w:bCs w:val="0"/>
          <w:szCs w:val="24"/>
        </w:rPr>
        <w:t>2</w:t>
      </w:r>
      <w:r>
        <w:rPr>
          <w:rFonts w:hint="eastAsia"/>
          <w:bCs w:val="0"/>
          <w:szCs w:val="24"/>
        </w:rPr>
        <w:t>）坏账准备计提情况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16"/>
        <w:gridCol w:w="1650"/>
        <w:gridCol w:w="2099"/>
        <w:gridCol w:w="2099"/>
        <w:gridCol w:w="1804"/>
      </w:tblGrid>
      <w:tr>
        <w:tc>
          <w:tcPr>
            <w:tcW w:w="191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w:t>
            </w:r>
          </w:p>
        </w:tc>
        <w:tc>
          <w:tcPr>
            <w:tcW w:w="16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第一阶段</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第二阶段</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第三阶段</w:t>
            </w:r>
          </w:p>
        </w:tc>
        <w:tc>
          <w:tcPr>
            <w:tcW w:w="180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合计</w:t>
            </w:r>
          </w:p>
        </w:tc>
      </w:tr>
      <w:tr>
        <w:tc>
          <w:tcPr>
            <w:tcW w:w="191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6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未来</w:t>
            </w:r>
            <w:r>
              <w:rPr>
                <w:szCs w:val="24"/>
              </w:rPr>
              <w:t>12</w:t>
            </w:r>
            <w:r>
              <w:rPr>
                <w:rFonts w:hint="eastAsia"/>
                <w:szCs w:val="24"/>
              </w:rPr>
              <w:t>个月预期信用损失</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整个存续期预期信用损失</w:t>
            </w:r>
            <w:r>
              <w:rPr>
                <w:szCs w:val="24"/>
              </w:rPr>
              <w:t>(</w:t>
            </w:r>
            <w:r>
              <w:rPr>
                <w:rFonts w:hint="eastAsia"/>
                <w:szCs w:val="24"/>
              </w:rPr>
              <w:t>未发生信用减值</w:t>
            </w:r>
            <w:r>
              <w:rPr>
                <w:szCs w:val="24"/>
              </w:rPr>
              <w:t>)</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整个存续期预期信用损失</w:t>
            </w:r>
            <w:r>
              <w:rPr>
                <w:szCs w:val="24"/>
              </w:rPr>
              <w:t>(</w:t>
            </w:r>
            <w:r>
              <w:rPr>
                <w:rFonts w:hint="eastAsia"/>
                <w:szCs w:val="24"/>
              </w:rPr>
              <w:t>已发生信用减值</w:t>
            </w:r>
            <w:r>
              <w:rPr>
                <w:szCs w:val="24"/>
              </w:rPr>
              <w:t>)</w:t>
            </w:r>
          </w:p>
        </w:tc>
        <w:tc>
          <w:tcPr>
            <w:tcW w:w="1804"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2019</w:t>
            </w:r>
            <w:r>
              <w:rPr>
                <w:rFonts w:hint="eastAsia"/>
                <w:szCs w:val="24"/>
              </w:rPr>
              <w:t>年</w:t>
            </w:r>
            <w:r>
              <w:rPr>
                <w:szCs w:val="24"/>
              </w:rPr>
              <w:t>1</w:t>
            </w:r>
            <w:r>
              <w:rPr>
                <w:rFonts w:hint="eastAsia"/>
                <w:szCs w:val="24"/>
              </w:rPr>
              <w:t>月</w:t>
            </w:r>
            <w:r>
              <w:rPr>
                <w:szCs w:val="24"/>
              </w:rPr>
              <w:t>1</w:t>
            </w:r>
            <w:r>
              <w:rPr>
                <w:rFonts w:hint="eastAsia"/>
                <w:szCs w:val="24"/>
              </w:rPr>
              <w:t>日余额</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34,268,757.64</w:t>
            </w: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11,910,000.00</w:t>
            </w:r>
          </w:p>
        </w:tc>
        <w:tc>
          <w:tcPr>
            <w:tcW w:w="18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46,178,757.64</w:t>
            </w:r>
          </w:p>
        </w:tc>
      </w:tr>
      <w:tr>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2019</w:t>
            </w:r>
            <w:r>
              <w:rPr>
                <w:rFonts w:hint="eastAsia"/>
                <w:szCs w:val="24"/>
              </w:rPr>
              <w:t>年</w:t>
            </w:r>
            <w:r>
              <w:rPr>
                <w:szCs w:val="24"/>
              </w:rPr>
              <w:t>1</w:t>
            </w:r>
            <w:r>
              <w:rPr>
                <w:rFonts w:hint="eastAsia"/>
                <w:szCs w:val="24"/>
              </w:rPr>
              <w:t>月</w:t>
            </w:r>
            <w:r>
              <w:rPr>
                <w:szCs w:val="24"/>
              </w:rPr>
              <w:t>1</w:t>
            </w:r>
            <w:r>
              <w:rPr>
                <w:rFonts w:hint="eastAsia"/>
                <w:szCs w:val="24"/>
              </w:rPr>
              <w:t>日余额在本期</w:t>
            </w:r>
          </w:p>
        </w:tc>
        <w:tc>
          <w:tcPr>
            <w:tcW w:w="165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209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80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r>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本期计提</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29,430,464.57</w:t>
            </w: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 xml:space="preserve">25,012,718.43 </w:t>
            </w:r>
          </w:p>
        </w:tc>
        <w:tc>
          <w:tcPr>
            <w:tcW w:w="18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 xml:space="preserve"> 54,443,183.00  </w:t>
            </w:r>
          </w:p>
        </w:tc>
      </w:tr>
      <w:tr>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本期转销</w:t>
            </w:r>
          </w:p>
        </w:tc>
        <w:tc>
          <w:tcPr>
            <w:tcW w:w="1650"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313,996.70</w:t>
            </w: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8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313,996.70</w:t>
            </w:r>
          </w:p>
        </w:tc>
      </w:tr>
      <w:tr>
        <w:tc>
          <w:tcPr>
            <w:tcW w:w="191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2019</w:t>
            </w:r>
            <w:r>
              <w:rPr>
                <w:rFonts w:hint="eastAsia"/>
                <w:szCs w:val="24"/>
              </w:rPr>
              <w:t>年</w:t>
            </w:r>
            <w:r>
              <w:rPr>
                <w:szCs w:val="24"/>
              </w:rPr>
              <w:t>12</w:t>
            </w:r>
            <w:r>
              <w:rPr>
                <w:rFonts w:hint="eastAsia"/>
                <w:szCs w:val="24"/>
              </w:rPr>
              <w:t>月</w:t>
            </w:r>
            <w:r>
              <w:rPr>
                <w:szCs w:val="24"/>
              </w:rPr>
              <w:t>31</w:t>
            </w:r>
            <w:r>
              <w:rPr>
                <w:rFonts w:hint="eastAsia"/>
                <w:szCs w:val="24"/>
              </w:rPr>
              <w:t>日余额</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63,385,225.51</w:t>
            </w: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209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36,922,718.43</w:t>
            </w:r>
          </w:p>
        </w:tc>
        <w:tc>
          <w:tcPr>
            <w:tcW w:w="180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100,307,943.94</w:t>
            </w:r>
          </w:p>
        </w:tc>
      </w:tr>
    </w:tbl>
    <w:p>
      <w:pPr>
        <w:jc w:val="left"/>
        <w:rPr>
          <w:szCs w:val="24"/>
        </w:rPr>
      </w:pPr>
      <w:r>
        <w:rPr>
          <w:rFonts w:hint="eastAsia"/>
          <w:szCs w:val="24"/>
        </w:rPr>
        <w:t>损失准备本期变动金额重大的账面余额变动情况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left"/>
        <w:rPr>
          <w:szCs w:val="24"/>
        </w:rPr>
      </w:pPr>
      <w:r>
        <w:rPr>
          <w:rFonts w:hint="eastAsia"/>
          <w:szCs w:val="24"/>
        </w:rPr>
        <w:t>按账龄披露</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84"/>
        <w:gridCol w:w="4784"/>
      </w:tblGrid>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账龄</w:t>
            </w:r>
          </w:p>
        </w:tc>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年以内（含</w:t>
            </w:r>
            <w:r>
              <w:rPr>
                <w:szCs w:val="24"/>
              </w:rPr>
              <w:t>1</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256,737,141.91</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1</w:t>
            </w:r>
            <w:r>
              <w:rPr>
                <w:rFonts w:hint="eastAsia"/>
                <w:szCs w:val="24"/>
              </w:rPr>
              <w:t>至</w:t>
            </w:r>
            <w:r>
              <w:rPr>
                <w:szCs w:val="24"/>
              </w:rPr>
              <w:t>2</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78,202,130.81</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2</w:t>
            </w:r>
            <w:r>
              <w:rPr>
                <w:rFonts w:hint="eastAsia"/>
                <w:szCs w:val="24"/>
              </w:rPr>
              <w:t>至</w:t>
            </w:r>
            <w:r>
              <w:rPr>
                <w:szCs w:val="24"/>
              </w:rPr>
              <w:t>3</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74,789,593.49</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szCs w:val="24"/>
              </w:rPr>
              <w:t>3</w:t>
            </w:r>
            <w:r>
              <w:rPr>
                <w:rFonts w:hint="eastAsia"/>
                <w:szCs w:val="24"/>
              </w:rPr>
              <w:t>年以上</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94,485,956.23</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w:t>
            </w:r>
            <w:r>
              <w:rPr>
                <w:szCs w:val="24"/>
              </w:rPr>
              <w:t>3</w:t>
            </w:r>
            <w:r>
              <w:rPr>
                <w:rFonts w:hint="eastAsia"/>
                <w:szCs w:val="24"/>
              </w:rPr>
              <w:t>至</w:t>
            </w:r>
            <w:r>
              <w:rPr>
                <w:szCs w:val="24"/>
              </w:rPr>
              <w:t>4</w:t>
            </w:r>
            <w:r>
              <w:rPr>
                <w:rFonts w:hint="eastAsia"/>
                <w:szCs w:val="24"/>
              </w:rPr>
              <w:t>年</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94,485,956.23</w:t>
            </w:r>
          </w:p>
        </w:tc>
      </w:tr>
      <w:tr>
        <w:tc>
          <w:tcPr>
            <w:tcW w:w="47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504,214,822.44</w:t>
            </w:r>
          </w:p>
        </w:tc>
      </w:tr>
    </w:tbl>
    <w:p>
      <w:pPr>
        <w:pStyle w:val="14"/>
        <w:outlineLvl w:val="4"/>
        <w:rPr>
          <w:bCs w:val="0"/>
          <w:szCs w:val="24"/>
        </w:rPr>
      </w:pPr>
      <w:r>
        <w:rPr>
          <w:bCs w:val="0"/>
          <w:szCs w:val="24"/>
        </w:rPr>
        <w:t>3</w:t>
      </w:r>
      <w:r>
        <w:rPr>
          <w:rFonts w:hint="eastAsia"/>
          <w:bCs w:val="0"/>
          <w:szCs w:val="24"/>
        </w:rPr>
        <w:t>）本期计提、收回或转回的坏账准备情况</w:t>
      </w:r>
    </w:p>
    <w:p>
      <w:pPr>
        <w:jc w:val="left"/>
        <w:rPr>
          <w:szCs w:val="24"/>
        </w:rPr>
      </w:pPr>
      <w:r>
        <w:rPr>
          <w:rFonts w:hint="eastAsia"/>
          <w:szCs w:val="24"/>
        </w:rPr>
        <w:t>本期计提坏账准备情况：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580"/>
        <w:gridCol w:w="1087"/>
        <w:gridCol w:w="1332"/>
        <w:gridCol w:w="1452"/>
        <w:gridCol w:w="1198"/>
        <w:gridCol w:w="1345"/>
        <w:gridCol w:w="1575"/>
      </w:tblGrid>
      <w:tr>
        <w:tc>
          <w:tcPr>
            <w:tcW w:w="1580"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类别</w:t>
            </w:r>
          </w:p>
        </w:tc>
        <w:tc>
          <w:tcPr>
            <w:tcW w:w="108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c>
          <w:tcPr>
            <w:tcW w:w="5327"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本期变动金额</w:t>
            </w:r>
          </w:p>
        </w:tc>
        <w:tc>
          <w:tcPr>
            <w:tcW w:w="1575"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r>
      <w:tr>
        <w:tc>
          <w:tcPr>
            <w:tcW w:w="1580"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08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3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w:t>
            </w:r>
          </w:p>
        </w:tc>
        <w:tc>
          <w:tcPr>
            <w:tcW w:w="145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收回或转回</w:t>
            </w:r>
          </w:p>
        </w:tc>
        <w:tc>
          <w:tcPr>
            <w:tcW w:w="11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w:t>
            </w:r>
          </w:p>
        </w:tc>
        <w:tc>
          <w:tcPr>
            <w:tcW w:w="134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1575"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c>
          <w:tcPr>
            <w:tcW w:w="1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按单项计提坏账准备</w:t>
            </w:r>
          </w:p>
        </w:tc>
        <w:tc>
          <w:tcPr>
            <w:tcW w:w="108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11,910,000.00</w:t>
            </w:r>
          </w:p>
        </w:tc>
        <w:tc>
          <w:tcPr>
            <w:tcW w:w="133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11,910,000.00</w:t>
            </w:r>
          </w:p>
        </w:tc>
        <w:tc>
          <w:tcPr>
            <w:tcW w:w="14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25,012,718.43</w:t>
            </w:r>
          </w:p>
        </w:tc>
        <w:tc>
          <w:tcPr>
            <w:tcW w:w="11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4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57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36,922,718.43</w:t>
            </w:r>
          </w:p>
        </w:tc>
      </w:tr>
      <w:tr>
        <w:tc>
          <w:tcPr>
            <w:tcW w:w="15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按组合计提坏账准备</w:t>
            </w:r>
          </w:p>
        </w:tc>
        <w:tc>
          <w:tcPr>
            <w:tcW w:w="1087"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34,268,757.64</w:t>
            </w:r>
          </w:p>
        </w:tc>
        <w:tc>
          <w:tcPr>
            <w:tcW w:w="133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34,268,757.64</w:t>
            </w:r>
          </w:p>
        </w:tc>
        <w:tc>
          <w:tcPr>
            <w:tcW w:w="145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29,430,464.57</w:t>
            </w:r>
          </w:p>
        </w:tc>
        <w:tc>
          <w:tcPr>
            <w:tcW w:w="1198"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p>
        </w:tc>
        <w:tc>
          <w:tcPr>
            <w:tcW w:w="1345"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313,996.70</w:t>
            </w:r>
          </w:p>
        </w:tc>
        <w:tc>
          <w:tcPr>
            <w:tcW w:w="1575"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63,385,225.51</w:t>
            </w:r>
          </w:p>
        </w:tc>
      </w:tr>
      <w:tr>
        <w:tc>
          <w:tcPr>
            <w:tcW w:w="15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合计</w:t>
            </w:r>
          </w:p>
        </w:tc>
        <w:tc>
          <w:tcPr>
            <w:tcW w:w="1087"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46,178,757.64</w:t>
            </w:r>
          </w:p>
        </w:tc>
        <w:tc>
          <w:tcPr>
            <w:tcW w:w="133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46,178,757.64</w:t>
            </w:r>
          </w:p>
        </w:tc>
        <w:tc>
          <w:tcPr>
            <w:tcW w:w="1452"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fldChar w:fldCharType="begin"/>
            </w:r>
            <w:r>
              <w:instrText xml:space="preserve"> =SUM(ABOVE) \# "#,##0.00" </w:instrText>
            </w:r>
            <w:r>
              <w:fldChar w:fldCharType="separate"/>
            </w:r>
            <w:r>
              <w:t>54,443,183.00</w:t>
            </w:r>
            <w:r>
              <w:fldChar w:fldCharType="end"/>
            </w:r>
          </w:p>
        </w:tc>
        <w:tc>
          <w:tcPr>
            <w:tcW w:w="1198"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p>
        </w:tc>
        <w:tc>
          <w:tcPr>
            <w:tcW w:w="1345"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313,996.70</w:t>
            </w:r>
          </w:p>
        </w:tc>
        <w:tc>
          <w:tcPr>
            <w:tcW w:w="1575" w:type="dxa"/>
            <w:tcBorders>
              <w:top w:val="single" w:color="auto" w:sz="4" w:space="0"/>
              <w:left w:val="single" w:color="auto" w:sz="4" w:space="0"/>
              <w:bottom w:val="single" w:color="auto" w:sz="4" w:space="0"/>
              <w:right w:val="single" w:color="auto" w:sz="4" w:space="0"/>
            </w:tcBorders>
            <w:shd w:val="clear" w:color="auto" w:fill="FFFFFF"/>
          </w:tcPr>
          <w:p>
            <w:pPr>
              <w:jc w:val="right"/>
              <w:rPr>
                <w:szCs w:val="24"/>
              </w:rPr>
            </w:pPr>
            <w:r>
              <w:t>100,307,943.94</w:t>
            </w:r>
          </w:p>
        </w:tc>
      </w:tr>
    </w:tbl>
    <w:p>
      <w:pPr>
        <w:jc w:val="left"/>
        <w:rPr>
          <w:szCs w:val="24"/>
        </w:rPr>
      </w:pPr>
      <w:r>
        <w:rPr>
          <w:rFonts w:hint="eastAsia"/>
          <w:szCs w:val="24"/>
        </w:rPr>
        <w:t>其中本期坏账准备转回或收回金额重要的：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187"/>
        <w:gridCol w:w="3191"/>
        <w:gridCol w:w="3191"/>
      </w:tblGrid>
      <w:tr>
        <w:tblPrEx>
          <w:tblCellMar>
            <w:top w:w="0" w:type="dxa"/>
            <w:left w:w="28" w:type="dxa"/>
            <w:bottom w:w="0" w:type="dxa"/>
            <w:right w:w="28" w:type="dxa"/>
          </w:tblCellMar>
        </w:tblPrEx>
        <w:tc>
          <w:tcPr>
            <w:tcW w:w="318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单位名称</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转回或收回金额</w:t>
            </w:r>
          </w:p>
        </w:tc>
        <w:tc>
          <w:tcPr>
            <w:tcW w:w="319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收回方式</w:t>
            </w:r>
          </w:p>
        </w:tc>
      </w:tr>
    </w:tbl>
    <w:p>
      <w:pPr>
        <w:pStyle w:val="14"/>
        <w:outlineLvl w:val="4"/>
        <w:rPr>
          <w:bCs w:val="0"/>
          <w:szCs w:val="24"/>
        </w:rPr>
      </w:pPr>
      <w:r>
        <w:rPr>
          <w:bCs w:val="0"/>
          <w:szCs w:val="24"/>
        </w:rPr>
        <w:t>4</w:t>
      </w:r>
      <w:r>
        <w:rPr>
          <w:rFonts w:hint="eastAsia"/>
          <w:bCs w:val="0"/>
          <w:szCs w:val="24"/>
        </w:rPr>
        <w:t>）本期实际核销的其他应收款情况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4780"/>
        <w:gridCol w:w="4788"/>
      </w:tblGrid>
      <w:tr>
        <w:tblPrEx>
          <w:tblCellMar>
            <w:top w:w="0" w:type="dxa"/>
            <w:left w:w="28" w:type="dxa"/>
            <w:bottom w:w="0" w:type="dxa"/>
            <w:right w:w="28" w:type="dxa"/>
          </w:tblCellMar>
        </w:tblPrEx>
        <w:tc>
          <w:tcPr>
            <w:tcW w:w="4780"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478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核销金额</w:t>
            </w:r>
          </w:p>
        </w:tc>
      </w:tr>
      <w:tr>
        <w:tblPrEx>
          <w:tblCellMar>
            <w:top w:w="0" w:type="dxa"/>
            <w:left w:w="28" w:type="dxa"/>
            <w:bottom w:w="0" w:type="dxa"/>
            <w:right w:w="28" w:type="dxa"/>
          </w:tblCellMar>
        </w:tblPrEx>
        <w:tc>
          <w:tcPr>
            <w:tcW w:w="47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实际核销的其他应收款项</w:t>
            </w:r>
          </w:p>
        </w:tc>
        <w:tc>
          <w:tcPr>
            <w:tcW w:w="478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313,996.70</w:t>
            </w:r>
          </w:p>
        </w:tc>
      </w:tr>
    </w:tbl>
    <w:p>
      <w:pPr>
        <w:jc w:val="left"/>
        <w:rPr>
          <w:szCs w:val="24"/>
        </w:rPr>
      </w:pPr>
      <w:r>
        <w:rPr>
          <w:rFonts w:hint="eastAsia"/>
          <w:szCs w:val="24"/>
        </w:rPr>
        <w:t>其中重要的其他应收款核销情况：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684"/>
        <w:gridCol w:w="1551"/>
        <w:gridCol w:w="1552"/>
        <w:gridCol w:w="1552"/>
        <w:gridCol w:w="1615"/>
        <w:gridCol w:w="1615"/>
      </w:tblGrid>
      <w:tr>
        <w:tc>
          <w:tcPr>
            <w:tcW w:w="16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单位名称</w:t>
            </w:r>
          </w:p>
        </w:tc>
        <w:tc>
          <w:tcPr>
            <w:tcW w:w="155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其他应收款性质</w:t>
            </w:r>
          </w:p>
        </w:tc>
        <w:tc>
          <w:tcPr>
            <w:tcW w:w="155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核销金额</w:t>
            </w:r>
          </w:p>
        </w:tc>
        <w:tc>
          <w:tcPr>
            <w:tcW w:w="155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核销原因</w:t>
            </w:r>
          </w:p>
        </w:tc>
        <w:tc>
          <w:tcPr>
            <w:tcW w:w="16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履行的核销程序</w:t>
            </w:r>
          </w:p>
        </w:tc>
        <w:tc>
          <w:tcPr>
            <w:tcW w:w="16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款项是否由关联交易产生</w:t>
            </w:r>
          </w:p>
        </w:tc>
      </w:tr>
    </w:tbl>
    <w:p>
      <w:pPr>
        <w:jc w:val="left"/>
        <w:rPr>
          <w:szCs w:val="24"/>
        </w:rPr>
      </w:pPr>
      <w:r>
        <w:rPr>
          <w:rFonts w:hint="eastAsia"/>
          <w:szCs w:val="24"/>
        </w:rPr>
        <w:t>其他应收款核销说明：</w:t>
      </w:r>
    </w:p>
    <w:p>
      <w:pPr>
        <w:pStyle w:val="14"/>
        <w:outlineLvl w:val="4"/>
        <w:rPr>
          <w:bCs w:val="0"/>
          <w:szCs w:val="24"/>
        </w:rPr>
      </w:pPr>
      <w:r>
        <w:rPr>
          <w:bCs w:val="0"/>
          <w:szCs w:val="24"/>
        </w:rPr>
        <w:t>5</w:t>
      </w:r>
      <w:r>
        <w:rPr>
          <w:rFonts w:hint="eastAsia"/>
          <w:bCs w:val="0"/>
          <w:szCs w:val="24"/>
        </w:rPr>
        <w:t>）按欠款方归集的期末余额前五名的其他应收款情况</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684"/>
        <w:gridCol w:w="1551"/>
        <w:gridCol w:w="1552"/>
        <w:gridCol w:w="1552"/>
        <w:gridCol w:w="1615"/>
        <w:gridCol w:w="1615"/>
      </w:tblGrid>
      <w:tr>
        <w:tblPrEx>
          <w:tblCellMar>
            <w:top w:w="0" w:type="dxa"/>
            <w:left w:w="28" w:type="dxa"/>
            <w:bottom w:w="0" w:type="dxa"/>
            <w:right w:w="28" w:type="dxa"/>
          </w:tblCellMar>
        </w:tblPrEx>
        <w:tc>
          <w:tcPr>
            <w:tcW w:w="168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单位名称</w:t>
            </w:r>
          </w:p>
        </w:tc>
        <w:tc>
          <w:tcPr>
            <w:tcW w:w="155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款项的性质</w:t>
            </w:r>
          </w:p>
        </w:tc>
        <w:tc>
          <w:tcPr>
            <w:tcW w:w="155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155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账龄</w:t>
            </w:r>
          </w:p>
        </w:tc>
        <w:tc>
          <w:tcPr>
            <w:tcW w:w="16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占其他应收款期末余额合计数的比例</w:t>
            </w:r>
          </w:p>
        </w:tc>
        <w:tc>
          <w:tcPr>
            <w:tcW w:w="161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坏账准备期末余额</w:t>
            </w:r>
          </w:p>
        </w:tc>
      </w:tr>
      <w:tr>
        <w:tblPrEx>
          <w:tblCellMar>
            <w:top w:w="0" w:type="dxa"/>
            <w:left w:w="28" w:type="dxa"/>
            <w:bottom w:w="0" w:type="dxa"/>
            <w:right w:w="28" w:type="dxa"/>
          </w:tblCellMar>
        </w:tblPrEx>
        <w:tc>
          <w:tcPr>
            <w:tcW w:w="1684"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宁波美康盛达生物科技有限公司</w:t>
            </w:r>
          </w:p>
        </w:tc>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t>暂付款</w:t>
            </w:r>
          </w:p>
        </w:tc>
        <w:tc>
          <w:tcPr>
            <w:tcW w:w="15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 xml:space="preserve">177,674,294.03  </w:t>
            </w:r>
          </w:p>
        </w:tc>
        <w:tc>
          <w:tcPr>
            <w:tcW w:w="155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t>1年以内</w:t>
            </w:r>
          </w:p>
        </w:tc>
        <w:tc>
          <w:tcPr>
            <w:tcW w:w="1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rFonts w:hint="eastAsia"/>
              </w:rPr>
              <w:t>35.24</w:t>
            </w:r>
          </w:p>
        </w:tc>
        <w:tc>
          <w:tcPr>
            <w:tcW w:w="1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8,883,714.70</w:t>
            </w:r>
          </w:p>
        </w:tc>
      </w:tr>
      <w:tr>
        <w:tblPrEx>
          <w:tblCellMar>
            <w:top w:w="0" w:type="dxa"/>
            <w:left w:w="28" w:type="dxa"/>
            <w:bottom w:w="0" w:type="dxa"/>
            <w:right w:w="28" w:type="dxa"/>
          </w:tblCellMar>
        </w:tblPrEx>
        <w:tc>
          <w:tcPr>
            <w:tcW w:w="1684"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武汉美康盛德科技有限公司</w:t>
            </w:r>
          </w:p>
        </w:tc>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t>暂付款</w:t>
            </w:r>
          </w:p>
        </w:tc>
        <w:tc>
          <w:tcPr>
            <w:tcW w:w="15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 xml:space="preserve">80,000,000.00  </w:t>
            </w:r>
          </w:p>
        </w:tc>
        <w:tc>
          <w:tcPr>
            <w:tcW w:w="155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t>4年以内</w:t>
            </w:r>
          </w:p>
        </w:tc>
        <w:tc>
          <w:tcPr>
            <w:tcW w:w="1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rFonts w:hint="eastAsia"/>
              </w:rPr>
              <w:t>15.87</w:t>
            </w:r>
          </w:p>
        </w:tc>
        <w:tc>
          <w:tcPr>
            <w:tcW w:w="1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19,284,316.74</w:t>
            </w:r>
          </w:p>
        </w:tc>
      </w:tr>
      <w:tr>
        <w:tblPrEx>
          <w:tblCellMar>
            <w:top w:w="0" w:type="dxa"/>
            <w:left w:w="28" w:type="dxa"/>
            <w:bottom w:w="0" w:type="dxa"/>
            <w:right w:w="28" w:type="dxa"/>
          </w:tblCellMar>
        </w:tblPrEx>
        <w:tc>
          <w:tcPr>
            <w:tcW w:w="1684"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嘉祥共创（厦门）生物科技有限公司</w:t>
            </w:r>
          </w:p>
        </w:tc>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t>股权转让款</w:t>
            </w:r>
          </w:p>
        </w:tc>
        <w:tc>
          <w:tcPr>
            <w:tcW w:w="15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 xml:space="preserve">38,700,000.00  </w:t>
            </w:r>
          </w:p>
        </w:tc>
        <w:tc>
          <w:tcPr>
            <w:tcW w:w="155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t>3-4年</w:t>
            </w:r>
          </w:p>
        </w:tc>
        <w:tc>
          <w:tcPr>
            <w:tcW w:w="1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rFonts w:hint="eastAsia"/>
              </w:rPr>
              <w:t>7.68</w:t>
            </w:r>
          </w:p>
        </w:tc>
        <w:tc>
          <w:tcPr>
            <w:tcW w:w="1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35,695,303.43</w:t>
            </w:r>
          </w:p>
        </w:tc>
      </w:tr>
      <w:tr>
        <w:tblPrEx>
          <w:tblCellMar>
            <w:top w:w="0" w:type="dxa"/>
            <w:left w:w="28" w:type="dxa"/>
            <w:bottom w:w="0" w:type="dxa"/>
            <w:right w:w="28" w:type="dxa"/>
          </w:tblCellMar>
        </w:tblPrEx>
        <w:tc>
          <w:tcPr>
            <w:tcW w:w="1684"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t>SD Medical System.Jnc</w:t>
            </w:r>
          </w:p>
        </w:tc>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t>暂付款</w:t>
            </w:r>
          </w:p>
        </w:tc>
        <w:tc>
          <w:tcPr>
            <w:tcW w:w="15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 xml:space="preserve">34,501,083.12  </w:t>
            </w:r>
          </w:p>
        </w:tc>
        <w:tc>
          <w:tcPr>
            <w:tcW w:w="155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t>3-4</w:t>
            </w:r>
            <w:r>
              <w:rPr>
                <w:rFonts w:hint="eastAsia"/>
              </w:rPr>
              <w:t>年</w:t>
            </w:r>
          </w:p>
        </w:tc>
        <w:tc>
          <w:tcPr>
            <w:tcW w:w="1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rFonts w:hint="eastAsia"/>
              </w:rPr>
              <w:t>6.84</w:t>
            </w:r>
          </w:p>
        </w:tc>
        <w:tc>
          <w:tcPr>
            <w:tcW w:w="1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17,250,541.56</w:t>
            </w:r>
          </w:p>
        </w:tc>
      </w:tr>
      <w:tr>
        <w:tblPrEx>
          <w:tblCellMar>
            <w:top w:w="0" w:type="dxa"/>
            <w:left w:w="28" w:type="dxa"/>
            <w:bottom w:w="0" w:type="dxa"/>
            <w:right w:w="28" w:type="dxa"/>
          </w:tblCellMar>
        </w:tblPrEx>
        <w:tc>
          <w:tcPr>
            <w:tcW w:w="1684" w:type="dxa"/>
            <w:tcBorders>
              <w:top w:val="single" w:color="auto" w:sz="4" w:space="0"/>
              <w:left w:val="single" w:color="auto" w:sz="4" w:space="0"/>
              <w:bottom w:val="single" w:color="auto" w:sz="4" w:space="0"/>
              <w:right w:val="single" w:color="auto" w:sz="4" w:space="0"/>
            </w:tcBorders>
            <w:shd w:val="clear" w:color="auto" w:fill="FFFFFF"/>
          </w:tcPr>
          <w:p>
            <w:pPr>
              <w:jc w:val="left"/>
              <w:rPr>
                <w:szCs w:val="24"/>
              </w:rPr>
            </w:pPr>
            <w:r>
              <w:rPr>
                <w:rFonts w:hint="eastAsia"/>
              </w:rPr>
              <w:t>内蒙古盛德医疗器械有限公司</w:t>
            </w:r>
          </w:p>
        </w:tc>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t>暂付款</w:t>
            </w:r>
          </w:p>
        </w:tc>
        <w:tc>
          <w:tcPr>
            <w:tcW w:w="15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 xml:space="preserve">29,500,000.00  </w:t>
            </w:r>
          </w:p>
        </w:tc>
        <w:tc>
          <w:tcPr>
            <w:tcW w:w="155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t>2年以内</w:t>
            </w:r>
          </w:p>
        </w:tc>
        <w:tc>
          <w:tcPr>
            <w:tcW w:w="1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rFonts w:hint="eastAsia"/>
              </w:rPr>
              <w:t>5.85</w:t>
            </w:r>
          </w:p>
        </w:tc>
        <w:tc>
          <w:tcPr>
            <w:tcW w:w="1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t>2,860,000.00</w:t>
            </w:r>
          </w:p>
        </w:tc>
      </w:tr>
      <w:tr>
        <w:tblPrEx>
          <w:tblCellMar>
            <w:top w:w="0" w:type="dxa"/>
            <w:left w:w="28" w:type="dxa"/>
            <w:bottom w:w="0" w:type="dxa"/>
            <w:right w:w="28" w:type="dxa"/>
          </w:tblCellMar>
        </w:tblPrEx>
        <w:tc>
          <w:tcPr>
            <w:tcW w:w="168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551"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5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360,375,377.15</w:t>
            </w:r>
          </w:p>
        </w:tc>
        <w:tc>
          <w:tcPr>
            <w:tcW w:w="1552"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c>
          <w:tcPr>
            <w:tcW w:w="1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71.48%</w:t>
            </w:r>
          </w:p>
        </w:tc>
        <w:tc>
          <w:tcPr>
            <w:tcW w:w="1615"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fldChar w:fldCharType="begin"/>
            </w:r>
            <w:r>
              <w:instrText xml:space="preserve"> =sum(above) \# "#,##0.00" </w:instrText>
            </w:r>
            <w:r>
              <w:fldChar w:fldCharType="separate"/>
            </w:r>
            <w:r>
              <w:t>83,973,876.43</w:t>
            </w:r>
            <w:r>
              <w:fldChar w:fldCharType="end"/>
            </w:r>
          </w:p>
        </w:tc>
      </w:tr>
    </w:tbl>
    <w:p>
      <w:pPr>
        <w:pStyle w:val="14"/>
        <w:outlineLvl w:val="4"/>
        <w:rPr>
          <w:bCs w:val="0"/>
          <w:szCs w:val="24"/>
        </w:rPr>
      </w:pPr>
      <w:r>
        <w:rPr>
          <w:bCs w:val="0"/>
          <w:szCs w:val="24"/>
        </w:rPr>
        <w:t>6</w:t>
      </w:r>
      <w:r>
        <w:rPr>
          <w:rFonts w:hint="eastAsia"/>
          <w:bCs w:val="0"/>
          <w:szCs w:val="24"/>
        </w:rPr>
        <w:t>）涉及政府补助的应收款项</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2025"/>
        <w:gridCol w:w="1866"/>
        <w:gridCol w:w="1867"/>
        <w:gridCol w:w="1867"/>
        <w:gridCol w:w="1944"/>
      </w:tblGrid>
      <w:tr>
        <w:tblPrEx>
          <w:tblCellMar>
            <w:top w:w="0" w:type="dxa"/>
            <w:left w:w="28" w:type="dxa"/>
            <w:bottom w:w="0" w:type="dxa"/>
            <w:right w:w="28" w:type="dxa"/>
          </w:tblCellMar>
        </w:tblPrEx>
        <w:tc>
          <w:tcPr>
            <w:tcW w:w="2025"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单位名称</w:t>
            </w:r>
          </w:p>
        </w:tc>
        <w:tc>
          <w:tcPr>
            <w:tcW w:w="186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政府补助项目名称</w:t>
            </w:r>
          </w:p>
        </w:tc>
        <w:tc>
          <w:tcPr>
            <w:tcW w:w="18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18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期末账龄</w:t>
            </w:r>
          </w:p>
        </w:tc>
        <w:tc>
          <w:tcPr>
            <w:tcW w:w="194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预计收取的时间、金额及依据</w:t>
            </w:r>
          </w:p>
        </w:tc>
      </w:tr>
    </w:tbl>
    <w:p>
      <w:pPr>
        <w:pStyle w:val="14"/>
        <w:outlineLvl w:val="4"/>
        <w:rPr>
          <w:bCs w:val="0"/>
          <w:szCs w:val="24"/>
        </w:rPr>
      </w:pPr>
      <w:r>
        <w:rPr>
          <w:bCs w:val="0"/>
          <w:szCs w:val="24"/>
        </w:rPr>
        <w:t>7</w:t>
      </w:r>
      <w:r>
        <w:rPr>
          <w:rFonts w:hint="eastAsia"/>
          <w:bCs w:val="0"/>
          <w:szCs w:val="24"/>
        </w:rPr>
        <w:t>）因金融资产转移而终止确认的其他应收款</w:t>
      </w:r>
    </w:p>
    <w:p>
      <w:pPr>
        <w:pStyle w:val="14"/>
        <w:outlineLvl w:val="4"/>
        <w:rPr>
          <w:bCs w:val="0"/>
          <w:szCs w:val="24"/>
        </w:rPr>
      </w:pPr>
      <w:r>
        <w:rPr>
          <w:bCs w:val="0"/>
          <w:szCs w:val="24"/>
        </w:rPr>
        <w:t>8</w:t>
      </w:r>
      <w:r>
        <w:rPr>
          <w:rFonts w:hint="eastAsia"/>
          <w:bCs w:val="0"/>
          <w:szCs w:val="24"/>
        </w:rPr>
        <w:t>）转移其他应收款且继续涉入形成的资产、负债金额</w:t>
      </w:r>
    </w:p>
    <w:p>
      <w:pPr>
        <w:pStyle w:val="14"/>
        <w:outlineLvl w:val="2"/>
        <w:rPr>
          <w:bCs w:val="0"/>
          <w:szCs w:val="24"/>
        </w:rPr>
      </w:pPr>
      <w:r>
        <w:rPr>
          <w:bCs w:val="0"/>
          <w:szCs w:val="24"/>
        </w:rPr>
        <w:t>3</w:t>
      </w:r>
      <w:r>
        <w:rPr>
          <w:rFonts w:hint="eastAsia"/>
          <w:bCs w:val="0"/>
          <w:szCs w:val="24"/>
        </w:rPr>
        <w:t>、长期股权投资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368"/>
        <w:gridCol w:w="1368"/>
        <w:gridCol w:w="1367"/>
        <w:gridCol w:w="1367"/>
        <w:gridCol w:w="1367"/>
        <w:gridCol w:w="1367"/>
        <w:gridCol w:w="1367"/>
      </w:tblGrid>
      <w:tr>
        <w:tblPrEx>
          <w:tblCellMar>
            <w:top w:w="0" w:type="dxa"/>
            <w:left w:w="28" w:type="dxa"/>
            <w:bottom w:w="0" w:type="dxa"/>
            <w:right w:w="28" w:type="dxa"/>
          </w:tblCellMar>
        </w:tblPrEx>
        <w:tc>
          <w:tcPr>
            <w:tcW w:w="136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4102"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p>
        </w:tc>
        <w:tc>
          <w:tcPr>
            <w:tcW w:w="4101" w:type="dxa"/>
            <w:gridSpan w:val="3"/>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p>
        </w:tc>
      </w:tr>
      <w:tr>
        <w:tblPrEx>
          <w:tblCellMar>
            <w:top w:w="0" w:type="dxa"/>
            <w:left w:w="28" w:type="dxa"/>
            <w:bottom w:w="0" w:type="dxa"/>
            <w:right w:w="28" w:type="dxa"/>
          </w:tblCellMar>
        </w:tblPrEx>
        <w:tc>
          <w:tcPr>
            <w:tcW w:w="136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减值准备</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账面余额</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减值准备</w:t>
            </w:r>
          </w:p>
        </w:tc>
        <w:tc>
          <w:tcPr>
            <w:tcW w:w="136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账面价值</w:t>
            </w: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对子公司投资</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1,705,831,446.28</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729,780,207.96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976,051,238.32</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1,460,127,318.55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1,460,127,318.55</w:t>
            </w: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对联营、合营企业投资</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312,760,086.27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14,728,673.90</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298,031,412.37</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244,653,143.41</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9,422,375.93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235,230,767.48</w:t>
            </w:r>
          </w:p>
        </w:tc>
      </w:tr>
      <w:tr>
        <w:tblPrEx>
          <w:tblCellMar>
            <w:top w:w="0" w:type="dxa"/>
            <w:left w:w="28" w:type="dxa"/>
            <w:bottom w:w="0" w:type="dxa"/>
            <w:right w:w="2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2,018,591,532.55</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744,508,881.86</w:t>
            </w:r>
          </w:p>
        </w:tc>
        <w:tc>
          <w:tcPr>
            <w:tcW w:w="1367"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1,274,082,650.69</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1,704,780,461.96</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9,422,375.93</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1,695,358,086.03</w:t>
            </w:r>
          </w:p>
        </w:tc>
      </w:tr>
    </w:tbl>
    <w:p>
      <w:pPr>
        <w:pStyle w:val="14"/>
        <w:outlineLvl w:val="3"/>
        <w:rPr>
          <w:bCs w:val="0"/>
          <w:szCs w:val="24"/>
        </w:rPr>
      </w:pPr>
      <w:r>
        <w:rPr>
          <w:rFonts w:hint="eastAsia"/>
          <w:bCs w:val="0"/>
          <w:szCs w:val="24"/>
        </w:rPr>
        <w:t>（</w:t>
      </w:r>
      <w:r>
        <w:rPr>
          <w:bCs w:val="0"/>
          <w:szCs w:val="24"/>
        </w:rPr>
        <w:t>1</w:t>
      </w:r>
      <w:r>
        <w:rPr>
          <w:rFonts w:hint="eastAsia"/>
          <w:bCs w:val="0"/>
          <w:szCs w:val="24"/>
        </w:rPr>
        <w:t>）对子公司投资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267"/>
        <w:gridCol w:w="1166"/>
        <w:gridCol w:w="1166"/>
        <w:gridCol w:w="1166"/>
        <w:gridCol w:w="1166"/>
        <w:gridCol w:w="1213"/>
        <w:gridCol w:w="1213"/>
        <w:gridCol w:w="1213"/>
      </w:tblGrid>
      <w:tr>
        <w:tblPrEx>
          <w:tblCellMar>
            <w:top w:w="0" w:type="dxa"/>
            <w:left w:w="28" w:type="dxa"/>
            <w:bottom w:w="0" w:type="dxa"/>
            <w:right w:w="28" w:type="dxa"/>
          </w:tblCellMar>
        </w:tblPrEx>
        <w:tc>
          <w:tcPr>
            <w:tcW w:w="126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被投资单位</w:t>
            </w:r>
          </w:p>
        </w:tc>
        <w:tc>
          <w:tcPr>
            <w:tcW w:w="116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r>
              <w:rPr>
                <w:szCs w:val="24"/>
              </w:rPr>
              <w:t>(</w:t>
            </w:r>
            <w:r>
              <w:rPr>
                <w:rFonts w:hint="eastAsia"/>
                <w:szCs w:val="24"/>
              </w:rPr>
              <w:t>账面价值</w:t>
            </w:r>
            <w:r>
              <w:rPr>
                <w:szCs w:val="24"/>
              </w:rPr>
              <w:t>)</w:t>
            </w:r>
          </w:p>
        </w:tc>
        <w:tc>
          <w:tcPr>
            <w:tcW w:w="4711" w:type="dxa"/>
            <w:gridSpan w:val="4"/>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本期增减变动</w:t>
            </w:r>
          </w:p>
        </w:tc>
        <w:tc>
          <w:tcPr>
            <w:tcW w:w="121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r>
              <w:rPr>
                <w:szCs w:val="24"/>
              </w:rPr>
              <w:t>(</w:t>
            </w:r>
            <w:r>
              <w:rPr>
                <w:rFonts w:hint="eastAsia"/>
                <w:szCs w:val="24"/>
              </w:rPr>
              <w:t>账面价值</w:t>
            </w:r>
            <w:r>
              <w:rPr>
                <w:szCs w:val="24"/>
              </w:rPr>
              <w:t>)</w:t>
            </w:r>
          </w:p>
        </w:tc>
        <w:tc>
          <w:tcPr>
            <w:tcW w:w="1213"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减值准备期末余额</w:t>
            </w:r>
          </w:p>
        </w:tc>
      </w:tr>
      <w:tr>
        <w:tblPrEx>
          <w:tblCellMar>
            <w:top w:w="0" w:type="dxa"/>
            <w:left w:w="28" w:type="dxa"/>
            <w:bottom w:w="0" w:type="dxa"/>
            <w:right w:w="28" w:type="dxa"/>
          </w:tblCellMar>
        </w:tblPrEx>
        <w:tc>
          <w:tcPr>
            <w:tcW w:w="126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追加投资</w:t>
            </w:r>
          </w:p>
        </w:tc>
        <w:tc>
          <w:tcPr>
            <w:tcW w:w="116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减少投资</w:t>
            </w:r>
          </w:p>
        </w:tc>
        <w:tc>
          <w:tcPr>
            <w:tcW w:w="116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计提减值准备</w:t>
            </w:r>
          </w:p>
        </w:tc>
        <w:tc>
          <w:tcPr>
            <w:tcW w:w="12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宁波美康盛达生物科技有限公司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28,312,462.22</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205,981.07</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28,106,481.15</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宁波美康盛德生物科技有限公司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2,702,827.28</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261,474.50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2,441,352.78</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宁波美康盛德医学检验所有限公司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51,992,429.33</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61,169.33</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51,931,260.00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宁波美康保生生物医学工程有限公司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6,967,559.07</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4,590,000.00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24,033.07</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11,533,526.00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11,533,526.00</w:t>
            </w: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圣地亚哥美康生物有限公司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158,737,853.00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158,737,853.00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新疆伯晶伟业商贸有限公司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10,200,000.00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10,200,000.00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江西省美康医疗器械有限公司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1,040,000.00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1,040,000.00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浙江涌捷医疗器械有限公司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34,200,000.00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34,200,000.00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宁波美康基因科技有限公司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2,550,000.00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2,550,000.00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金华市美康盛德医学检验所有限公司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7,650,000.00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7,650,000.00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重庆和盛医疗器械有限公司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91,800,000.00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91,800,000.00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内蒙古盛德医疗器械有限公司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14,280,000.00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14,280,000.00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永城美康盛德医学检验所有限公司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3,050,000.00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3,050,000.00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郑州美康盛德医学检验所有限公司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南昌美康盛德医学检验实验室有限公司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9,975,856.64</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10,024,143.36</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9,975,856.64</w:t>
            </w: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上海京都生物工程有限公司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9,800,000.00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5,335,280.06</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4,464,719.94</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5,335,280.06</w:t>
            </w: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浙江美康达冷链物流有限公司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2,300,000.00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上饶美康盛德医学检验所有限公司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3,785,000.00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3,785,000.00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上饶市新安略科技有限公司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83,000,000.00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30,752,000.00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52,248,000.00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30,752,000.00</w:t>
            </w: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杭州美康盛德医学检验实验室有限公司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30,911,889.71</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19,088,110.29</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30,911,889.71</w:t>
            </w: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抚州美康盛德医学检验所有限公司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美康生物（香港）有限公司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81,878,475.30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81,878,475.30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81,878,475.30</w:t>
            </w: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京都生命科学株式会社</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1,290,600.00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1,290,600.00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衡阳美康盛德医学检验实验室有限公司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4,395,384.14</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7,604,615.86</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4,395,384.14</w:t>
            </w: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内蒙古美康生物医疗器械有限公司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4,000,000.00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深圳美康盛德医学检验实验室</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10,770,323.85</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9,229,676.15</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10,770,323.85</w:t>
            </w: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新余美康盛德医学检验实验室有限公司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53,000,000.00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美康生物科技（陕西）有限公司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美康盛达生物科技泰州有限公司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浙江广盛源医疗科技有限公司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4,811,015.19</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1,188,984.81</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4,811,015.19</w:t>
            </w: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聊城美康盛达生物科技有限公司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4,000,000.00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湖州美康盛德医学检验实验室有限公司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1,019,555.06</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1,980,444.94</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1,019,555.06</w:t>
            </w: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江西广盛源医疗科技有限公司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宁波美康股权投资基金合伙企业（有限合伙）</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557,768,112.35</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557,768,112.35</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美康生物科技（舟山）有限公司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江西美康盛德生物科技有限公司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6,250,000.00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3,500,000.00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9,750,000.00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杭州倚天生物技术有限公司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9,022,000.00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958,839,898.05</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538,396,902.01</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429,464,996.04</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538,396,902.01</w:t>
            </w: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宁波美康盈实股权投资合伙企业（有限合伙）</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14,500,000.00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14,500,000.00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美康盛德医疗科技（苏州）有限公司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1,350,000.00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3,250,000.00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美康盛德（广西）投资有限公司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2,970,000.00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3,170,000.00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美康盛医生物科技泰州有限公司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1,000,000.00</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诸暨美康盛德医学检验实验室有限公司</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0.00</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1267"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166"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1,460,127,318.55</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972,799,898.05</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727,095,770.32</w:t>
            </w:r>
          </w:p>
        </w:tc>
        <w:tc>
          <w:tcPr>
            <w:tcW w:w="116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729,780,207.96</w:t>
            </w:r>
          </w:p>
        </w:tc>
        <w:tc>
          <w:tcPr>
            <w:tcW w:w="12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121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976,051,238.32</w:t>
            </w:r>
          </w:p>
        </w:tc>
        <w:tc>
          <w:tcPr>
            <w:tcW w:w="1213"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729,780,207.96</w:t>
            </w:r>
          </w:p>
        </w:tc>
      </w:tr>
    </w:tbl>
    <w:p>
      <w:pPr>
        <w:pStyle w:val="14"/>
        <w:outlineLvl w:val="3"/>
        <w:rPr>
          <w:bCs w:val="0"/>
          <w:szCs w:val="24"/>
        </w:rPr>
      </w:pPr>
      <w:r>
        <w:rPr>
          <w:rFonts w:hint="eastAsia"/>
          <w:bCs w:val="0"/>
          <w:szCs w:val="24"/>
        </w:rPr>
        <w:t>（</w:t>
      </w:r>
      <w:r>
        <w:rPr>
          <w:bCs w:val="0"/>
          <w:szCs w:val="24"/>
        </w:rPr>
        <w:t>2</w:t>
      </w:r>
      <w:r>
        <w:rPr>
          <w:rFonts w:hint="eastAsia"/>
          <w:bCs w:val="0"/>
          <w:szCs w:val="24"/>
        </w:rPr>
        <w:t>）对联营、合营企业投资</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796"/>
        <w:gridCol w:w="797"/>
        <w:gridCol w:w="797"/>
        <w:gridCol w:w="798"/>
        <w:gridCol w:w="798"/>
        <w:gridCol w:w="798"/>
        <w:gridCol w:w="798"/>
        <w:gridCol w:w="798"/>
        <w:gridCol w:w="798"/>
        <w:gridCol w:w="798"/>
        <w:gridCol w:w="798"/>
        <w:gridCol w:w="798"/>
      </w:tblGrid>
      <w:tr>
        <w:tblPrEx>
          <w:tblCellMar>
            <w:top w:w="0" w:type="dxa"/>
            <w:left w:w="28" w:type="dxa"/>
            <w:bottom w:w="0" w:type="dxa"/>
            <w:right w:w="28" w:type="dxa"/>
          </w:tblCellMar>
        </w:tblPrEx>
        <w:tc>
          <w:tcPr>
            <w:tcW w:w="796"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投资单位</w:t>
            </w:r>
          </w:p>
        </w:tc>
        <w:tc>
          <w:tcPr>
            <w:tcW w:w="797"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期初余额</w:t>
            </w:r>
            <w:r>
              <w:rPr>
                <w:szCs w:val="24"/>
              </w:rPr>
              <w:t>(</w:t>
            </w:r>
            <w:r>
              <w:rPr>
                <w:rFonts w:hint="eastAsia"/>
                <w:szCs w:val="24"/>
              </w:rPr>
              <w:t>账面价值</w:t>
            </w:r>
            <w:r>
              <w:rPr>
                <w:szCs w:val="24"/>
              </w:rPr>
              <w:t>)</w:t>
            </w:r>
          </w:p>
        </w:tc>
        <w:tc>
          <w:tcPr>
            <w:tcW w:w="6383" w:type="dxa"/>
            <w:gridSpan w:val="8"/>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本期增减变动</w:t>
            </w:r>
          </w:p>
        </w:tc>
        <w:tc>
          <w:tcPr>
            <w:tcW w:w="79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期末余额</w:t>
            </w:r>
            <w:r>
              <w:rPr>
                <w:szCs w:val="24"/>
              </w:rPr>
              <w:t>(</w:t>
            </w:r>
            <w:r>
              <w:rPr>
                <w:rFonts w:hint="eastAsia"/>
                <w:szCs w:val="24"/>
              </w:rPr>
              <w:t>账面价值</w:t>
            </w:r>
            <w:r>
              <w:rPr>
                <w:szCs w:val="24"/>
              </w:rPr>
              <w:t>)</w:t>
            </w:r>
          </w:p>
        </w:tc>
        <w:tc>
          <w:tcPr>
            <w:tcW w:w="798"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减值准备期末余额</w:t>
            </w:r>
          </w:p>
        </w:tc>
      </w:tr>
      <w:tr>
        <w:tblPrEx>
          <w:tblCellMar>
            <w:top w:w="0" w:type="dxa"/>
            <w:left w:w="28" w:type="dxa"/>
            <w:bottom w:w="0" w:type="dxa"/>
            <w:right w:w="28" w:type="dxa"/>
          </w:tblCellMar>
        </w:tblPrEx>
        <w:tc>
          <w:tcPr>
            <w:tcW w:w="796"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97"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追加投资</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减少投资</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权益法下确认的投资损益</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其他综合收益调整</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其他权益变动</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宣告发放现金股利或利润</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计提减值准备</w:t>
            </w:r>
          </w:p>
        </w:tc>
        <w:tc>
          <w:tcPr>
            <w:tcW w:w="798"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其他</w:t>
            </w:r>
          </w:p>
        </w:tc>
        <w:tc>
          <w:tcPr>
            <w:tcW w:w="79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798"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r>
      <w:tr>
        <w:tblPrEx>
          <w:tblCellMar>
            <w:top w:w="0" w:type="dxa"/>
            <w:left w:w="28" w:type="dxa"/>
            <w:bottom w:w="0" w:type="dxa"/>
            <w:right w:w="28" w:type="dxa"/>
          </w:tblCellMar>
        </w:tblPrEx>
        <w:tc>
          <w:tcPr>
            <w:tcW w:w="9572" w:type="dxa"/>
            <w:gridSpan w:val="12"/>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一、合营企业</w:t>
            </w:r>
          </w:p>
        </w:tc>
      </w:tr>
      <w:tr>
        <w:tblPrEx>
          <w:tblCellMar>
            <w:top w:w="0" w:type="dxa"/>
            <w:left w:w="28" w:type="dxa"/>
            <w:bottom w:w="0" w:type="dxa"/>
            <w:right w:w="28" w:type="dxa"/>
          </w:tblCellMar>
        </w:tblPrEx>
        <w:tc>
          <w:tcPr>
            <w:tcW w:w="9572" w:type="dxa"/>
            <w:gridSpan w:val="12"/>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二、联营企业</w:t>
            </w: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深圳市帝迈生物技术有限公司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48,300,713.17</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-1,126,651.70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47,174,061.47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上海日和贸易有限公司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55,381,829.13</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6,105,388.37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8,410,540.85</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53,076,676.65</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1,910,209.87</w:t>
            </w: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山东日和贸易有限公司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30,526,885.73</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2,429,445.34</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3,920,033.10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5,306,297.97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23,730,000.00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7,397,327.51</w:t>
            </w: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南京三和仪器有限公司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45,600,346.64</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5,221,800.16</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7,062,286.62</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43,759,860.18</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4,552,401.87</w:t>
            </w: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安徽省三和医疗仪器有限公司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21,325,285.92</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4,306,067.61</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2,393,330.70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23,238,022.83</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868,734.65</w:t>
            </w: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浙江美康网新云健康科技股份有限公司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5,439,257.52</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-671,019.94</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4,768,237.58</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湖南品信生物工程有限公司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18,737,399.58</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-993,217.00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17,744,182.58</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美康盛德生物科技泰州有限公司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5,270,371.76</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-1,076,845.23</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4,193,526.53</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浙江汉库健康科技有限公司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4,648,678.03</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105,817.91</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4,754,495.94</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宁波美康股权投资基金合伙企业（有限合伙）</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浙江云瞰医疗科技有限公司</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重庆和盛医疗器械有限公司</w:t>
            </w:r>
            <w:r>
              <w:rPr>
                <w:szCs w:val="24"/>
              </w:rPr>
              <w:t>[</w:t>
            </w:r>
            <w:r>
              <w:rPr>
                <w:rFonts w:hint="eastAsia"/>
                <w:szCs w:val="24"/>
              </w:rPr>
              <w:t>注</w:t>
            </w:r>
            <w:r>
              <w:rPr>
                <w:szCs w:val="24"/>
              </w:rPr>
              <w:t>]</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54,000,000.00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10,330,153.43</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-2,061,663.56</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62,268,489.87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美康生物科技（舟山）有限公司</w:t>
            </w:r>
            <w:r>
              <w:rPr>
                <w:szCs w:val="24"/>
              </w:rPr>
              <w:t>[</w:t>
            </w:r>
            <w:r>
              <w:rPr>
                <w:rFonts w:hint="eastAsia"/>
                <w:szCs w:val="24"/>
              </w:rPr>
              <w:t>注</w:t>
            </w:r>
            <w:r>
              <w:rPr>
                <w:szCs w:val="24"/>
              </w:rPr>
              <w:t>]</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14,500,000.00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-459,024.75</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-717,116.51</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13,323,858.74</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小计</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235,230,767.48</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68,500,000.00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24,171,914.20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21,786,191.27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5,306,297.97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-2,778,780.07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298,031,412.37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14,728,673.90</w:t>
            </w:r>
          </w:p>
        </w:tc>
      </w:tr>
      <w:tr>
        <w:tblPrEx>
          <w:tblCellMar>
            <w:top w:w="0" w:type="dxa"/>
            <w:left w:w="28" w:type="dxa"/>
            <w:bottom w:w="0" w:type="dxa"/>
            <w:right w:w="28" w:type="dxa"/>
          </w:tblCellMar>
        </w:tblPrEx>
        <w:tc>
          <w:tcPr>
            <w:tcW w:w="796"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797"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235,230,767.48</w:t>
            </w:r>
          </w:p>
        </w:tc>
        <w:tc>
          <w:tcPr>
            <w:tcW w:w="79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68,500,000.00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24,171,914.20</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21,786,191.27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5,306,297.97</w:t>
            </w:r>
          </w:p>
        </w:tc>
        <w:tc>
          <w:tcPr>
            <w:tcW w:w="798"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-2,778,780.07</w:t>
            </w:r>
          </w:p>
        </w:tc>
        <w:tc>
          <w:tcPr>
            <w:tcW w:w="798"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298,031,412.37</w:t>
            </w:r>
          </w:p>
        </w:tc>
        <w:tc>
          <w:tcPr>
            <w:tcW w:w="798"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14,728,673.90</w:t>
            </w:r>
          </w:p>
        </w:tc>
      </w:tr>
    </w:tbl>
    <w:p>
      <w:pPr>
        <w:pStyle w:val="14"/>
        <w:outlineLvl w:val="3"/>
        <w:rPr>
          <w:bCs w:val="0"/>
          <w:szCs w:val="24"/>
        </w:rPr>
      </w:pPr>
      <w:r>
        <w:rPr>
          <w:rFonts w:hint="eastAsia"/>
          <w:bCs w:val="0"/>
          <w:szCs w:val="24"/>
        </w:rPr>
        <w:t>（</w:t>
      </w:r>
      <w:r>
        <w:rPr>
          <w:bCs w:val="0"/>
          <w:szCs w:val="24"/>
        </w:rPr>
        <w:t>3</w:t>
      </w:r>
      <w:r>
        <w:rPr>
          <w:rFonts w:hint="eastAsia"/>
          <w:bCs w:val="0"/>
          <w:szCs w:val="24"/>
        </w:rPr>
        <w:t>）其他说明</w:t>
      </w:r>
    </w:p>
    <w:p>
      <w:pPr>
        <w:autoSpaceDE w:val="0"/>
        <w:autoSpaceDN w:val="0"/>
        <w:adjustRightInd w:val="0"/>
        <w:spacing w:before="0" w:after="0"/>
        <w:ind w:firstLine="360" w:firstLineChars="200"/>
        <w:rPr>
          <w:rFonts w:eastAsia="Times New Roman"/>
          <w:kern w:val="0"/>
          <w:lang w:val="zh-CN"/>
        </w:rPr>
      </w:pPr>
      <w:r>
        <w:rPr>
          <w:rFonts w:hint="eastAsia" w:ascii="宋体" w:hAnsi="宋体" w:cs="宋体"/>
          <w:kern w:val="0"/>
          <w:lang w:val="zh-CN"/>
        </w:rPr>
        <w:t>本期其他变动系公司处置原子公司重庆和盛医疗器械有限公司和美康生物科技（舟山）有限公司的部分股权，由成本法改按权益法核算，并对该剩余股权视同自取得时即采用权益法核算进行的调整。</w:t>
      </w:r>
    </w:p>
    <w:p>
      <w:pPr>
        <w:pStyle w:val="14"/>
        <w:outlineLvl w:val="2"/>
        <w:rPr>
          <w:bCs w:val="0"/>
          <w:szCs w:val="24"/>
        </w:rPr>
      </w:pPr>
      <w:r>
        <w:rPr>
          <w:bCs w:val="0"/>
          <w:szCs w:val="24"/>
        </w:rPr>
        <w:t>4</w:t>
      </w:r>
      <w:r>
        <w:rPr>
          <w:rFonts w:hint="eastAsia"/>
          <w:bCs w:val="0"/>
          <w:szCs w:val="24"/>
        </w:rPr>
        <w:t>、营业收入和营业成本</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1994"/>
        <w:gridCol w:w="1837"/>
        <w:gridCol w:w="1913"/>
        <w:gridCol w:w="1913"/>
        <w:gridCol w:w="1913"/>
      </w:tblGrid>
      <w:tr>
        <w:tblPrEx>
          <w:tblCellMar>
            <w:top w:w="0" w:type="dxa"/>
            <w:left w:w="28" w:type="dxa"/>
            <w:bottom w:w="0" w:type="dxa"/>
            <w:right w:w="28" w:type="dxa"/>
          </w:tblCellMar>
        </w:tblPrEx>
        <w:tc>
          <w:tcPr>
            <w:tcW w:w="1994"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750"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826"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1994"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837"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收入</w:t>
            </w:r>
          </w:p>
        </w:tc>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成本</w:t>
            </w:r>
          </w:p>
        </w:tc>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收入</w:t>
            </w:r>
          </w:p>
        </w:tc>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成本</w:t>
            </w:r>
          </w:p>
        </w:tc>
      </w:tr>
      <w:tr>
        <w:tblPrEx>
          <w:tblCellMar>
            <w:top w:w="0" w:type="dxa"/>
            <w:left w:w="28" w:type="dxa"/>
            <w:bottom w:w="0" w:type="dxa"/>
            <w:right w:w="28" w:type="dxa"/>
          </w:tblCellMar>
        </w:tblPrEx>
        <w:tc>
          <w:tcPr>
            <w:tcW w:w="19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主营业务</w:t>
            </w:r>
          </w:p>
        </w:tc>
        <w:tc>
          <w:tcPr>
            <w:tcW w:w="18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1,208,656,834.31</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608,704,252.17</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1,325,303,704.04</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714,286,536.92</w:t>
            </w:r>
          </w:p>
        </w:tc>
      </w:tr>
      <w:tr>
        <w:tblPrEx>
          <w:tblCellMar>
            <w:top w:w="0" w:type="dxa"/>
            <w:left w:w="28" w:type="dxa"/>
            <w:bottom w:w="0" w:type="dxa"/>
            <w:right w:w="28" w:type="dxa"/>
          </w:tblCellMar>
        </w:tblPrEx>
        <w:tc>
          <w:tcPr>
            <w:tcW w:w="19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其他业务</w:t>
            </w:r>
          </w:p>
        </w:tc>
        <w:tc>
          <w:tcPr>
            <w:tcW w:w="18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32,289,537.73</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14,861,791.56</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23,784,246.93</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13,509,229.85</w:t>
            </w:r>
          </w:p>
        </w:tc>
      </w:tr>
      <w:tr>
        <w:tblPrEx>
          <w:tblCellMar>
            <w:top w:w="0" w:type="dxa"/>
            <w:left w:w="28" w:type="dxa"/>
            <w:bottom w:w="0" w:type="dxa"/>
            <w:right w:w="28" w:type="dxa"/>
          </w:tblCellMar>
        </w:tblPrEx>
        <w:tc>
          <w:tcPr>
            <w:tcW w:w="199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183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1,240,946,372.04</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623,566,043.73</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1,349,087,950.97</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727,795,766.77</w:t>
            </w:r>
          </w:p>
        </w:tc>
      </w:tr>
    </w:tbl>
    <w:p>
      <w:pPr>
        <w:jc w:val="left"/>
        <w:rPr>
          <w:szCs w:val="24"/>
        </w:rPr>
      </w:pPr>
      <w:r>
        <w:rPr>
          <w:rFonts w:hint="eastAsia"/>
          <w:szCs w:val="24"/>
        </w:rPr>
        <w:t>是否已执行新收入准则</w:t>
      </w:r>
    </w:p>
    <w:p>
      <w:pPr>
        <w:jc w:val="left"/>
        <w:rPr>
          <w:szCs w:val="24"/>
        </w:rPr>
      </w:pPr>
      <w:r>
        <w:rPr>
          <w:szCs w:val="24"/>
        </w:rPr>
        <w:t xml:space="preserve">□ </w:t>
      </w:r>
      <w:r>
        <w:rPr>
          <w:rFonts w:hint="eastAsia"/>
          <w:szCs w:val="24"/>
        </w:rPr>
        <w:t>是</w:t>
      </w:r>
      <w:r>
        <w:rPr>
          <w:szCs w:val="24"/>
        </w:rPr>
        <w:t xml:space="preserve"> √ </w:t>
      </w:r>
      <w:r>
        <w:rPr>
          <w:rFonts w:hint="eastAsia"/>
          <w:szCs w:val="24"/>
        </w:rPr>
        <w:t>否</w:t>
      </w:r>
      <w:r>
        <w:rPr>
          <w:szCs w:val="24"/>
        </w:rPr>
        <w:t xml:space="preserve"> </w:t>
      </w:r>
    </w:p>
    <w:p>
      <w:pPr>
        <w:jc w:val="left"/>
        <w:rPr>
          <w:szCs w:val="24"/>
        </w:rPr>
      </w:pPr>
      <w:r>
        <w:rPr>
          <w:rFonts w:hint="eastAsia"/>
          <w:szCs w:val="24"/>
        </w:rPr>
        <w:t>其他说明：</w:t>
      </w:r>
    </w:p>
    <w:p>
      <w:pPr>
        <w:pStyle w:val="14"/>
        <w:outlineLvl w:val="2"/>
        <w:rPr>
          <w:bCs w:val="0"/>
          <w:szCs w:val="24"/>
        </w:rPr>
      </w:pPr>
      <w:r>
        <w:rPr>
          <w:bCs w:val="0"/>
          <w:szCs w:val="24"/>
        </w:rPr>
        <w:t>5</w:t>
      </w:r>
      <w:r>
        <w:rPr>
          <w:rFonts w:hint="eastAsia"/>
          <w:bCs w:val="0"/>
          <w:szCs w:val="24"/>
        </w:rPr>
        <w:t>、投资收益</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324"/>
        <w:gridCol w:w="3059"/>
        <w:gridCol w:w="3186"/>
      </w:tblGrid>
      <w:tr>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05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本期发生额</w:t>
            </w:r>
          </w:p>
        </w:tc>
        <w:tc>
          <w:tcPr>
            <w:tcW w:w="318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上期发生额</w:t>
            </w:r>
          </w:p>
        </w:tc>
      </w:tr>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成本法核算的长期股权投资收益</w:t>
            </w:r>
          </w:p>
        </w:tc>
        <w:tc>
          <w:tcPr>
            <w:tcW w:w="3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13,927,133.42</w:t>
            </w:r>
          </w:p>
        </w:tc>
        <w:tc>
          <w:tcPr>
            <w:tcW w:w="31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p>
        </w:tc>
      </w:tr>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权益法核算的长期股权投资收益</w:t>
            </w:r>
          </w:p>
        </w:tc>
        <w:tc>
          <w:tcPr>
            <w:tcW w:w="3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24,171,914.22</w:t>
            </w:r>
          </w:p>
        </w:tc>
        <w:tc>
          <w:tcPr>
            <w:tcW w:w="31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20,356,998.42</w:t>
            </w:r>
          </w:p>
        </w:tc>
      </w:tr>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处置长期股权投资产生的投资收益</w:t>
            </w:r>
          </w:p>
        </w:tc>
        <w:tc>
          <w:tcPr>
            <w:tcW w:w="3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-773,711.90</w:t>
            </w:r>
          </w:p>
        </w:tc>
        <w:tc>
          <w:tcPr>
            <w:tcW w:w="31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703,080.32</w:t>
            </w:r>
          </w:p>
        </w:tc>
      </w:tr>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理财产品投资收益</w:t>
            </w:r>
          </w:p>
        </w:tc>
        <w:tc>
          <w:tcPr>
            <w:tcW w:w="3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2,303,722.22</w:t>
            </w:r>
          </w:p>
        </w:tc>
        <w:tc>
          <w:tcPr>
            <w:tcW w:w="3186"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5,032,547.94</w:t>
            </w:r>
          </w:p>
        </w:tc>
      </w:tr>
      <w:tr>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059"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39,629,057.96</w:t>
            </w:r>
          </w:p>
        </w:tc>
        <w:tc>
          <w:tcPr>
            <w:tcW w:w="3186" w:type="dxa"/>
            <w:tcBorders>
              <w:top w:val="single" w:color="auto" w:sz="4" w:space="0"/>
              <w:left w:val="single" w:color="auto" w:sz="4" w:space="0"/>
              <w:bottom w:val="single" w:color="auto" w:sz="4" w:space="0"/>
              <w:right w:val="single" w:color="auto" w:sz="4" w:space="0"/>
            </w:tcBorders>
            <w:vAlign w:val="center"/>
          </w:tcPr>
          <w:p>
            <w:pPr>
              <w:jc w:val="right"/>
              <w:rPr>
                <w:szCs w:val="24"/>
              </w:rPr>
            </w:pPr>
            <w:r>
              <w:rPr>
                <w:szCs w:val="24"/>
              </w:rPr>
              <w:t>26,092,626.68</w:t>
            </w:r>
          </w:p>
        </w:tc>
      </w:tr>
    </w:tbl>
    <w:p>
      <w:pPr>
        <w:pStyle w:val="14"/>
        <w:outlineLvl w:val="2"/>
        <w:rPr>
          <w:bCs w:val="0"/>
          <w:szCs w:val="24"/>
        </w:rPr>
      </w:pPr>
      <w:r>
        <w:rPr>
          <w:bCs w:val="0"/>
          <w:szCs w:val="24"/>
        </w:rPr>
        <w:t>6</w:t>
      </w:r>
      <w:r>
        <w:rPr>
          <w:rFonts w:hint="eastAsia"/>
          <w:bCs w:val="0"/>
          <w:szCs w:val="24"/>
        </w:rPr>
        <w:t>、其他</w:t>
      </w:r>
    </w:p>
    <w:p>
      <w:pPr>
        <w:pStyle w:val="13"/>
        <w:outlineLvl w:val="1"/>
        <w:rPr>
          <w:bCs w:val="0"/>
        </w:rPr>
      </w:pPr>
      <w:r>
        <w:rPr>
          <w:rFonts w:hint="eastAsia"/>
          <w:bCs w:val="0"/>
        </w:rPr>
        <w:t>十八、补充资料</w:t>
      </w:r>
    </w:p>
    <w:p>
      <w:pPr>
        <w:pStyle w:val="14"/>
        <w:outlineLvl w:val="2"/>
        <w:rPr>
          <w:bCs w:val="0"/>
          <w:szCs w:val="24"/>
        </w:rPr>
      </w:pPr>
      <w:r>
        <w:rPr>
          <w:bCs w:val="0"/>
          <w:szCs w:val="24"/>
        </w:rPr>
        <w:t>1</w:t>
      </w:r>
      <w:r>
        <w:rPr>
          <w:rFonts w:hint="eastAsia"/>
          <w:bCs w:val="0"/>
          <w:szCs w:val="24"/>
        </w:rPr>
        <w:t>、当期非经常性损益明细表</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jc w:val="right"/>
        <w:rPr>
          <w:szCs w:val="24"/>
        </w:rPr>
      </w:pPr>
      <w:r>
        <w:rPr>
          <w:rFonts w:hint="eastAsia"/>
          <w:szCs w:val="24"/>
        </w:rPr>
        <w:t>单位：</w:t>
      </w:r>
      <w:r>
        <w:rPr>
          <w:szCs w:val="24"/>
        </w:rPr>
        <w:t xml:space="preserve"> </w:t>
      </w:r>
      <w:r>
        <w:rPr>
          <w:rFonts w:hint="eastAsia"/>
          <w:szCs w:val="24"/>
        </w:rPr>
        <w:t>元</w:t>
      </w:r>
    </w:p>
    <w:tbl>
      <w:tblPr>
        <w:tblStyle w:val="9"/>
        <w:tblW w:w="0" w:type="auto"/>
        <w:tblInd w:w="28" w:type="dxa"/>
        <w:tblLayout w:type="fixed"/>
        <w:tblCellMar>
          <w:top w:w="0" w:type="dxa"/>
          <w:left w:w="28" w:type="dxa"/>
          <w:bottom w:w="0" w:type="dxa"/>
          <w:right w:w="28" w:type="dxa"/>
        </w:tblCellMar>
      </w:tblPr>
      <w:tblGrid>
        <w:gridCol w:w="3324"/>
        <w:gridCol w:w="3059"/>
        <w:gridCol w:w="3186"/>
      </w:tblGrid>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项目</w:t>
            </w:r>
          </w:p>
        </w:tc>
        <w:tc>
          <w:tcPr>
            <w:tcW w:w="3059"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金额</w:t>
            </w:r>
          </w:p>
        </w:tc>
        <w:tc>
          <w:tcPr>
            <w:tcW w:w="318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说明</w:t>
            </w:r>
          </w:p>
        </w:tc>
      </w:tr>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非流动资产处置损益</w:t>
            </w:r>
          </w:p>
        </w:tc>
        <w:tc>
          <w:tcPr>
            <w:tcW w:w="3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10,222,344.21</w:t>
            </w:r>
          </w:p>
        </w:tc>
        <w:tc>
          <w:tcPr>
            <w:tcW w:w="31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主要系股权和固定资产处置损益</w:t>
            </w:r>
          </w:p>
        </w:tc>
      </w:tr>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计入当期损益的政府补助（与企业业务密切相关，按照国家统一标准定额或定量享受的政府补助除外）</w:t>
            </w:r>
          </w:p>
        </w:tc>
        <w:tc>
          <w:tcPr>
            <w:tcW w:w="3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22,511,029.80</w:t>
            </w:r>
          </w:p>
        </w:tc>
        <w:tc>
          <w:tcPr>
            <w:tcW w:w="31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主要系政府补助收入</w:t>
            </w:r>
          </w:p>
        </w:tc>
      </w:tr>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委托他人投资或管理资产的损益</w:t>
            </w:r>
          </w:p>
        </w:tc>
        <w:tc>
          <w:tcPr>
            <w:tcW w:w="3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3,073,276.68</w:t>
            </w:r>
          </w:p>
        </w:tc>
        <w:tc>
          <w:tcPr>
            <w:tcW w:w="31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主要系理财产品收入</w:t>
            </w:r>
          </w:p>
        </w:tc>
      </w:tr>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债务重组损益</w:t>
            </w:r>
          </w:p>
        </w:tc>
        <w:tc>
          <w:tcPr>
            <w:tcW w:w="3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-1,136,657.97</w:t>
            </w:r>
          </w:p>
        </w:tc>
        <w:tc>
          <w:tcPr>
            <w:tcW w:w="31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szCs w:val="24"/>
              </w:rPr>
              <w:t>主要系债务重组损失</w:t>
            </w:r>
          </w:p>
        </w:tc>
      </w:tr>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交易价格显失公允的交易产生的超过公允价值部分的损益</w:t>
            </w:r>
          </w:p>
        </w:tc>
        <w:tc>
          <w:tcPr>
            <w:tcW w:w="3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526,234.36</w:t>
            </w:r>
          </w:p>
        </w:tc>
        <w:tc>
          <w:tcPr>
            <w:tcW w:w="31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r>
              <w:rPr>
                <w:rFonts w:hint="eastAsia"/>
                <w:kern w:val="0"/>
              </w:rPr>
              <w:t>系原子公司关联方为公司无偿提供资金支持，若按4.05%的年贷款利率计算，则公司需向子公司关联方支付的资金利息合计为</w:t>
            </w:r>
            <w:r>
              <w:rPr>
                <w:kern w:val="0"/>
              </w:rPr>
              <w:t>526,234.36</w:t>
            </w:r>
            <w:r>
              <w:rPr>
                <w:rFonts w:hint="eastAsia"/>
                <w:kern w:val="0"/>
              </w:rPr>
              <w:t>元。</w:t>
            </w:r>
          </w:p>
        </w:tc>
      </w:tr>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除上述各项之外的其他营业外收入和支出</w:t>
            </w:r>
          </w:p>
        </w:tc>
        <w:tc>
          <w:tcPr>
            <w:tcW w:w="3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436,268.27</w:t>
            </w:r>
          </w:p>
        </w:tc>
        <w:tc>
          <w:tcPr>
            <w:tcW w:w="31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减：所得税影响额</w:t>
            </w:r>
          </w:p>
        </w:tc>
        <w:tc>
          <w:tcPr>
            <w:tcW w:w="3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4,930,597.07</w:t>
            </w:r>
          </w:p>
        </w:tc>
        <w:tc>
          <w:tcPr>
            <w:tcW w:w="31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　　少数股东权益影响额</w:t>
            </w:r>
          </w:p>
        </w:tc>
        <w:tc>
          <w:tcPr>
            <w:tcW w:w="3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4,042,509.86</w:t>
            </w:r>
          </w:p>
        </w:tc>
        <w:tc>
          <w:tcPr>
            <w:tcW w:w="318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Cs w:val="24"/>
              </w:rPr>
            </w:pPr>
          </w:p>
        </w:tc>
      </w:tr>
      <w:tr>
        <w:tblPrEx>
          <w:tblCellMar>
            <w:top w:w="0" w:type="dxa"/>
            <w:left w:w="28" w:type="dxa"/>
            <w:bottom w:w="0" w:type="dxa"/>
            <w:right w:w="28" w:type="dxa"/>
          </w:tblCellMar>
        </w:tblPrEx>
        <w:tc>
          <w:tcPr>
            <w:tcW w:w="3324"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合计</w:t>
            </w:r>
          </w:p>
        </w:tc>
        <w:tc>
          <w:tcPr>
            <w:tcW w:w="305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26,659,388.42</w:t>
            </w:r>
          </w:p>
        </w:tc>
        <w:tc>
          <w:tcPr>
            <w:tcW w:w="3186"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szCs w:val="24"/>
              </w:rPr>
              <w:t>--</w:t>
            </w:r>
          </w:p>
        </w:tc>
      </w:tr>
    </w:tbl>
    <w:p>
      <w:pPr>
        <w:jc w:val="left"/>
        <w:rPr>
          <w:szCs w:val="24"/>
        </w:rPr>
      </w:pPr>
      <w:r>
        <w:rPr>
          <w:rFonts w:hint="eastAsia"/>
          <w:szCs w:val="24"/>
        </w:rPr>
        <w:t>对公司根据《公开发行证券的公司信息披露解释性公告第</w:t>
      </w:r>
      <w:r>
        <w:rPr>
          <w:szCs w:val="24"/>
        </w:rPr>
        <w:t>1</w:t>
      </w:r>
      <w:r>
        <w:rPr>
          <w:rFonts w:hint="eastAsia"/>
          <w:szCs w:val="24"/>
        </w:rPr>
        <w:t>号</w:t>
      </w:r>
      <w:r>
        <w:rPr>
          <w:szCs w:val="24"/>
        </w:rPr>
        <w:t>——</w:t>
      </w:r>
      <w:r>
        <w:rPr>
          <w:rFonts w:hint="eastAsia"/>
          <w:szCs w:val="24"/>
        </w:rPr>
        <w:t>非经常性损益》定义界定的非经常性损益项目，以及把《公开发行证券的公司信息披露解释性公告第</w:t>
      </w:r>
      <w:r>
        <w:rPr>
          <w:szCs w:val="24"/>
        </w:rPr>
        <w:t>1</w:t>
      </w:r>
      <w:r>
        <w:rPr>
          <w:rFonts w:hint="eastAsia"/>
          <w:szCs w:val="24"/>
        </w:rPr>
        <w:t>号</w:t>
      </w:r>
      <w:r>
        <w:rPr>
          <w:szCs w:val="24"/>
        </w:rPr>
        <w:t>——</w:t>
      </w:r>
      <w:r>
        <w:rPr>
          <w:rFonts w:hint="eastAsia"/>
          <w:szCs w:val="24"/>
        </w:rPr>
        <w:t>非经常性损益》中列举的非经常性损益项目界定为经常性损益的项目，应说明原因。</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2"/>
        <w:rPr>
          <w:bCs w:val="0"/>
          <w:szCs w:val="24"/>
        </w:rPr>
      </w:pPr>
      <w:r>
        <w:rPr>
          <w:bCs w:val="0"/>
          <w:szCs w:val="24"/>
        </w:rPr>
        <w:t>2</w:t>
      </w:r>
      <w:r>
        <w:rPr>
          <w:rFonts w:hint="eastAsia"/>
          <w:bCs w:val="0"/>
          <w:szCs w:val="24"/>
        </w:rPr>
        <w:t>、净资产收益率及每股收益</w:t>
      </w:r>
    </w:p>
    <w:tbl>
      <w:tblPr>
        <w:tblStyle w:val="9"/>
        <w:tblW w:w="0" w:type="auto"/>
        <w:tblInd w:w="28" w:type="dxa"/>
        <w:tblLayout w:type="fixed"/>
        <w:tblCellMar>
          <w:top w:w="0" w:type="dxa"/>
          <w:left w:w="28" w:type="dxa"/>
          <w:bottom w:w="0" w:type="dxa"/>
          <w:right w:w="28" w:type="dxa"/>
        </w:tblCellMar>
      </w:tblPr>
      <w:tblGrid>
        <w:gridCol w:w="2662"/>
        <w:gridCol w:w="3080"/>
        <w:gridCol w:w="1913"/>
        <w:gridCol w:w="1913"/>
      </w:tblGrid>
      <w:tr>
        <w:tblPrEx>
          <w:tblCellMar>
            <w:top w:w="0" w:type="dxa"/>
            <w:left w:w="28" w:type="dxa"/>
            <w:bottom w:w="0" w:type="dxa"/>
            <w:right w:w="28" w:type="dxa"/>
          </w:tblCellMar>
        </w:tblPrEx>
        <w:tc>
          <w:tcPr>
            <w:tcW w:w="2662"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报告期利润</w:t>
            </w:r>
          </w:p>
        </w:tc>
        <w:tc>
          <w:tcPr>
            <w:tcW w:w="3080" w:type="dxa"/>
            <w:vMerge w:val="restart"/>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加权平均净资产收益率</w:t>
            </w:r>
          </w:p>
        </w:tc>
        <w:tc>
          <w:tcPr>
            <w:tcW w:w="3826" w:type="dxa"/>
            <w:gridSpan w:val="2"/>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每股收益</w:t>
            </w:r>
          </w:p>
        </w:tc>
      </w:tr>
      <w:tr>
        <w:tblPrEx>
          <w:tblCellMar>
            <w:top w:w="0" w:type="dxa"/>
            <w:left w:w="28" w:type="dxa"/>
            <w:bottom w:w="0" w:type="dxa"/>
            <w:right w:w="28" w:type="dxa"/>
          </w:tblCellMar>
        </w:tblPrEx>
        <w:tc>
          <w:tcPr>
            <w:tcW w:w="2662"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3080" w:type="dxa"/>
            <w:vMerge w:val="continue"/>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基本每股收益（元</w:t>
            </w:r>
            <w:r>
              <w:rPr>
                <w:szCs w:val="24"/>
              </w:rPr>
              <w:t>/</w:t>
            </w:r>
            <w:r>
              <w:rPr>
                <w:rFonts w:hint="eastAsia"/>
                <w:szCs w:val="24"/>
              </w:rPr>
              <w:t>股）</w:t>
            </w:r>
          </w:p>
        </w:tc>
        <w:tc>
          <w:tcPr>
            <w:tcW w:w="1913" w:type="dxa"/>
            <w:tcBorders>
              <w:top w:val="single" w:color="auto" w:sz="4" w:space="0"/>
              <w:left w:val="single" w:color="auto" w:sz="4" w:space="0"/>
              <w:bottom w:val="single" w:color="auto" w:sz="4" w:space="0"/>
              <w:right w:val="single" w:color="auto" w:sz="4" w:space="0"/>
            </w:tcBorders>
            <w:shd w:val="clear" w:color="auto" w:fill="D3D3D3"/>
            <w:vAlign w:val="center"/>
          </w:tcPr>
          <w:p>
            <w:pPr>
              <w:jc w:val="center"/>
              <w:rPr>
                <w:szCs w:val="24"/>
              </w:rPr>
            </w:pPr>
            <w:r>
              <w:rPr>
                <w:rFonts w:hint="eastAsia"/>
                <w:szCs w:val="24"/>
              </w:rPr>
              <w:t>稀释每股收益（元</w:t>
            </w:r>
            <w:r>
              <w:rPr>
                <w:szCs w:val="24"/>
              </w:rPr>
              <w:t>/</w:t>
            </w:r>
            <w:r>
              <w:rPr>
                <w:rFonts w:hint="eastAsia"/>
                <w:szCs w:val="24"/>
              </w:rPr>
              <w:t>股）</w:t>
            </w:r>
          </w:p>
        </w:tc>
      </w:tr>
      <w:tr>
        <w:tblPrEx>
          <w:tblCellMar>
            <w:top w:w="0" w:type="dxa"/>
            <w:left w:w="28" w:type="dxa"/>
            <w:bottom w:w="0" w:type="dxa"/>
            <w:right w:w="28" w:type="dxa"/>
          </w:tblCellMar>
        </w:tblPrEx>
        <w:tc>
          <w:tcPr>
            <w:tcW w:w="26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归属于公司普通股股东的净利润</w:t>
            </w:r>
          </w:p>
        </w:tc>
        <w:tc>
          <w:tcPr>
            <w:tcW w:w="30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-34.75%</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-1.63</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-1.63</w:t>
            </w:r>
          </w:p>
        </w:tc>
      </w:tr>
      <w:tr>
        <w:tblPrEx>
          <w:tblCellMar>
            <w:top w:w="0" w:type="dxa"/>
            <w:left w:w="28" w:type="dxa"/>
            <w:bottom w:w="0" w:type="dxa"/>
            <w:right w:w="28" w:type="dxa"/>
          </w:tblCellMar>
        </w:tblPrEx>
        <w:tc>
          <w:tcPr>
            <w:tcW w:w="2662" w:type="dxa"/>
            <w:tcBorders>
              <w:top w:val="single" w:color="auto" w:sz="4" w:space="0"/>
              <w:left w:val="single" w:color="auto" w:sz="4" w:space="0"/>
              <w:bottom w:val="single" w:color="auto" w:sz="4" w:space="0"/>
              <w:right w:val="single" w:color="auto" w:sz="4" w:space="0"/>
            </w:tcBorders>
            <w:shd w:val="clear" w:color="auto" w:fill="D3D3D3"/>
            <w:vAlign w:val="center"/>
          </w:tcPr>
          <w:p>
            <w:pPr>
              <w:jc w:val="left"/>
              <w:rPr>
                <w:szCs w:val="24"/>
              </w:rPr>
            </w:pPr>
            <w:r>
              <w:rPr>
                <w:rFonts w:hint="eastAsia"/>
                <w:szCs w:val="24"/>
              </w:rPr>
              <w:t>扣除非经常性损益后归属于公司普通股股东的净利润</w:t>
            </w:r>
          </w:p>
        </w:tc>
        <w:tc>
          <w:tcPr>
            <w:tcW w:w="308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-36.40%</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-1.71</w:t>
            </w:r>
          </w:p>
        </w:tc>
        <w:tc>
          <w:tcPr>
            <w:tcW w:w="1913"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szCs w:val="24"/>
              </w:rPr>
            </w:pPr>
            <w:r>
              <w:rPr>
                <w:szCs w:val="24"/>
              </w:rPr>
              <w:t>-1.71</w:t>
            </w:r>
          </w:p>
        </w:tc>
      </w:tr>
    </w:tbl>
    <w:p>
      <w:pPr>
        <w:pStyle w:val="14"/>
        <w:outlineLvl w:val="2"/>
        <w:rPr>
          <w:bCs w:val="0"/>
          <w:szCs w:val="24"/>
        </w:rPr>
      </w:pPr>
      <w:r>
        <w:rPr>
          <w:bCs w:val="0"/>
          <w:szCs w:val="24"/>
        </w:rPr>
        <w:t>3</w:t>
      </w:r>
      <w:r>
        <w:rPr>
          <w:rFonts w:hint="eastAsia"/>
          <w:bCs w:val="0"/>
          <w:szCs w:val="24"/>
        </w:rPr>
        <w:t>、境内外会计准则下会计数据差异</w:t>
      </w:r>
    </w:p>
    <w:p>
      <w:pPr>
        <w:pStyle w:val="14"/>
        <w:outlineLvl w:val="3"/>
        <w:rPr>
          <w:bCs w:val="0"/>
          <w:szCs w:val="24"/>
        </w:rPr>
      </w:pPr>
      <w:r>
        <w:rPr>
          <w:rFonts w:hint="eastAsia"/>
          <w:bCs w:val="0"/>
          <w:szCs w:val="24"/>
        </w:rPr>
        <w:t>（</w:t>
      </w:r>
      <w:r>
        <w:rPr>
          <w:bCs w:val="0"/>
          <w:szCs w:val="24"/>
        </w:rPr>
        <w:t>1</w:t>
      </w:r>
      <w:r>
        <w:rPr>
          <w:rFonts w:hint="eastAsia"/>
          <w:bCs w:val="0"/>
          <w:szCs w:val="24"/>
        </w:rPr>
        <w:t>）同时按照国际会计准则与按中国会计准则披露的财务报告中净利润和净资产差异情况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3"/>
        <w:rPr>
          <w:bCs w:val="0"/>
          <w:szCs w:val="24"/>
        </w:rPr>
      </w:pPr>
      <w:r>
        <w:rPr>
          <w:rFonts w:hint="eastAsia"/>
          <w:bCs w:val="0"/>
          <w:szCs w:val="24"/>
        </w:rPr>
        <w:t>（</w:t>
      </w:r>
      <w:r>
        <w:rPr>
          <w:bCs w:val="0"/>
          <w:szCs w:val="24"/>
        </w:rPr>
        <w:t>2</w:t>
      </w:r>
      <w:r>
        <w:rPr>
          <w:rFonts w:hint="eastAsia"/>
          <w:bCs w:val="0"/>
          <w:szCs w:val="24"/>
        </w:rPr>
        <w:t>）同时按照境外会计准则与按中国会计准则披露的财务报告中净利润和净资产差异情况</w:t>
      </w:r>
    </w:p>
    <w:p>
      <w:pPr>
        <w:jc w:val="left"/>
        <w:rPr>
          <w:szCs w:val="24"/>
        </w:rPr>
      </w:pPr>
      <w:r>
        <w:rPr>
          <w:szCs w:val="24"/>
        </w:rPr>
        <w:t xml:space="preserve">□ </w:t>
      </w:r>
      <w:r>
        <w:rPr>
          <w:rFonts w:hint="eastAsia"/>
          <w:szCs w:val="24"/>
        </w:rPr>
        <w:t>适用</w:t>
      </w:r>
      <w:r>
        <w:rPr>
          <w:szCs w:val="24"/>
        </w:rPr>
        <w:t xml:space="preserve"> √ </w:t>
      </w:r>
      <w:r>
        <w:rPr>
          <w:rFonts w:hint="eastAsia"/>
          <w:szCs w:val="24"/>
        </w:rPr>
        <w:t>不适用</w:t>
      </w:r>
      <w:r>
        <w:rPr>
          <w:szCs w:val="24"/>
        </w:rPr>
        <w:t xml:space="preserve"> </w:t>
      </w:r>
    </w:p>
    <w:p>
      <w:pPr>
        <w:pStyle w:val="14"/>
        <w:outlineLvl w:val="3"/>
        <w:rPr>
          <w:bCs w:val="0"/>
          <w:szCs w:val="24"/>
        </w:rPr>
      </w:pPr>
      <w:r>
        <w:rPr>
          <w:rFonts w:hint="eastAsia"/>
          <w:bCs w:val="0"/>
          <w:szCs w:val="24"/>
        </w:rPr>
        <w:t>（</w:t>
      </w:r>
      <w:r>
        <w:rPr>
          <w:bCs w:val="0"/>
          <w:szCs w:val="24"/>
        </w:rPr>
        <w:t>3</w:t>
      </w:r>
      <w:r>
        <w:rPr>
          <w:rFonts w:hint="eastAsia"/>
          <w:bCs w:val="0"/>
          <w:szCs w:val="24"/>
        </w:rPr>
        <w:t>）境内外会计准则下会计数据差异原因说明，对已经境外审计机构审计的数据进行差异调节的，应注明该境外机构的名称</w:t>
      </w:r>
    </w:p>
    <w:p>
      <w:pPr>
        <w:pStyle w:val="13"/>
        <w:outlineLvl w:val="1"/>
        <w:rPr>
          <w:bCs w:val="0"/>
        </w:rPr>
        <w:sectPr>
          <w:pgSz w:w="11906" w:h="16838"/>
          <w:pgMar w:top="1440" w:right="1134" w:bottom="1440" w:left="1134" w:header="851" w:footer="992" w:gutter="0"/>
          <w:cols w:space="425" w:num="1"/>
          <w:docGrid w:type="lines" w:linePitch="312" w:charSpace="0"/>
        </w:sectPr>
      </w:pPr>
      <w:r>
        <w:rPr>
          <w:bCs w:val="0"/>
        </w:rPr>
        <w:t>4</w:t>
      </w:r>
      <w:r>
        <w:rPr>
          <w:rFonts w:hint="eastAsia"/>
          <w:bCs w:val="0"/>
        </w:rPr>
        <w:t>、其他</w:t>
      </w:r>
    </w:p>
    <w:p>
      <w:pPr>
        <w:pStyle w:val="8"/>
        <w:outlineLvl w:val="0"/>
        <w:rPr>
          <w:bCs w:val="0"/>
          <w:szCs w:val="24"/>
        </w:rPr>
      </w:pPr>
      <w:bookmarkStart w:id="17" w:name="_Toc38911284"/>
      <w:bookmarkStart w:id="18" w:name="_Toc300000096"/>
      <w:r>
        <w:rPr>
          <w:rFonts w:hint="eastAsia"/>
          <w:bCs w:val="0"/>
          <w:szCs w:val="24"/>
        </w:rPr>
        <w:t>第十三节备查文件目录</w:t>
      </w:r>
      <w:bookmarkEnd w:id="17"/>
      <w:bookmarkEnd w:id="18"/>
    </w:p>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一、载有公司法定代表人、主管会计工作负责人、公司会计机构负责人</w:t>
      </w:r>
      <w:r>
        <w:rPr>
          <w:rFonts w:eastAsia="Times New Roman"/>
          <w:kern w:val="0"/>
          <w:szCs w:val="24"/>
          <w:lang w:val="zh-CN"/>
        </w:rPr>
        <w:t>(</w:t>
      </w:r>
      <w:r>
        <w:rPr>
          <w:rFonts w:hint="eastAsia" w:ascii="宋体" w:hAnsi="宋体" w:cs="宋体"/>
          <w:kern w:val="0"/>
          <w:szCs w:val="24"/>
          <w:lang w:val="zh-CN"/>
        </w:rPr>
        <w:t>会计主管人员</w:t>
      </w:r>
      <w:r>
        <w:rPr>
          <w:rFonts w:eastAsia="Times New Roman"/>
          <w:kern w:val="0"/>
          <w:szCs w:val="24"/>
          <w:lang w:val="zh-CN"/>
        </w:rPr>
        <w:t>)</w:t>
      </w:r>
      <w:r>
        <w:rPr>
          <w:rFonts w:hint="eastAsia" w:ascii="宋体" w:hAnsi="宋体" w:cs="宋体"/>
          <w:kern w:val="0"/>
          <w:szCs w:val="24"/>
          <w:lang w:val="zh-CN"/>
        </w:rPr>
        <w:t>签名并盖章的财务报表。</w:t>
      </w:r>
    </w:p>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二、载有会计师事务所盖章、注册会计师签名并盖章的审计报告原件。</w:t>
      </w:r>
    </w:p>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三、报告期内在中国证监会指定网站上公开披露过的所有公司文件的正本及公告的原稿。</w:t>
      </w:r>
    </w:p>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四、经公司法定代表人签名的</w:t>
      </w:r>
      <w:r>
        <w:rPr>
          <w:rFonts w:eastAsia="Times New Roman"/>
          <w:kern w:val="0"/>
          <w:szCs w:val="24"/>
          <w:lang w:val="zh-CN"/>
        </w:rPr>
        <w:t>2019</w:t>
      </w:r>
      <w:r>
        <w:rPr>
          <w:rFonts w:hint="eastAsia" w:ascii="宋体" w:hAnsi="宋体" w:cs="宋体"/>
          <w:kern w:val="0"/>
          <w:szCs w:val="24"/>
          <w:lang w:val="zh-CN"/>
        </w:rPr>
        <w:t>年年度报告文本原件。</w:t>
      </w:r>
    </w:p>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五、其他相关资料。</w:t>
      </w:r>
    </w:p>
    <w:p>
      <w:pPr>
        <w:autoSpaceDE w:val="0"/>
        <w:autoSpaceDN w:val="0"/>
        <w:adjustRightInd w:val="0"/>
        <w:jc w:val="left"/>
        <w:rPr>
          <w:rFonts w:eastAsia="Times New Roman"/>
          <w:kern w:val="0"/>
          <w:szCs w:val="24"/>
          <w:lang w:val="zh-CN"/>
        </w:rPr>
      </w:pPr>
    </w:p>
    <w:p>
      <w:pPr>
        <w:autoSpaceDE w:val="0"/>
        <w:autoSpaceDN w:val="0"/>
        <w:adjustRightInd w:val="0"/>
        <w:jc w:val="left"/>
        <w:rPr>
          <w:rFonts w:eastAsia="Times New Roman"/>
          <w:kern w:val="0"/>
          <w:szCs w:val="24"/>
          <w:lang w:val="zh-CN"/>
        </w:rPr>
      </w:pPr>
    </w:p>
    <w:p>
      <w:pPr>
        <w:autoSpaceDE w:val="0"/>
        <w:autoSpaceDN w:val="0"/>
        <w:adjustRightInd w:val="0"/>
        <w:jc w:val="left"/>
        <w:rPr>
          <w:rFonts w:eastAsia="Times New Roman"/>
          <w:kern w:val="0"/>
          <w:szCs w:val="24"/>
          <w:lang w:val="zh-CN"/>
        </w:rPr>
      </w:pPr>
    </w:p>
    <w:p>
      <w:pPr>
        <w:autoSpaceDE w:val="0"/>
        <w:autoSpaceDN w:val="0"/>
        <w:adjustRightInd w:val="0"/>
        <w:jc w:val="left"/>
        <w:rPr>
          <w:rFonts w:eastAsia="Times New Roman"/>
          <w:kern w:val="0"/>
          <w:szCs w:val="24"/>
          <w:lang w:val="zh-CN"/>
        </w:rPr>
      </w:pPr>
      <w:r>
        <w:rPr>
          <w:rFonts w:hint="eastAsia" w:ascii="宋体" w:hAnsi="宋体" w:cs="宋体"/>
          <w:kern w:val="0"/>
          <w:szCs w:val="24"/>
          <w:lang w:val="zh-CN"/>
        </w:rPr>
        <w:t>以上备查文件的备置地点：浙江省宁波市鄞州区启明南路</w:t>
      </w:r>
      <w:r>
        <w:rPr>
          <w:rFonts w:eastAsia="Times New Roman"/>
          <w:kern w:val="0"/>
          <w:szCs w:val="24"/>
          <w:lang w:val="zh-CN"/>
        </w:rPr>
        <w:t>299</w:t>
      </w:r>
      <w:r>
        <w:rPr>
          <w:rFonts w:hint="eastAsia" w:ascii="宋体" w:hAnsi="宋体" w:cs="宋体"/>
          <w:kern w:val="0"/>
          <w:szCs w:val="24"/>
          <w:lang w:val="zh-CN"/>
        </w:rPr>
        <w:t>号公司证券事务部。</w:t>
      </w:r>
    </w:p>
    <w:sectPr>
      <w:pgSz w:w="11906" w:h="16838"/>
      <w:pgMar w:top="1440" w:right="1134"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华文中宋">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fldChar w:fldCharType="begin"/>
    </w:r>
    <w:r>
      <w:instrText xml:space="preserve"> PAGE </w:instrText>
    </w:r>
    <w:r>
      <w:fldChar w:fldCharType="separate"/>
    </w:r>
    <w:r>
      <w:t>21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t>美康生物科技股份有限公司</w:t>
    </w:r>
    <w:r>
      <w:t>2019</w:t>
    </w:r>
    <w:r>
      <w:rPr>
        <w:rFonts w:hint="eastAsia"/>
      </w:rPr>
      <w:t>年年度报告全文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D4A28"/>
    <w:multiLevelType w:val="multilevel"/>
    <w:tmpl w:val="08DD4A28"/>
    <w:lvl w:ilvl="0" w:tentative="0">
      <w:start w:val="2"/>
      <w:numFmt w:val="japaneseCounting"/>
      <w:lvlText w:val="（%1）"/>
      <w:lvlJc w:val="left"/>
      <w:pPr>
        <w:ind w:left="1081" w:hanging="720"/>
      </w:pPr>
      <w:rPr>
        <w:rFonts w:hint="default" w:ascii="宋体" w:hAnsi="宋体" w:eastAsia="宋体" w:cs="宋体"/>
      </w:rPr>
    </w:lvl>
    <w:lvl w:ilvl="1" w:tentative="0">
      <w:start w:val="1"/>
      <w:numFmt w:val="lowerLetter"/>
      <w:lvlText w:val="%2)"/>
      <w:lvlJc w:val="left"/>
      <w:pPr>
        <w:ind w:left="1201" w:hanging="420"/>
      </w:pPr>
    </w:lvl>
    <w:lvl w:ilvl="2" w:tentative="0">
      <w:start w:val="1"/>
      <w:numFmt w:val="lowerRoman"/>
      <w:lvlText w:val="%3."/>
      <w:lvlJc w:val="right"/>
      <w:pPr>
        <w:ind w:left="1621" w:hanging="420"/>
      </w:pPr>
    </w:lvl>
    <w:lvl w:ilvl="3" w:tentative="0">
      <w:start w:val="1"/>
      <w:numFmt w:val="decimal"/>
      <w:lvlText w:val="%4."/>
      <w:lvlJc w:val="left"/>
      <w:pPr>
        <w:ind w:left="2041" w:hanging="420"/>
      </w:pPr>
    </w:lvl>
    <w:lvl w:ilvl="4" w:tentative="0">
      <w:start w:val="1"/>
      <w:numFmt w:val="lowerLetter"/>
      <w:lvlText w:val="%5)"/>
      <w:lvlJc w:val="left"/>
      <w:pPr>
        <w:ind w:left="2461" w:hanging="420"/>
      </w:pPr>
    </w:lvl>
    <w:lvl w:ilvl="5" w:tentative="0">
      <w:start w:val="1"/>
      <w:numFmt w:val="lowerRoman"/>
      <w:lvlText w:val="%6."/>
      <w:lvlJc w:val="right"/>
      <w:pPr>
        <w:ind w:left="2881" w:hanging="420"/>
      </w:pPr>
    </w:lvl>
    <w:lvl w:ilvl="6" w:tentative="0">
      <w:start w:val="1"/>
      <w:numFmt w:val="decimal"/>
      <w:lvlText w:val="%7."/>
      <w:lvlJc w:val="left"/>
      <w:pPr>
        <w:ind w:left="3301" w:hanging="420"/>
      </w:pPr>
    </w:lvl>
    <w:lvl w:ilvl="7" w:tentative="0">
      <w:start w:val="1"/>
      <w:numFmt w:val="lowerLetter"/>
      <w:lvlText w:val="%8)"/>
      <w:lvlJc w:val="left"/>
      <w:pPr>
        <w:ind w:left="3721" w:hanging="420"/>
      </w:pPr>
    </w:lvl>
    <w:lvl w:ilvl="8" w:tentative="0">
      <w:start w:val="1"/>
      <w:numFmt w:val="lowerRoman"/>
      <w:lvlText w:val="%9."/>
      <w:lvlJc w:val="right"/>
      <w:pPr>
        <w:ind w:left="4141" w:hanging="420"/>
      </w:pPr>
    </w:lvl>
  </w:abstractNum>
  <w:abstractNum w:abstractNumId="1">
    <w:nsid w:val="0C7B0159"/>
    <w:multiLevelType w:val="singleLevel"/>
    <w:tmpl w:val="0C7B0159"/>
    <w:lvl w:ilvl="0" w:tentative="0">
      <w:start w:val="1"/>
      <w:numFmt w:val="decimal"/>
      <w:lvlText w:val="%1."/>
      <w:legacy w:legacy="1" w:legacySpace="0" w:legacyIndent="0"/>
      <w:lvlJc w:val="left"/>
      <w:rPr>
        <w:rFonts w:hint="eastAsia" w:ascii="宋体" w:hAnsi="宋体" w:eastAsia="宋体" w:cs="Times New Roman"/>
      </w:rPr>
    </w:lvl>
  </w:abstractNum>
  <w:abstractNum w:abstractNumId="2">
    <w:nsid w:val="138A39BB"/>
    <w:multiLevelType w:val="multilevel"/>
    <w:tmpl w:val="138A39BB"/>
    <w:lvl w:ilvl="0" w:tentative="0">
      <w:start w:val="1"/>
      <w:numFmt w:val="decimal"/>
      <w:lvlText w:val="%1、"/>
      <w:lvlJc w:val="left"/>
      <w:pPr>
        <w:ind w:left="721" w:hanging="360"/>
      </w:pPr>
      <w:rPr>
        <w:rFonts w:hint="default" w:ascii="宋体" w:hAnsi="宋体" w:eastAsia="宋体" w:cs="宋体"/>
      </w:rPr>
    </w:lvl>
    <w:lvl w:ilvl="1" w:tentative="0">
      <w:start w:val="1"/>
      <w:numFmt w:val="lowerLetter"/>
      <w:lvlText w:val="%2)"/>
      <w:lvlJc w:val="left"/>
      <w:pPr>
        <w:ind w:left="1201" w:hanging="420"/>
      </w:pPr>
    </w:lvl>
    <w:lvl w:ilvl="2" w:tentative="0">
      <w:start w:val="1"/>
      <w:numFmt w:val="lowerRoman"/>
      <w:lvlText w:val="%3."/>
      <w:lvlJc w:val="right"/>
      <w:pPr>
        <w:ind w:left="1621" w:hanging="420"/>
      </w:pPr>
    </w:lvl>
    <w:lvl w:ilvl="3" w:tentative="0">
      <w:start w:val="1"/>
      <w:numFmt w:val="decimal"/>
      <w:lvlText w:val="%4."/>
      <w:lvlJc w:val="left"/>
      <w:pPr>
        <w:ind w:left="2041" w:hanging="420"/>
      </w:pPr>
    </w:lvl>
    <w:lvl w:ilvl="4" w:tentative="0">
      <w:start w:val="1"/>
      <w:numFmt w:val="lowerLetter"/>
      <w:lvlText w:val="%5)"/>
      <w:lvlJc w:val="left"/>
      <w:pPr>
        <w:ind w:left="2461" w:hanging="420"/>
      </w:pPr>
    </w:lvl>
    <w:lvl w:ilvl="5" w:tentative="0">
      <w:start w:val="1"/>
      <w:numFmt w:val="lowerRoman"/>
      <w:lvlText w:val="%6."/>
      <w:lvlJc w:val="right"/>
      <w:pPr>
        <w:ind w:left="2881" w:hanging="420"/>
      </w:pPr>
    </w:lvl>
    <w:lvl w:ilvl="6" w:tentative="0">
      <w:start w:val="1"/>
      <w:numFmt w:val="decimal"/>
      <w:lvlText w:val="%7."/>
      <w:lvlJc w:val="left"/>
      <w:pPr>
        <w:ind w:left="3301" w:hanging="420"/>
      </w:pPr>
    </w:lvl>
    <w:lvl w:ilvl="7" w:tentative="0">
      <w:start w:val="1"/>
      <w:numFmt w:val="lowerLetter"/>
      <w:lvlText w:val="%8)"/>
      <w:lvlJc w:val="left"/>
      <w:pPr>
        <w:ind w:left="3721" w:hanging="420"/>
      </w:pPr>
    </w:lvl>
    <w:lvl w:ilvl="8" w:tentative="0">
      <w:start w:val="1"/>
      <w:numFmt w:val="lowerRoman"/>
      <w:lvlText w:val="%9."/>
      <w:lvlJc w:val="right"/>
      <w:pPr>
        <w:ind w:left="4141" w:hanging="420"/>
      </w:pPr>
    </w:lvl>
  </w:abstractNum>
  <w:abstractNum w:abstractNumId="3">
    <w:nsid w:val="149711A5"/>
    <w:multiLevelType w:val="multilevel"/>
    <w:tmpl w:val="149711A5"/>
    <w:lvl w:ilvl="0" w:tentative="0">
      <w:start w:val="22"/>
      <w:numFmt w:val="decimal"/>
      <w:lvlText w:val="%1、"/>
      <w:lvlJc w:val="left"/>
      <w:pPr>
        <w:ind w:left="444" w:hanging="44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B247107"/>
    <w:multiLevelType w:val="multilevel"/>
    <w:tmpl w:val="1B247107"/>
    <w:lvl w:ilvl="0" w:tentative="0">
      <w:start w:val="2"/>
      <w:numFmt w:val="decimal"/>
      <w:lvlText w:val="%1、"/>
      <w:lvlJc w:val="left"/>
      <w:pPr>
        <w:ind w:left="360" w:hanging="360"/>
      </w:pPr>
      <w:rPr>
        <w:rFonts w:hint="default"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9782E33"/>
    <w:multiLevelType w:val="singleLevel"/>
    <w:tmpl w:val="29782E33"/>
    <w:lvl w:ilvl="0" w:tentative="0">
      <w:start w:val="1"/>
      <w:numFmt w:val="decimal"/>
      <w:lvlText w:val="%1."/>
      <w:legacy w:legacy="1" w:legacySpace="0" w:legacyIndent="0"/>
      <w:lvlJc w:val="left"/>
      <w:rPr>
        <w:rFonts w:hint="eastAsia" w:ascii="宋体" w:hAnsi="宋体" w:eastAsia="宋体" w:cs="Times New Roman"/>
      </w:rPr>
    </w:lvl>
  </w:abstractNum>
  <w:abstractNum w:abstractNumId="6">
    <w:nsid w:val="2AE1346C"/>
    <w:multiLevelType w:val="multilevel"/>
    <w:tmpl w:val="2AE1346C"/>
    <w:lvl w:ilvl="0" w:tentative="0">
      <w:start w:val="3"/>
      <w:numFmt w:val="decimal"/>
      <w:lvlText w:val="%1、"/>
      <w:lvlJc w:val="left"/>
      <w:pPr>
        <w:ind w:left="720" w:hanging="360"/>
      </w:pPr>
      <w:rPr>
        <w:rFonts w:hint="default" w:ascii="宋体" w:hAnsi="宋体" w:eastAsia="宋体" w:cs="宋体"/>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
    <w:nsid w:val="30695CAA"/>
    <w:multiLevelType w:val="singleLevel"/>
    <w:tmpl w:val="30695CAA"/>
    <w:lvl w:ilvl="0" w:tentative="0">
      <w:start w:val="1"/>
      <w:numFmt w:val="decimal"/>
      <w:lvlText w:val="%1."/>
      <w:legacy w:legacy="1" w:legacySpace="0" w:legacyIndent="0"/>
      <w:lvlJc w:val="left"/>
      <w:rPr>
        <w:rFonts w:hint="eastAsia" w:ascii="宋体" w:hAnsi="宋体" w:eastAsia="宋体" w:cs="Times New Roman"/>
      </w:rPr>
    </w:lvl>
  </w:abstractNum>
  <w:abstractNum w:abstractNumId="8">
    <w:nsid w:val="31E60C2A"/>
    <w:multiLevelType w:val="singleLevel"/>
    <w:tmpl w:val="31E60C2A"/>
    <w:lvl w:ilvl="0" w:tentative="0">
      <w:start w:val="1"/>
      <w:numFmt w:val="decimal"/>
      <w:lvlText w:val="%1."/>
      <w:legacy w:legacy="1" w:legacySpace="0" w:legacyIndent="0"/>
      <w:lvlJc w:val="left"/>
      <w:rPr>
        <w:rFonts w:hint="eastAsia" w:ascii="宋体" w:hAnsi="宋体" w:eastAsia="宋体" w:cs="Times New Roman"/>
      </w:rPr>
    </w:lvl>
  </w:abstractNum>
  <w:abstractNum w:abstractNumId="9">
    <w:nsid w:val="34BD7225"/>
    <w:multiLevelType w:val="singleLevel"/>
    <w:tmpl w:val="34BD7225"/>
    <w:lvl w:ilvl="0" w:tentative="0">
      <w:start w:val="1"/>
      <w:numFmt w:val="decimal"/>
      <w:lvlText w:val="%1."/>
      <w:legacy w:legacy="1" w:legacySpace="0" w:legacyIndent="0"/>
      <w:lvlJc w:val="left"/>
      <w:rPr>
        <w:rFonts w:hint="eastAsia" w:ascii="宋体" w:hAnsi="宋体" w:eastAsia="宋体" w:cs="Times New Roman"/>
      </w:rPr>
    </w:lvl>
  </w:abstractNum>
  <w:abstractNum w:abstractNumId="10">
    <w:nsid w:val="3ADD74E9"/>
    <w:multiLevelType w:val="singleLevel"/>
    <w:tmpl w:val="3ADD74E9"/>
    <w:lvl w:ilvl="0" w:tentative="0">
      <w:start w:val="1"/>
      <w:numFmt w:val="decimal"/>
      <w:lvlText w:val="%1."/>
      <w:legacy w:legacy="1" w:legacySpace="0" w:legacyIndent="0"/>
      <w:lvlJc w:val="left"/>
      <w:rPr>
        <w:rFonts w:hint="eastAsia" w:ascii="宋体" w:hAnsi="宋体" w:eastAsia="宋体" w:cs="Times New Roman"/>
      </w:rPr>
    </w:lvl>
  </w:abstractNum>
  <w:abstractNum w:abstractNumId="11">
    <w:nsid w:val="3B416528"/>
    <w:multiLevelType w:val="multilevel"/>
    <w:tmpl w:val="3B416528"/>
    <w:lvl w:ilvl="0" w:tentative="0">
      <w:start w:val="2"/>
      <w:numFmt w:val="decimal"/>
      <w:lvlText w:val="%1、"/>
      <w:lvlJc w:val="left"/>
      <w:pPr>
        <w:ind w:left="721" w:hanging="360"/>
      </w:pPr>
      <w:rPr>
        <w:rFonts w:hint="default" w:ascii="宋体" w:hAnsi="宋体" w:eastAsia="宋体" w:cs="宋体"/>
      </w:rPr>
    </w:lvl>
    <w:lvl w:ilvl="1" w:tentative="0">
      <w:start w:val="1"/>
      <w:numFmt w:val="lowerLetter"/>
      <w:lvlText w:val="%2)"/>
      <w:lvlJc w:val="left"/>
      <w:pPr>
        <w:ind w:left="1201" w:hanging="420"/>
      </w:pPr>
    </w:lvl>
    <w:lvl w:ilvl="2" w:tentative="0">
      <w:start w:val="1"/>
      <w:numFmt w:val="lowerRoman"/>
      <w:lvlText w:val="%3."/>
      <w:lvlJc w:val="right"/>
      <w:pPr>
        <w:ind w:left="1621" w:hanging="420"/>
      </w:pPr>
    </w:lvl>
    <w:lvl w:ilvl="3" w:tentative="0">
      <w:start w:val="1"/>
      <w:numFmt w:val="decimal"/>
      <w:lvlText w:val="%4."/>
      <w:lvlJc w:val="left"/>
      <w:pPr>
        <w:ind w:left="2041" w:hanging="420"/>
      </w:pPr>
    </w:lvl>
    <w:lvl w:ilvl="4" w:tentative="0">
      <w:start w:val="1"/>
      <w:numFmt w:val="lowerLetter"/>
      <w:lvlText w:val="%5)"/>
      <w:lvlJc w:val="left"/>
      <w:pPr>
        <w:ind w:left="2461" w:hanging="420"/>
      </w:pPr>
    </w:lvl>
    <w:lvl w:ilvl="5" w:tentative="0">
      <w:start w:val="1"/>
      <w:numFmt w:val="lowerRoman"/>
      <w:lvlText w:val="%6."/>
      <w:lvlJc w:val="right"/>
      <w:pPr>
        <w:ind w:left="2881" w:hanging="420"/>
      </w:pPr>
    </w:lvl>
    <w:lvl w:ilvl="6" w:tentative="0">
      <w:start w:val="1"/>
      <w:numFmt w:val="decimal"/>
      <w:lvlText w:val="%7."/>
      <w:lvlJc w:val="left"/>
      <w:pPr>
        <w:ind w:left="3301" w:hanging="420"/>
      </w:pPr>
    </w:lvl>
    <w:lvl w:ilvl="7" w:tentative="0">
      <w:start w:val="1"/>
      <w:numFmt w:val="lowerLetter"/>
      <w:lvlText w:val="%8)"/>
      <w:lvlJc w:val="left"/>
      <w:pPr>
        <w:ind w:left="3721" w:hanging="420"/>
      </w:pPr>
    </w:lvl>
    <w:lvl w:ilvl="8" w:tentative="0">
      <w:start w:val="1"/>
      <w:numFmt w:val="lowerRoman"/>
      <w:lvlText w:val="%9."/>
      <w:lvlJc w:val="right"/>
      <w:pPr>
        <w:ind w:left="4141" w:hanging="420"/>
      </w:pPr>
    </w:lvl>
  </w:abstractNum>
  <w:abstractNum w:abstractNumId="12">
    <w:nsid w:val="3F4212B5"/>
    <w:multiLevelType w:val="multilevel"/>
    <w:tmpl w:val="3F4212B5"/>
    <w:lvl w:ilvl="0" w:tentative="0">
      <w:start w:val="26"/>
      <w:numFmt w:val="decimal"/>
      <w:lvlText w:val="%1、"/>
      <w:lvlJc w:val="left"/>
      <w:pPr>
        <w:ind w:left="444" w:hanging="44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3EB5A1D"/>
    <w:multiLevelType w:val="multilevel"/>
    <w:tmpl w:val="43EB5A1D"/>
    <w:lvl w:ilvl="0" w:tentative="0">
      <w:start w:val="15"/>
      <w:numFmt w:val="decimal"/>
      <w:lvlText w:val="%1、"/>
      <w:lvlJc w:val="left"/>
      <w:pPr>
        <w:ind w:left="444" w:hanging="44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BA25313"/>
    <w:multiLevelType w:val="multilevel"/>
    <w:tmpl w:val="4BA25313"/>
    <w:lvl w:ilvl="0" w:tentative="0">
      <w:start w:val="1"/>
      <w:numFmt w:val="chineseCounting"/>
      <w:pStyle w:val="17"/>
      <w:lvlText w:val="%1、"/>
      <w:lvlJc w:val="left"/>
      <w:pPr>
        <w:ind w:left="709" w:hanging="709"/>
      </w:pPr>
      <w:rPr>
        <w:rFonts w:cs="Times New Roman"/>
      </w:rPr>
    </w:lvl>
    <w:lvl w:ilvl="1" w:tentative="0">
      <w:start w:val="1"/>
      <w:numFmt w:val="chineseCountingThousand"/>
      <w:pStyle w:val="19"/>
      <w:lvlText w:val="(%2)"/>
      <w:lvlJc w:val="left"/>
      <w:pPr>
        <w:ind w:left="709" w:hanging="709"/>
      </w:pPr>
      <w:rPr>
        <w:rFonts w:cs="Times New Roman"/>
      </w:rPr>
    </w:lvl>
    <w:lvl w:ilvl="2" w:tentative="0">
      <w:start w:val="1"/>
      <w:numFmt w:val="decimal"/>
      <w:lvlText w:val="%3、"/>
      <w:lvlJc w:val="left"/>
      <w:pPr>
        <w:ind w:left="1276" w:hanging="567"/>
      </w:pPr>
      <w:rPr>
        <w:rFonts w:cs="Times New Roman"/>
        <w:b/>
      </w:rPr>
    </w:lvl>
    <w:lvl w:ilvl="3" w:tentative="0">
      <w:start w:val="1"/>
      <w:numFmt w:val="decimal"/>
      <w:lvlText w:val="%1.%2.%3.%4"/>
      <w:lvlJc w:val="left"/>
      <w:pPr>
        <w:ind w:left="1984" w:hanging="708"/>
      </w:pPr>
      <w:rPr>
        <w:rFonts w:cs="Times New Roman"/>
      </w:rPr>
    </w:lvl>
    <w:lvl w:ilvl="4" w:tentative="0">
      <w:start w:val="1"/>
      <w:numFmt w:val="decimal"/>
      <w:lvlText w:val="%1.%2.%3.%4.%5"/>
      <w:lvlJc w:val="left"/>
      <w:pPr>
        <w:ind w:left="2551" w:hanging="850"/>
      </w:pPr>
      <w:rPr>
        <w:rFonts w:cs="Times New Roman"/>
      </w:rPr>
    </w:lvl>
    <w:lvl w:ilvl="5" w:tentative="0">
      <w:start w:val="1"/>
      <w:numFmt w:val="decimal"/>
      <w:lvlText w:val="%1.%2.%3.%4.%5.%6"/>
      <w:lvlJc w:val="left"/>
      <w:pPr>
        <w:ind w:left="3260" w:hanging="1134"/>
      </w:pPr>
      <w:rPr>
        <w:rFonts w:cs="Times New Roman"/>
      </w:rPr>
    </w:lvl>
    <w:lvl w:ilvl="6" w:tentative="0">
      <w:start w:val="1"/>
      <w:numFmt w:val="decimal"/>
      <w:lvlText w:val="%1.%2.%3.%4.%5.%6.%7"/>
      <w:lvlJc w:val="left"/>
      <w:pPr>
        <w:ind w:left="3827" w:hanging="1276"/>
      </w:pPr>
      <w:rPr>
        <w:rFonts w:cs="Times New Roman"/>
      </w:rPr>
    </w:lvl>
    <w:lvl w:ilvl="7" w:tentative="0">
      <w:start w:val="1"/>
      <w:numFmt w:val="decimal"/>
      <w:lvlText w:val="%1.%2.%3.%4.%5.%6.%7.%8"/>
      <w:lvlJc w:val="left"/>
      <w:pPr>
        <w:ind w:left="4394" w:hanging="1418"/>
      </w:pPr>
      <w:rPr>
        <w:rFonts w:cs="Times New Roman"/>
      </w:rPr>
    </w:lvl>
    <w:lvl w:ilvl="8" w:tentative="0">
      <w:start w:val="1"/>
      <w:numFmt w:val="decimal"/>
      <w:lvlText w:val="%1.%2.%3.%4.%5.%6.%7.%8.%9"/>
      <w:lvlJc w:val="left"/>
      <w:pPr>
        <w:ind w:left="5102" w:hanging="1700"/>
      </w:pPr>
      <w:rPr>
        <w:rFonts w:cs="Times New Roman"/>
      </w:rPr>
    </w:lvl>
  </w:abstractNum>
  <w:abstractNum w:abstractNumId="15">
    <w:nsid w:val="4BC76886"/>
    <w:multiLevelType w:val="singleLevel"/>
    <w:tmpl w:val="4BC76886"/>
    <w:lvl w:ilvl="0" w:tentative="0">
      <w:start w:val="1"/>
      <w:numFmt w:val="decimal"/>
      <w:lvlText w:val="%1."/>
      <w:legacy w:legacy="1" w:legacySpace="0" w:legacyIndent="0"/>
      <w:lvlJc w:val="left"/>
      <w:rPr>
        <w:rFonts w:hint="eastAsia" w:ascii="宋体" w:hAnsi="宋体" w:eastAsia="宋体" w:cs="Times New Roman"/>
      </w:rPr>
    </w:lvl>
  </w:abstractNum>
  <w:abstractNum w:abstractNumId="16">
    <w:nsid w:val="553215B5"/>
    <w:multiLevelType w:val="multilevel"/>
    <w:tmpl w:val="553215B5"/>
    <w:lvl w:ilvl="0" w:tentative="0">
      <w:start w:val="2"/>
      <w:numFmt w:val="decimal"/>
      <w:lvlText w:val="%1、"/>
      <w:lvlJc w:val="left"/>
      <w:pPr>
        <w:ind w:left="360" w:hanging="360"/>
      </w:pPr>
      <w:rPr>
        <w:rFonts w:hint="default"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5B0809C3"/>
    <w:multiLevelType w:val="multilevel"/>
    <w:tmpl w:val="5B0809C3"/>
    <w:lvl w:ilvl="0" w:tentative="0">
      <w:start w:val="8"/>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2502C9D"/>
    <w:multiLevelType w:val="singleLevel"/>
    <w:tmpl w:val="72502C9D"/>
    <w:lvl w:ilvl="0" w:tentative="0">
      <w:start w:val="1"/>
      <w:numFmt w:val="decimal"/>
      <w:lvlText w:val="%1."/>
      <w:legacy w:legacy="1" w:legacySpace="0" w:legacyIndent="0"/>
      <w:lvlJc w:val="left"/>
      <w:rPr>
        <w:rFonts w:hint="eastAsia" w:ascii="宋体" w:hAnsi="宋体" w:eastAsia="宋体" w:cs="Times New Roman"/>
      </w:rPr>
    </w:lvl>
  </w:abstractNum>
  <w:abstractNum w:abstractNumId="19">
    <w:nsid w:val="75946EAD"/>
    <w:multiLevelType w:val="singleLevel"/>
    <w:tmpl w:val="75946EAD"/>
    <w:lvl w:ilvl="0" w:tentative="0">
      <w:start w:val="1"/>
      <w:numFmt w:val="decimal"/>
      <w:lvlText w:val="%1."/>
      <w:legacy w:legacy="1" w:legacySpace="0" w:legacyIndent="0"/>
      <w:lvlJc w:val="left"/>
      <w:rPr>
        <w:rFonts w:hint="eastAsia" w:ascii="宋体" w:hAnsi="宋体" w:eastAsia="宋体" w:cs="Times New Roman"/>
      </w:rPr>
    </w:lvl>
  </w:abstractNum>
  <w:num w:numId="1">
    <w:abstractNumId w:val="14"/>
  </w:num>
  <w:num w:numId="2">
    <w:abstractNumId w:val="9"/>
  </w:num>
  <w:num w:numId="3">
    <w:abstractNumId w:val="15"/>
  </w:num>
  <w:num w:numId="4">
    <w:abstractNumId w:val="19"/>
  </w:num>
  <w:num w:numId="5">
    <w:abstractNumId w:val="8"/>
  </w:num>
  <w:num w:numId="6">
    <w:abstractNumId w:val="7"/>
  </w:num>
  <w:num w:numId="7">
    <w:abstractNumId w:val="1"/>
  </w:num>
  <w:num w:numId="8">
    <w:abstractNumId w:val="18"/>
  </w:num>
  <w:num w:numId="9">
    <w:abstractNumId w:val="13"/>
  </w:num>
  <w:num w:numId="10">
    <w:abstractNumId w:val="16"/>
  </w:num>
  <w:num w:numId="11">
    <w:abstractNumId w:val="3"/>
  </w:num>
  <w:num w:numId="12">
    <w:abstractNumId w:val="4"/>
  </w:num>
  <w:num w:numId="13">
    <w:abstractNumId w:val="12"/>
  </w:num>
  <w:num w:numId="14">
    <w:abstractNumId w:val="6"/>
  </w:num>
  <w:num w:numId="15">
    <w:abstractNumId w:val="2"/>
  </w:num>
  <w:num w:numId="16">
    <w:abstractNumId w:val="11"/>
  </w:num>
  <w:num w:numId="17">
    <w:abstractNumId w:val="5"/>
  </w:num>
  <w:num w:numId="18">
    <w:abstractNumId w:val="10"/>
  </w:num>
  <w:num w:numId="19">
    <w:abstractNumId w:val="1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hideSpellingErrors/>
  <w:documentProtection w:enforcement="0"/>
  <w:defaultTabStop w:val="420"/>
  <w:doNotHyphenateCaps/>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8AA"/>
    <w:rsid w:val="00017BF1"/>
    <w:rsid w:val="000235E7"/>
    <w:rsid w:val="000349E8"/>
    <w:rsid w:val="000463CA"/>
    <w:rsid w:val="000518AE"/>
    <w:rsid w:val="00077569"/>
    <w:rsid w:val="00085A89"/>
    <w:rsid w:val="0009005F"/>
    <w:rsid w:val="00096DCD"/>
    <w:rsid w:val="000E352B"/>
    <w:rsid w:val="000F410D"/>
    <w:rsid w:val="00110F72"/>
    <w:rsid w:val="00125019"/>
    <w:rsid w:val="001825E9"/>
    <w:rsid w:val="00192EF3"/>
    <w:rsid w:val="00197BBD"/>
    <w:rsid w:val="001A5572"/>
    <w:rsid w:val="001E0DD6"/>
    <w:rsid w:val="00203363"/>
    <w:rsid w:val="00236ED7"/>
    <w:rsid w:val="002703BD"/>
    <w:rsid w:val="002729A5"/>
    <w:rsid w:val="002865D6"/>
    <w:rsid w:val="002A0DB8"/>
    <w:rsid w:val="002B54A1"/>
    <w:rsid w:val="002D6F0C"/>
    <w:rsid w:val="002F37C5"/>
    <w:rsid w:val="002F3EDD"/>
    <w:rsid w:val="002F5226"/>
    <w:rsid w:val="003009B1"/>
    <w:rsid w:val="0030682D"/>
    <w:rsid w:val="0031060B"/>
    <w:rsid w:val="00317F9E"/>
    <w:rsid w:val="00321E7F"/>
    <w:rsid w:val="0032344C"/>
    <w:rsid w:val="0033553D"/>
    <w:rsid w:val="003515CC"/>
    <w:rsid w:val="00366E4D"/>
    <w:rsid w:val="00376D28"/>
    <w:rsid w:val="003B4E7F"/>
    <w:rsid w:val="003B68B1"/>
    <w:rsid w:val="003D3E84"/>
    <w:rsid w:val="003D4178"/>
    <w:rsid w:val="003D609C"/>
    <w:rsid w:val="00430D84"/>
    <w:rsid w:val="0045219E"/>
    <w:rsid w:val="00463601"/>
    <w:rsid w:val="00467C5F"/>
    <w:rsid w:val="00467D77"/>
    <w:rsid w:val="00483F05"/>
    <w:rsid w:val="004841DB"/>
    <w:rsid w:val="004A3B19"/>
    <w:rsid w:val="004A447B"/>
    <w:rsid w:val="004B1DDB"/>
    <w:rsid w:val="004C6083"/>
    <w:rsid w:val="004E01F0"/>
    <w:rsid w:val="004E2E1A"/>
    <w:rsid w:val="005220E5"/>
    <w:rsid w:val="005318D0"/>
    <w:rsid w:val="00552042"/>
    <w:rsid w:val="00572860"/>
    <w:rsid w:val="00573913"/>
    <w:rsid w:val="00587AD2"/>
    <w:rsid w:val="0059188B"/>
    <w:rsid w:val="005A0C37"/>
    <w:rsid w:val="005B78D8"/>
    <w:rsid w:val="005C1247"/>
    <w:rsid w:val="005C5BDF"/>
    <w:rsid w:val="005F7BE4"/>
    <w:rsid w:val="00600FE5"/>
    <w:rsid w:val="00623E49"/>
    <w:rsid w:val="00640F60"/>
    <w:rsid w:val="00643886"/>
    <w:rsid w:val="006470E3"/>
    <w:rsid w:val="00647AF1"/>
    <w:rsid w:val="006529C2"/>
    <w:rsid w:val="006576C0"/>
    <w:rsid w:val="0066073E"/>
    <w:rsid w:val="006B3638"/>
    <w:rsid w:val="006B6BCE"/>
    <w:rsid w:val="007073DD"/>
    <w:rsid w:val="007103E5"/>
    <w:rsid w:val="00731DDC"/>
    <w:rsid w:val="00741662"/>
    <w:rsid w:val="00752BCD"/>
    <w:rsid w:val="0076339A"/>
    <w:rsid w:val="00774D9E"/>
    <w:rsid w:val="0079157A"/>
    <w:rsid w:val="007E3188"/>
    <w:rsid w:val="007F2335"/>
    <w:rsid w:val="008116EA"/>
    <w:rsid w:val="00822A77"/>
    <w:rsid w:val="00826B4E"/>
    <w:rsid w:val="008423F0"/>
    <w:rsid w:val="00846C35"/>
    <w:rsid w:val="00851EC9"/>
    <w:rsid w:val="0085502E"/>
    <w:rsid w:val="0085610C"/>
    <w:rsid w:val="008728B2"/>
    <w:rsid w:val="0089483E"/>
    <w:rsid w:val="008B51EA"/>
    <w:rsid w:val="008D61E1"/>
    <w:rsid w:val="008E4D27"/>
    <w:rsid w:val="008F2A96"/>
    <w:rsid w:val="00936DFA"/>
    <w:rsid w:val="00941704"/>
    <w:rsid w:val="00942EA3"/>
    <w:rsid w:val="00950330"/>
    <w:rsid w:val="009741FD"/>
    <w:rsid w:val="00976268"/>
    <w:rsid w:val="009C6491"/>
    <w:rsid w:val="009D0A3D"/>
    <w:rsid w:val="009E2DF1"/>
    <w:rsid w:val="00A05307"/>
    <w:rsid w:val="00A11915"/>
    <w:rsid w:val="00A2702C"/>
    <w:rsid w:val="00A4029E"/>
    <w:rsid w:val="00A425D8"/>
    <w:rsid w:val="00A52EF6"/>
    <w:rsid w:val="00A56C5B"/>
    <w:rsid w:val="00A90B39"/>
    <w:rsid w:val="00A92252"/>
    <w:rsid w:val="00A92E51"/>
    <w:rsid w:val="00A94330"/>
    <w:rsid w:val="00A962A2"/>
    <w:rsid w:val="00A975EA"/>
    <w:rsid w:val="00AA44A4"/>
    <w:rsid w:val="00AA58E4"/>
    <w:rsid w:val="00AD18BE"/>
    <w:rsid w:val="00AE66F7"/>
    <w:rsid w:val="00AF050C"/>
    <w:rsid w:val="00AF215D"/>
    <w:rsid w:val="00AF5CF6"/>
    <w:rsid w:val="00B04211"/>
    <w:rsid w:val="00B42AAE"/>
    <w:rsid w:val="00B644AB"/>
    <w:rsid w:val="00B64CE5"/>
    <w:rsid w:val="00B81E9C"/>
    <w:rsid w:val="00B84AF1"/>
    <w:rsid w:val="00B8711A"/>
    <w:rsid w:val="00BA017A"/>
    <w:rsid w:val="00BA1E1E"/>
    <w:rsid w:val="00BA28AA"/>
    <w:rsid w:val="00BB0CC5"/>
    <w:rsid w:val="00BC12E7"/>
    <w:rsid w:val="00BC3014"/>
    <w:rsid w:val="00BC44D9"/>
    <w:rsid w:val="00BD3423"/>
    <w:rsid w:val="00C172B8"/>
    <w:rsid w:val="00C8499D"/>
    <w:rsid w:val="00CD4998"/>
    <w:rsid w:val="00D34023"/>
    <w:rsid w:val="00D41A6F"/>
    <w:rsid w:val="00D63338"/>
    <w:rsid w:val="00D64643"/>
    <w:rsid w:val="00D8753F"/>
    <w:rsid w:val="00D94B1C"/>
    <w:rsid w:val="00DB2148"/>
    <w:rsid w:val="00DB7FD6"/>
    <w:rsid w:val="00DC34E4"/>
    <w:rsid w:val="00E249E3"/>
    <w:rsid w:val="00E92356"/>
    <w:rsid w:val="00EE3E9A"/>
    <w:rsid w:val="00EE4442"/>
    <w:rsid w:val="00F03673"/>
    <w:rsid w:val="00F1287C"/>
    <w:rsid w:val="00F23364"/>
    <w:rsid w:val="00F35B7D"/>
    <w:rsid w:val="00F534E1"/>
    <w:rsid w:val="00F560BC"/>
    <w:rsid w:val="00FC4898"/>
    <w:rsid w:val="00FC58AB"/>
    <w:rsid w:val="00FD3E60"/>
    <w:rsid w:val="00FE30D3"/>
    <w:rsid w:val="6BF35C8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name="annotation text"/>
    <w:lsdException w:unhideWhenUsed="0"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40" w:after="40"/>
      <w:jc w:val="both"/>
    </w:pPr>
    <w:rPr>
      <w:rFonts w:ascii="Times New Roman" w:hAnsi="Times New Roman" w:eastAsia="宋体" w:cs="Times New Roman"/>
      <w:kern w:val="2"/>
      <w:sz w:val="18"/>
      <w:szCs w:val="18"/>
      <w:lang w:val="en-US" w:eastAsia="zh-CN" w:bidi="ar-SA"/>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32"/>
    <w:semiHidden/>
    <w:uiPriority w:val="0"/>
    <w:pPr>
      <w:widowControl/>
      <w:spacing w:before="0" w:after="0" w:line="400" w:lineRule="atLeast"/>
      <w:jc w:val="left"/>
    </w:pPr>
    <w:rPr>
      <w:rFonts w:asciiTheme="minorHAnsi" w:hAnsiTheme="minorHAnsi" w:eastAsiaTheme="minorEastAsia" w:cstheme="minorBidi"/>
      <w:sz w:val="21"/>
      <w:szCs w:val="21"/>
    </w:rPr>
  </w:style>
  <w:style w:type="paragraph" w:styleId="3">
    <w:name w:val="Balloon Text"/>
    <w:basedOn w:val="1"/>
    <w:link w:val="23"/>
    <w:semiHidden/>
    <w:unhideWhenUsed/>
    <w:uiPriority w:val="99"/>
    <w:pPr>
      <w:spacing w:before="0" w:after="0"/>
    </w:pPr>
  </w:style>
  <w:style w:type="paragraph" w:styleId="4">
    <w:name w:val="footer"/>
    <w:basedOn w:val="1"/>
    <w:link w:val="16"/>
    <w:uiPriority w:val="99"/>
    <w:pPr>
      <w:tabs>
        <w:tab w:val="center" w:pos="4153"/>
        <w:tab w:val="right" w:pos="8306"/>
      </w:tabs>
      <w:snapToGrid w:val="0"/>
      <w:spacing w:before="0" w:after="0"/>
      <w:jc w:val="right"/>
    </w:pPr>
  </w:style>
  <w:style w:type="paragraph" w:styleId="5">
    <w:name w:val="header"/>
    <w:basedOn w:val="1"/>
    <w:link w:val="15"/>
    <w:uiPriority w:val="99"/>
    <w:pPr>
      <w:pBdr>
        <w:bottom w:val="single" w:color="auto" w:sz="6" w:space="1"/>
      </w:pBdr>
      <w:tabs>
        <w:tab w:val="center" w:pos="4153"/>
        <w:tab w:val="right" w:pos="8306"/>
      </w:tabs>
      <w:snapToGrid w:val="0"/>
      <w:spacing w:before="0" w:after="0"/>
      <w:jc w:val="right"/>
    </w:pPr>
  </w:style>
  <w:style w:type="paragraph" w:styleId="6">
    <w:name w:val="toc 1"/>
    <w:basedOn w:val="1"/>
    <w:next w:val="1"/>
    <w:unhideWhenUsed/>
    <w:uiPriority w:val="39"/>
  </w:style>
  <w:style w:type="paragraph" w:styleId="7">
    <w:name w:val="index 1"/>
    <w:basedOn w:val="1"/>
    <w:next w:val="1"/>
    <w:semiHidden/>
    <w:uiPriority w:val="0"/>
    <w:pPr>
      <w:widowControl/>
      <w:spacing w:before="0" w:after="0" w:line="400" w:lineRule="atLeast"/>
      <w:jc w:val="left"/>
    </w:pPr>
    <w:rPr>
      <w:rFonts w:asciiTheme="minorHAnsi" w:hAnsiTheme="minorHAnsi" w:eastAsiaTheme="minorEastAsia" w:cstheme="minorBidi"/>
      <w:sz w:val="21"/>
      <w:szCs w:val="21"/>
    </w:rPr>
  </w:style>
  <w:style w:type="paragraph" w:styleId="8">
    <w:name w:val="Title"/>
    <w:basedOn w:val="1"/>
    <w:next w:val="1"/>
    <w:link w:val="12"/>
    <w:qFormat/>
    <w:uiPriority w:val="99"/>
    <w:pPr>
      <w:keepNext/>
      <w:keepLines/>
      <w:spacing w:before="340" w:after="330" w:line="578" w:lineRule="auto"/>
      <w:jc w:val="center"/>
    </w:pPr>
    <w:rPr>
      <w:b/>
      <w:bCs/>
      <w:kern w:val="32"/>
      <w:sz w:val="32"/>
      <w:szCs w:val="32"/>
    </w:rPr>
  </w:style>
  <w:style w:type="character" w:styleId="11">
    <w:name w:val="Hyperlink"/>
    <w:basedOn w:val="10"/>
    <w:unhideWhenUsed/>
    <w:uiPriority w:val="99"/>
    <w:rPr>
      <w:color w:val="0563C1" w:themeColor="hyperlink"/>
      <w:u w:val="single"/>
      <w14:textFill>
        <w14:solidFill>
          <w14:schemeClr w14:val="hlink"/>
        </w14:solidFill>
      </w14:textFill>
    </w:rPr>
  </w:style>
  <w:style w:type="character" w:customStyle="1" w:styleId="12">
    <w:name w:val="标题 Char"/>
    <w:basedOn w:val="10"/>
    <w:link w:val="8"/>
    <w:locked/>
    <w:uiPriority w:val="10"/>
    <w:rPr>
      <w:rFonts w:eastAsia="宋体" w:cs="Times New Roman" w:asciiTheme="majorHAnsi" w:hAnsiTheme="majorHAnsi"/>
      <w:b/>
      <w:bCs/>
      <w:sz w:val="32"/>
      <w:szCs w:val="32"/>
    </w:rPr>
  </w:style>
  <w:style w:type="paragraph" w:customStyle="1" w:styleId="13">
    <w:name w:val="Chapter"/>
    <w:next w:val="1"/>
    <w:uiPriority w:val="99"/>
    <w:pPr>
      <w:keepNext/>
      <w:keepLines/>
      <w:widowControl w:val="0"/>
      <w:spacing w:before="300" w:after="300" w:line="241" w:lineRule="auto"/>
      <w:jc w:val="both"/>
    </w:pPr>
    <w:rPr>
      <w:rFonts w:ascii="Times New Roman" w:hAnsi="Times New Roman" w:eastAsia="宋体" w:cs="Times New Roman"/>
      <w:b/>
      <w:bCs/>
      <w:kern w:val="28"/>
      <w:sz w:val="24"/>
      <w:szCs w:val="24"/>
      <w:lang w:val="en-US" w:eastAsia="zh-CN" w:bidi="ar-SA"/>
    </w:rPr>
  </w:style>
  <w:style w:type="paragraph" w:customStyle="1" w:styleId="14">
    <w:name w:val="Section"/>
    <w:next w:val="1"/>
    <w:qFormat/>
    <w:uiPriority w:val="99"/>
    <w:pPr>
      <w:keepNext/>
      <w:keepLines/>
      <w:widowControl w:val="0"/>
      <w:spacing w:before="300" w:after="300" w:line="241" w:lineRule="auto"/>
      <w:jc w:val="both"/>
    </w:pPr>
    <w:rPr>
      <w:rFonts w:ascii="Times New Roman" w:hAnsi="Times New Roman" w:eastAsia="宋体" w:cs="Times New Roman"/>
      <w:b/>
      <w:bCs/>
      <w:kern w:val="28"/>
      <w:sz w:val="21"/>
      <w:szCs w:val="21"/>
      <w:lang w:val="en-US" w:eastAsia="zh-CN" w:bidi="ar-SA"/>
    </w:rPr>
  </w:style>
  <w:style w:type="character" w:customStyle="1" w:styleId="15">
    <w:name w:val="页眉 Char"/>
    <w:basedOn w:val="10"/>
    <w:link w:val="5"/>
    <w:semiHidden/>
    <w:qFormat/>
    <w:locked/>
    <w:uiPriority w:val="99"/>
    <w:rPr>
      <w:rFonts w:ascii="Times New Roman" w:hAnsi="Times New Roman" w:eastAsia="宋体" w:cs="Times New Roman"/>
      <w:sz w:val="18"/>
      <w:szCs w:val="18"/>
    </w:rPr>
  </w:style>
  <w:style w:type="character" w:customStyle="1" w:styleId="16">
    <w:name w:val="页脚 Char"/>
    <w:basedOn w:val="10"/>
    <w:link w:val="4"/>
    <w:semiHidden/>
    <w:locked/>
    <w:uiPriority w:val="99"/>
    <w:rPr>
      <w:rFonts w:ascii="Times New Roman" w:hAnsi="Times New Roman" w:eastAsia="宋体" w:cs="Times New Roman"/>
      <w:sz w:val="18"/>
      <w:szCs w:val="18"/>
    </w:rPr>
  </w:style>
  <w:style w:type="paragraph" w:customStyle="1" w:styleId="17">
    <w:name w:val="立信附注标题 [1级]"/>
    <w:next w:val="1"/>
    <w:link w:val="18"/>
    <w:uiPriority w:val="0"/>
    <w:pPr>
      <w:widowControl w:val="0"/>
      <w:numPr>
        <w:ilvl w:val="0"/>
        <w:numId w:val="1"/>
      </w:numPr>
      <w:tabs>
        <w:tab w:val="left" w:pos="714"/>
        <w:tab w:val="left" w:pos="850"/>
      </w:tabs>
      <w:adjustRightInd w:val="0"/>
      <w:snapToGrid w:val="0"/>
      <w:spacing w:line="400" w:lineRule="atLeast"/>
      <w:jc w:val="both"/>
      <w:outlineLvl w:val="0"/>
    </w:pPr>
    <w:rPr>
      <w:rFonts w:ascii="Times New Roman" w:hAnsi="Times New Roman" w:eastAsia="宋体" w:cs="Times New Roman"/>
      <w:b/>
      <w:color w:val="000000"/>
      <w:kern w:val="2"/>
      <w:sz w:val="21"/>
      <w:szCs w:val="21"/>
      <w:lang w:val="en-US" w:eastAsia="zh-CN" w:bidi="ar-SA"/>
    </w:rPr>
  </w:style>
  <w:style w:type="character" w:customStyle="1" w:styleId="18">
    <w:name w:val="立信附注标题 [1级] Char"/>
    <w:basedOn w:val="10"/>
    <w:link w:val="17"/>
    <w:uiPriority w:val="0"/>
    <w:rPr>
      <w:rFonts w:ascii="Times New Roman" w:hAnsi="Times New Roman" w:eastAsia="宋体"/>
      <w:b/>
      <w:color w:val="000000"/>
    </w:rPr>
  </w:style>
  <w:style w:type="paragraph" w:customStyle="1" w:styleId="19">
    <w:name w:val="立信附注标题 [2级]"/>
    <w:next w:val="1"/>
    <w:link w:val="20"/>
    <w:uiPriority w:val="0"/>
    <w:pPr>
      <w:widowControl w:val="0"/>
      <w:numPr>
        <w:ilvl w:val="1"/>
        <w:numId w:val="1"/>
      </w:numPr>
      <w:tabs>
        <w:tab w:val="left" w:pos="714"/>
        <w:tab w:val="left" w:pos="850"/>
      </w:tabs>
      <w:adjustRightInd w:val="0"/>
      <w:snapToGrid w:val="0"/>
      <w:spacing w:line="400" w:lineRule="atLeast"/>
      <w:jc w:val="both"/>
      <w:outlineLvl w:val="1"/>
    </w:pPr>
    <w:rPr>
      <w:rFonts w:ascii="Times New Roman" w:hAnsi="Times New Roman" w:eastAsia="宋体" w:cs="Times New Roman"/>
      <w:b/>
      <w:color w:val="000000"/>
      <w:kern w:val="2"/>
      <w:sz w:val="21"/>
      <w:szCs w:val="21"/>
      <w:lang w:val="en-US" w:eastAsia="zh-CN" w:bidi="ar-SA"/>
    </w:rPr>
  </w:style>
  <w:style w:type="character" w:customStyle="1" w:styleId="20">
    <w:name w:val="立信附注标题 [2级] Char"/>
    <w:basedOn w:val="10"/>
    <w:link w:val="19"/>
    <w:qFormat/>
    <w:uiPriority w:val="0"/>
    <w:rPr>
      <w:rFonts w:ascii="Times New Roman" w:hAnsi="Times New Roman" w:eastAsia="宋体"/>
      <w:b/>
      <w:color w:val="000000"/>
    </w:rPr>
  </w:style>
  <w:style w:type="paragraph" w:customStyle="1" w:styleId="21">
    <w:name w:val="立信附注标题 [3级]"/>
    <w:next w:val="1"/>
    <w:link w:val="22"/>
    <w:qFormat/>
    <w:uiPriority w:val="0"/>
    <w:pPr>
      <w:widowControl w:val="0"/>
      <w:tabs>
        <w:tab w:val="left" w:pos="0"/>
      </w:tabs>
      <w:adjustRightInd w:val="0"/>
      <w:snapToGrid w:val="0"/>
      <w:spacing w:line="400" w:lineRule="atLeast"/>
      <w:ind w:left="1276" w:hanging="567"/>
      <w:jc w:val="both"/>
      <w:outlineLvl w:val="2"/>
    </w:pPr>
    <w:rPr>
      <w:rFonts w:ascii="Times New Roman" w:hAnsi="Times New Roman" w:eastAsia="宋体" w:cs="Times New Roman"/>
      <w:b/>
      <w:color w:val="000000"/>
      <w:kern w:val="2"/>
      <w:sz w:val="21"/>
      <w:szCs w:val="21"/>
      <w:lang w:val="en-US" w:eastAsia="zh-CN" w:bidi="ar-SA"/>
    </w:rPr>
  </w:style>
  <w:style w:type="character" w:customStyle="1" w:styleId="22">
    <w:name w:val="立信附注标题 [3级] Char"/>
    <w:link w:val="21"/>
    <w:qFormat/>
    <w:locked/>
    <w:uiPriority w:val="0"/>
    <w:rPr>
      <w:rFonts w:ascii="Times New Roman" w:hAnsi="Times New Roman" w:eastAsia="宋体"/>
      <w:b/>
      <w:color w:val="000000"/>
    </w:rPr>
  </w:style>
  <w:style w:type="character" w:customStyle="1" w:styleId="23">
    <w:name w:val="批注框文本 Char"/>
    <w:basedOn w:val="10"/>
    <w:link w:val="3"/>
    <w:semiHidden/>
    <w:qFormat/>
    <w:uiPriority w:val="99"/>
    <w:rPr>
      <w:rFonts w:ascii="Times New Roman" w:hAnsi="Times New Roman" w:eastAsia="宋体"/>
      <w:sz w:val="18"/>
      <w:szCs w:val="18"/>
    </w:rPr>
  </w:style>
  <w:style w:type="paragraph" w:styleId="24">
    <w:name w:val="List Paragraph"/>
    <w:basedOn w:val="1"/>
    <w:qFormat/>
    <w:uiPriority w:val="34"/>
    <w:pPr>
      <w:ind w:firstLine="420" w:firstLineChars="200"/>
    </w:pPr>
  </w:style>
  <w:style w:type="paragraph" w:customStyle="1" w:styleId="25">
    <w:name w:val="附注二级正文"/>
    <w:basedOn w:val="1"/>
    <w:link w:val="26"/>
    <w:qFormat/>
    <w:uiPriority w:val="0"/>
    <w:pPr>
      <w:adjustRightInd w:val="0"/>
      <w:snapToGrid w:val="0"/>
      <w:spacing w:before="0" w:after="0" w:line="400" w:lineRule="atLeast"/>
      <w:ind w:left="718" w:leftChars="342"/>
    </w:pPr>
    <w:rPr>
      <w:rFonts w:ascii="宋体" w:hAnsi="宋体"/>
      <w:sz w:val="21"/>
      <w:szCs w:val="21"/>
    </w:rPr>
  </w:style>
  <w:style w:type="character" w:customStyle="1" w:styleId="26">
    <w:name w:val="附注二级正文 Char"/>
    <w:link w:val="25"/>
    <w:qFormat/>
    <w:uiPriority w:val="0"/>
    <w:rPr>
      <w:rFonts w:ascii="宋体" w:hAnsi="宋体" w:eastAsia="宋体"/>
    </w:rPr>
  </w:style>
  <w:style w:type="table" w:customStyle="1" w:styleId="27">
    <w:name w:val="立信年报表格 [2级]"/>
    <w:basedOn w:val="9"/>
    <w:qFormat/>
    <w:uiPriority w:val="0"/>
    <w:pPr>
      <w:spacing w:line="400" w:lineRule="atLeast"/>
      <w:jc w:val="both"/>
    </w:pPr>
    <w:rPr>
      <w:rFonts w:ascii="Times New Roman" w:hAnsi="Times New Roman" w:eastAsia="宋体"/>
      <w:color w:val="000000"/>
      <w:sz w:val="18"/>
    </w:rPr>
    <w:tblPr>
      <w:tblBorders>
        <w:top w:val="single" w:color="auto" w:sz="12" w:space="0"/>
        <w:bottom w:val="single" w:color="auto" w:sz="12" w:space="0"/>
        <w:insideH w:val="dotted" w:color="auto" w:sz="4" w:space="0"/>
        <w:insideV w:val="dotted" w:color="auto" w:sz="4" w:space="0"/>
      </w:tblBorders>
    </w:tblPr>
    <w:tcPr>
      <w:shd w:val="clear" w:color="auto" w:fill="auto"/>
    </w:tcPr>
  </w:style>
  <w:style w:type="paragraph" w:customStyle="1" w:styleId="28">
    <w:name w:val="立信附注正文 [2级]"/>
    <w:link w:val="29"/>
    <w:qFormat/>
    <w:uiPriority w:val="0"/>
    <w:pPr>
      <w:widowControl w:val="0"/>
      <w:tabs>
        <w:tab w:val="left" w:pos="0"/>
      </w:tabs>
      <w:adjustRightInd w:val="0"/>
      <w:snapToGrid w:val="0"/>
      <w:spacing w:line="400" w:lineRule="atLeast"/>
      <w:ind w:left="714"/>
      <w:jc w:val="both"/>
    </w:pPr>
    <w:rPr>
      <w:rFonts w:ascii="Times New Roman" w:hAnsi="Times New Roman" w:eastAsia="宋体" w:cs="Times New Roman"/>
      <w:color w:val="000000"/>
      <w:kern w:val="2"/>
      <w:sz w:val="21"/>
      <w:szCs w:val="21"/>
      <w:lang w:val="en-US" w:eastAsia="zh-CN" w:bidi="ar-SA"/>
    </w:rPr>
  </w:style>
  <w:style w:type="character" w:customStyle="1" w:styleId="29">
    <w:name w:val="立信附注正文 [2级] Char"/>
    <w:basedOn w:val="10"/>
    <w:link w:val="28"/>
    <w:qFormat/>
    <w:uiPriority w:val="0"/>
    <w:rPr>
      <w:rFonts w:ascii="Times New Roman" w:hAnsi="Times New Roman" w:eastAsia="宋体"/>
      <w:color w:val="000000"/>
    </w:rPr>
  </w:style>
  <w:style w:type="paragraph" w:customStyle="1" w:styleId="30">
    <w:name w:val="立信附注正文 [3级]"/>
    <w:link w:val="31"/>
    <w:qFormat/>
    <w:uiPriority w:val="0"/>
    <w:pPr>
      <w:widowControl w:val="0"/>
      <w:tabs>
        <w:tab w:val="left" w:pos="0"/>
      </w:tabs>
      <w:adjustRightInd w:val="0"/>
      <w:snapToGrid w:val="0"/>
      <w:spacing w:line="400" w:lineRule="atLeast"/>
      <w:ind w:left="1276"/>
      <w:jc w:val="both"/>
    </w:pPr>
    <w:rPr>
      <w:rFonts w:ascii="Times New Roman" w:hAnsi="Times New Roman" w:eastAsia="宋体" w:cs="Times New Roman"/>
      <w:color w:val="000000"/>
      <w:kern w:val="2"/>
      <w:sz w:val="21"/>
      <w:szCs w:val="21"/>
      <w:lang w:val="en-US" w:eastAsia="zh-CN" w:bidi="ar-SA"/>
    </w:rPr>
  </w:style>
  <w:style w:type="character" w:customStyle="1" w:styleId="31">
    <w:name w:val="立信附注正文 [3级] Char"/>
    <w:basedOn w:val="10"/>
    <w:link w:val="30"/>
    <w:qFormat/>
    <w:uiPriority w:val="0"/>
    <w:rPr>
      <w:rFonts w:ascii="Times New Roman" w:hAnsi="Times New Roman" w:eastAsia="宋体"/>
      <w:color w:val="000000"/>
    </w:rPr>
  </w:style>
  <w:style w:type="character" w:customStyle="1" w:styleId="32">
    <w:name w:val="批注文字 Char"/>
    <w:basedOn w:val="10"/>
    <w:link w:val="2"/>
    <w:semiHidden/>
    <w:qFormat/>
    <w:uiPriority w:val="0"/>
    <w:rPr>
      <w:rFonts w:cstheme="minorBidi"/>
    </w:rPr>
  </w:style>
  <w:style w:type="paragraph" w:customStyle="1" w:styleId="33">
    <w:name w:val="Default"/>
    <w:uiPriority w:val="0"/>
    <w:pPr>
      <w:widowControl w:val="0"/>
      <w:autoSpaceDE w:val="0"/>
      <w:autoSpaceDN w:val="0"/>
      <w:adjustRightInd w:val="0"/>
    </w:pPr>
    <w:rPr>
      <w:rFonts w:ascii="华文中宋" w:hAnsi="Times New Roman" w:eastAsia="华文中宋" w:cs="华文中宋"/>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CEE6E4-1DCA-4194-AE27-23F565690129}">
  <ds:schemaRefs/>
</ds:datastoreItem>
</file>

<file path=docProps/app.xml><?xml version="1.0" encoding="utf-8"?>
<Properties xmlns="http://schemas.openxmlformats.org/officeDocument/2006/extended-properties" xmlns:vt="http://schemas.openxmlformats.org/officeDocument/2006/docPropsVTypes">
  <Template>Normal</Template>
  <Pages>1</Pages>
  <Words>36406</Words>
  <Characters>207516</Characters>
  <Lines>1729</Lines>
  <Paragraphs>486</Paragraphs>
  <TotalTime>1063</TotalTime>
  <ScaleCrop>false</ScaleCrop>
  <LinksUpToDate>false</LinksUpToDate>
  <CharactersWithSpaces>243436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2020-04-26T03:52:00Z</dcterms:created>
  <dc:creator>美康生物科技股份有限公司</dc:creator>
  <cp:lastModifiedBy>BIRth</cp:lastModifiedBy>
  <cp:lastPrinted>2020-04-28T08:30:21Z</cp:lastPrinted>
  <dcterms:modified xsi:type="dcterms:W3CDTF">2020-04-28T09:15:29Z</dcterms:modified>
  <dc:title>美康生物科技股份有限公司2019年年度报告全文</dc:title>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