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default" w:ascii="宋体" w:hAnsi="宋体" w:eastAsia="宋体" w:cs="宋体"/>
          <w:kern w:val="0"/>
          <w:sz w:val="23"/>
          <w:szCs w:val="23"/>
          <w:highlight w:val="none"/>
          <w:lang w:val="en-US" w:eastAsia="zh-CN"/>
        </w:rPr>
      </w:pPr>
      <w:r>
        <w:rPr>
          <w:rFonts w:hint="eastAsia" w:ascii="宋体" w:hAnsi="宋体" w:cs="宋体"/>
          <w:kern w:val="0"/>
          <w:sz w:val="23"/>
          <w:szCs w:val="23"/>
          <w:highlight w:val="none"/>
        </w:rPr>
        <w:t>证券代码：</w:t>
      </w:r>
      <w:r>
        <w:rPr>
          <w:rFonts w:ascii="宋体" w:hAnsi="宋体" w:cs="宋体"/>
          <w:kern w:val="0"/>
          <w:sz w:val="23"/>
          <w:szCs w:val="23"/>
          <w:highlight w:val="none"/>
        </w:rPr>
        <w:t>300</w:t>
      </w:r>
      <w:r>
        <w:rPr>
          <w:rFonts w:hint="eastAsia" w:ascii="宋体" w:hAnsi="宋体" w:cs="宋体"/>
          <w:kern w:val="0"/>
          <w:sz w:val="23"/>
          <w:szCs w:val="23"/>
          <w:highlight w:val="none"/>
        </w:rPr>
        <w:t>4</w:t>
      </w:r>
      <w:r>
        <w:rPr>
          <w:rFonts w:ascii="宋体" w:hAnsi="宋体" w:cs="宋体"/>
          <w:kern w:val="0"/>
          <w:sz w:val="23"/>
          <w:szCs w:val="23"/>
          <w:highlight w:val="none"/>
        </w:rPr>
        <w:t xml:space="preserve">39          </w:t>
      </w:r>
      <w:r>
        <w:rPr>
          <w:rFonts w:hint="eastAsia" w:ascii="宋体" w:hAnsi="宋体" w:cs="宋体"/>
          <w:kern w:val="0"/>
          <w:sz w:val="23"/>
          <w:szCs w:val="23"/>
          <w:highlight w:val="none"/>
        </w:rPr>
        <w:t>证券简称：美康生物         公告编号：</w:t>
      </w:r>
      <w:r>
        <w:rPr>
          <w:rFonts w:ascii="宋体" w:hAnsi="宋体" w:cs="宋体"/>
          <w:kern w:val="0"/>
          <w:sz w:val="23"/>
          <w:szCs w:val="23"/>
          <w:highlight w:val="none"/>
        </w:rPr>
        <w:t>20</w:t>
      </w:r>
      <w:r>
        <w:rPr>
          <w:rFonts w:hint="eastAsia" w:ascii="宋体" w:hAnsi="宋体" w:cs="宋体"/>
          <w:kern w:val="0"/>
          <w:sz w:val="23"/>
          <w:szCs w:val="23"/>
          <w:highlight w:val="none"/>
        </w:rPr>
        <w:t>20</w:t>
      </w:r>
      <w:r>
        <w:rPr>
          <w:rFonts w:ascii="宋体" w:hAnsi="宋体" w:cs="宋体"/>
          <w:kern w:val="0"/>
          <w:sz w:val="23"/>
          <w:szCs w:val="23"/>
          <w:highlight w:val="none"/>
        </w:rPr>
        <w:t>-</w:t>
      </w:r>
      <w:r>
        <w:rPr>
          <w:rFonts w:hint="eastAsia" w:ascii="宋体" w:hAnsi="宋体" w:cs="宋体"/>
          <w:kern w:val="0"/>
          <w:sz w:val="23"/>
          <w:szCs w:val="23"/>
          <w:highlight w:val="none"/>
        </w:rPr>
        <w:t>0</w:t>
      </w:r>
      <w:r>
        <w:rPr>
          <w:rFonts w:hint="eastAsia" w:ascii="宋体" w:hAnsi="宋体" w:cs="宋体"/>
          <w:kern w:val="0"/>
          <w:sz w:val="23"/>
          <w:szCs w:val="23"/>
          <w:highlight w:val="none"/>
          <w:lang w:val="en-US" w:eastAsia="zh-CN"/>
        </w:rPr>
        <w:t>41</w:t>
      </w:r>
    </w:p>
    <w:p>
      <w:pPr>
        <w:tabs>
          <w:tab w:val="left" w:pos="1830"/>
          <w:tab w:val="center" w:pos="4153"/>
        </w:tabs>
        <w:autoSpaceDE w:val="0"/>
        <w:autoSpaceDN w:val="0"/>
        <w:adjustRightInd w:val="0"/>
        <w:spacing w:before="240" w:line="360" w:lineRule="auto"/>
        <w:jc w:val="center"/>
        <w:rPr>
          <w:rFonts w:ascii="Times New Roman" w:hAnsi="Times New Roman"/>
          <w:b/>
          <w:kern w:val="0"/>
          <w:sz w:val="30"/>
          <w:szCs w:val="30"/>
          <w:highlight w:val="none"/>
        </w:rPr>
      </w:pPr>
      <w:r>
        <w:rPr>
          <w:rFonts w:hint="eastAsia" w:ascii="Times New Roman" w:hAnsi="Times New Roman"/>
          <w:b/>
          <w:kern w:val="0"/>
          <w:sz w:val="30"/>
          <w:szCs w:val="30"/>
          <w:highlight w:val="none"/>
        </w:rPr>
        <w:t>美康生物科技股份有限公司</w:t>
      </w:r>
    </w:p>
    <w:p>
      <w:pPr>
        <w:tabs>
          <w:tab w:val="left" w:pos="1830"/>
          <w:tab w:val="center" w:pos="4153"/>
        </w:tabs>
        <w:autoSpaceDE w:val="0"/>
        <w:autoSpaceDN w:val="0"/>
        <w:adjustRightInd w:val="0"/>
        <w:spacing w:line="360" w:lineRule="auto"/>
        <w:jc w:val="center"/>
        <w:rPr>
          <w:rFonts w:ascii="Times New Roman" w:hAnsi="Times New Roman"/>
          <w:b/>
          <w:kern w:val="0"/>
          <w:sz w:val="30"/>
          <w:szCs w:val="30"/>
          <w:highlight w:val="none"/>
        </w:rPr>
      </w:pPr>
      <w:r>
        <w:rPr>
          <w:rFonts w:hint="eastAsia" w:ascii="Times New Roman" w:hAnsi="Times New Roman"/>
          <w:b/>
          <w:kern w:val="0"/>
          <w:sz w:val="30"/>
          <w:szCs w:val="30"/>
          <w:highlight w:val="none"/>
        </w:rPr>
        <w:t>关于终止实施限制性股票激励计划及</w:t>
      </w:r>
    </w:p>
    <w:p>
      <w:pPr>
        <w:tabs>
          <w:tab w:val="left" w:pos="1830"/>
          <w:tab w:val="center" w:pos="4153"/>
        </w:tabs>
        <w:autoSpaceDE w:val="0"/>
        <w:autoSpaceDN w:val="0"/>
        <w:adjustRightInd w:val="0"/>
        <w:spacing w:line="360" w:lineRule="auto"/>
        <w:jc w:val="center"/>
        <w:rPr>
          <w:rFonts w:ascii="Times New Roman" w:hAnsi="Times New Roman"/>
          <w:b/>
          <w:kern w:val="0"/>
          <w:sz w:val="30"/>
          <w:szCs w:val="30"/>
          <w:highlight w:val="none"/>
        </w:rPr>
      </w:pPr>
      <w:r>
        <w:rPr>
          <w:rFonts w:hint="eastAsia" w:ascii="Times New Roman" w:hAnsi="Times New Roman"/>
          <w:b/>
          <w:kern w:val="0"/>
          <w:sz w:val="30"/>
          <w:szCs w:val="30"/>
          <w:highlight w:val="none"/>
        </w:rPr>
        <w:t>回购注销相关限制性股票的公告</w:t>
      </w:r>
    </w:p>
    <w:p>
      <w:pPr>
        <w:autoSpaceDE w:val="0"/>
        <w:autoSpaceDN w:val="0"/>
        <w:adjustRightInd w:val="0"/>
        <w:spacing w:line="360" w:lineRule="auto"/>
        <w:jc w:val="center"/>
        <w:rPr>
          <w:rFonts w:ascii="Times New Roman" w:hAnsi="Times New Roman"/>
          <w:b/>
          <w:kern w:val="0"/>
          <w:sz w:val="30"/>
          <w:szCs w:val="30"/>
          <w:highlight w:val="none"/>
        </w:rPr>
      </w:pPr>
      <w:r>
        <w:rPr>
          <w:highlight w:val="none"/>
        </w:rPr>
        <w:pict>
          <v:rect id="_x0000_s1026" o:spid="_x0000_s1026" o:spt="1" style="position:absolute;left:0pt;margin-left:9pt;margin-top:9.45pt;height:55.5pt;width:416.25pt;z-index:251658240;mso-width-relative:page;mso-height-relative:page;" coordsize="21600,21600">
            <v:path/>
            <v:fill focussize="0,0"/>
            <v:stroke/>
            <v:imagedata o:title=""/>
            <o:lock v:ext="edit"/>
            <v:textbox>
              <w:txbxContent>
                <w:p>
                  <w:pPr>
                    <w:spacing w:line="360" w:lineRule="auto"/>
                    <w:ind w:firstLine="482" w:firstLineChars="200"/>
                    <w:jc w:val="left"/>
                    <w:rPr>
                      <w:rFonts w:ascii="??" w:hAnsi="??"/>
                      <w:b/>
                      <w:color w:val="000000"/>
                      <w:sz w:val="24"/>
                      <w:szCs w:val="24"/>
                    </w:rPr>
                  </w:pPr>
                  <w:r>
                    <w:rPr>
                      <w:rFonts w:hint="eastAsia" w:ascii="??" w:hAnsi="??"/>
                      <w:b/>
                      <w:color w:val="000000"/>
                      <w:sz w:val="24"/>
                      <w:szCs w:val="24"/>
                    </w:rPr>
                    <w:t>本公司及</w:t>
                  </w:r>
                  <w:r>
                    <w:rPr>
                      <w:rFonts w:hint="eastAsia" w:ascii="宋体" w:cs="宋体"/>
                      <w:b/>
                      <w:kern w:val="0"/>
                      <w:sz w:val="24"/>
                      <w:szCs w:val="24"/>
                    </w:rPr>
                    <w:t>董事会全体成员</w:t>
                  </w:r>
                  <w:r>
                    <w:rPr>
                      <w:rFonts w:hint="eastAsia" w:ascii="??" w:hAnsi="??"/>
                      <w:b/>
                      <w:color w:val="000000"/>
                      <w:sz w:val="24"/>
                      <w:szCs w:val="24"/>
                    </w:rPr>
                    <w:t>保证本公告内容真实、准确和完整，并对公告中的任何虚假记载、误导性陈述或重大遗漏承担责任。</w:t>
                  </w:r>
                </w:p>
                <w:p/>
              </w:txbxContent>
            </v:textbox>
          </v:rect>
        </w:pict>
      </w:r>
    </w:p>
    <w:p>
      <w:pPr>
        <w:autoSpaceDE w:val="0"/>
        <w:autoSpaceDN w:val="0"/>
        <w:adjustRightInd w:val="0"/>
        <w:spacing w:line="360" w:lineRule="auto"/>
        <w:jc w:val="center"/>
        <w:rPr>
          <w:rFonts w:ascii="Times New Roman" w:hAnsi="Times New Roman"/>
          <w:b/>
          <w:kern w:val="0"/>
          <w:sz w:val="30"/>
          <w:szCs w:val="30"/>
          <w:highlight w:val="none"/>
        </w:rPr>
      </w:pPr>
    </w:p>
    <w:p>
      <w:pPr>
        <w:spacing w:before="156" w:beforeLines="50" w:after="50" w:line="360" w:lineRule="auto"/>
        <w:ind w:firstLine="480" w:firstLineChars="200"/>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美康生物科技股份有限公司（以下简称“公司”）于2020年4月30日召开第三届董事会第二十六次会议和第三届监事会第二十三次会议，</w:t>
      </w:r>
      <w:r>
        <w:rPr>
          <w:rFonts w:hint="eastAsia" w:ascii="宋体" w:hAnsi="宋体" w:cs="宋体"/>
          <w:color w:val="000000"/>
          <w:kern w:val="0"/>
          <w:sz w:val="24"/>
          <w:szCs w:val="24"/>
          <w:highlight w:val="none"/>
          <w:lang w:eastAsia="zh-CN"/>
        </w:rPr>
        <w:t>分别</w:t>
      </w:r>
      <w:r>
        <w:rPr>
          <w:rFonts w:hint="eastAsia" w:ascii="宋体" w:hAnsi="宋体" w:cs="宋体"/>
          <w:color w:val="000000"/>
          <w:kern w:val="0"/>
          <w:sz w:val="24"/>
          <w:szCs w:val="24"/>
          <w:highlight w:val="none"/>
        </w:rPr>
        <w:t>审议了《关于终止实施限制性股票激励计划及回购注销相关限制性股票的议案》。根据公司《限制性股票激励计划（草案）》（以下简称“</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激励计划</w:t>
      </w:r>
      <w:r>
        <w:rPr>
          <w:rFonts w:hint="eastAsia" w:ascii="宋体" w:hAnsi="宋体" w:cs="宋体"/>
          <w:color w:val="000000"/>
          <w:kern w:val="0"/>
          <w:sz w:val="24"/>
          <w:szCs w:val="24"/>
          <w:highlight w:val="none"/>
          <w:lang w:eastAsia="zh-CN"/>
        </w:rPr>
        <w:t>》</w:t>
      </w:r>
      <w:r>
        <w:rPr>
          <w:rFonts w:hint="eastAsia" w:ascii="宋体" w:hAnsi="宋体" w:cs="宋体"/>
          <w:color w:val="000000"/>
          <w:kern w:val="0"/>
          <w:sz w:val="24"/>
          <w:szCs w:val="24"/>
          <w:highlight w:val="none"/>
        </w:rPr>
        <w:t>”），鉴于公司2019年度经营业绩未达标和部分授予对象离职的情况</w:t>
      </w:r>
      <w:r>
        <w:rPr>
          <w:rFonts w:hint="eastAsia" w:ascii="宋体" w:hAnsi="宋体" w:cs="宋体"/>
          <w:color w:val="000000"/>
          <w:kern w:val="0"/>
          <w:sz w:val="24"/>
          <w:szCs w:val="24"/>
          <w:highlight w:val="none"/>
          <w:lang w:eastAsia="zh-CN"/>
        </w:rPr>
        <w:t>，同时</w:t>
      </w:r>
      <w:r>
        <w:rPr>
          <w:rFonts w:hint="eastAsia" w:ascii="宋体" w:hAnsi="宋体" w:cs="宋体"/>
          <w:sz w:val="24"/>
          <w:szCs w:val="24"/>
          <w:highlight w:val="none"/>
          <w:lang w:eastAsia="zh-CN"/>
        </w:rPr>
        <w:t>综合考虑</w:t>
      </w:r>
      <w:r>
        <w:rPr>
          <w:rFonts w:hint="eastAsia" w:ascii="宋体" w:hAnsi="宋体" w:cs="宋体"/>
          <w:sz w:val="24"/>
          <w:szCs w:val="24"/>
          <w:highlight w:val="none"/>
          <w:lang w:val="en-US" w:eastAsia="zh-CN"/>
        </w:rPr>
        <w:t>近期市场环境因素和公司未来发展计划，</w:t>
      </w:r>
      <w:r>
        <w:rPr>
          <w:rFonts w:hint="eastAsia" w:ascii="宋体" w:hAnsi="宋体" w:cs="宋体"/>
          <w:color w:val="000000"/>
          <w:kern w:val="0"/>
          <w:sz w:val="24"/>
          <w:szCs w:val="24"/>
          <w:highlight w:val="none"/>
        </w:rPr>
        <w:t>董事会拟终止实施限制性股票激励计划</w:t>
      </w:r>
      <w:bookmarkStart w:id="0" w:name="_GoBack"/>
      <w:bookmarkEnd w:id="0"/>
      <w:r>
        <w:rPr>
          <w:rFonts w:hint="eastAsia" w:ascii="宋体" w:hAnsi="宋体" w:cs="宋体"/>
          <w:color w:val="000000"/>
          <w:kern w:val="0"/>
          <w:sz w:val="24"/>
          <w:szCs w:val="24"/>
          <w:highlight w:val="none"/>
          <w:lang w:eastAsia="zh-CN"/>
        </w:rPr>
        <w:t>并</w:t>
      </w:r>
      <w:r>
        <w:rPr>
          <w:rFonts w:hint="eastAsia" w:ascii="宋体" w:hAnsi="宋体" w:cs="宋体"/>
          <w:color w:val="000000"/>
          <w:kern w:val="0"/>
          <w:sz w:val="24"/>
          <w:szCs w:val="24"/>
          <w:highlight w:val="none"/>
        </w:rPr>
        <w:t>回购注销</w:t>
      </w:r>
      <w:r>
        <w:rPr>
          <w:rFonts w:hint="eastAsia" w:ascii="宋体" w:hAnsi="宋体" w:cs="宋体"/>
          <w:color w:val="000000"/>
          <w:kern w:val="0"/>
          <w:sz w:val="24"/>
          <w:szCs w:val="24"/>
          <w:highlight w:val="none"/>
          <w:lang w:eastAsia="zh-CN"/>
        </w:rPr>
        <w:t>公司所有共计</w:t>
      </w:r>
      <w:r>
        <w:rPr>
          <w:rFonts w:hint="eastAsia" w:ascii="宋体" w:hAnsi="宋体" w:cs="宋体"/>
          <w:color w:val="000000"/>
          <w:kern w:val="0"/>
          <w:sz w:val="24"/>
          <w:szCs w:val="24"/>
          <w:highlight w:val="none"/>
        </w:rPr>
        <w:t>248名激励对象合计持有已授予未解锁的限制性股票230.28万股，其中首次授予的限制性股票212.08万股，回购价格为</w:t>
      </w: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04元</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股；预留部分授予的限制性股票18.2万股，回购价格为</w:t>
      </w: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43元</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股。本次拟回购注销的限制性股票数量占公司目前股权激励计划授予限制性股票总数的</w:t>
      </w:r>
      <w:r>
        <w:rPr>
          <w:rFonts w:ascii="宋体" w:hAnsi="宋体" w:cs="宋体"/>
          <w:color w:val="000000"/>
          <w:kern w:val="0"/>
          <w:sz w:val="24"/>
          <w:szCs w:val="24"/>
          <w:highlight w:val="none"/>
        </w:rPr>
        <w:t>100%</w:t>
      </w:r>
      <w:r>
        <w:rPr>
          <w:rFonts w:hint="eastAsia" w:ascii="宋体" w:hAnsi="宋体" w:cs="宋体"/>
          <w:color w:val="000000"/>
          <w:kern w:val="0"/>
          <w:sz w:val="24"/>
          <w:szCs w:val="24"/>
          <w:highlight w:val="none"/>
        </w:rPr>
        <w:t>，</w:t>
      </w:r>
      <w:r>
        <w:rPr>
          <w:rFonts w:hint="eastAsia" w:ascii="宋体" w:hAnsi="宋体" w:cs="宋体"/>
          <w:sz w:val="24"/>
          <w:szCs w:val="24"/>
          <w:highlight w:val="none"/>
        </w:rPr>
        <w:t>占目前公司</w:t>
      </w:r>
      <w:r>
        <w:rPr>
          <w:rFonts w:hint="eastAsia" w:ascii="宋体" w:hAnsi="宋体" w:cs="宋体"/>
          <w:sz w:val="24"/>
          <w:szCs w:val="24"/>
          <w:highlight w:val="none"/>
          <w:lang w:eastAsia="zh-CN"/>
        </w:rPr>
        <w:t>总</w:t>
      </w:r>
      <w:r>
        <w:rPr>
          <w:rFonts w:hint="eastAsia" w:ascii="宋体" w:hAnsi="宋体" w:cs="宋体"/>
          <w:sz w:val="24"/>
          <w:szCs w:val="24"/>
          <w:highlight w:val="none"/>
        </w:rPr>
        <w:t>股本的0.6669%</w:t>
      </w:r>
      <w:r>
        <w:rPr>
          <w:rFonts w:hint="eastAsia" w:ascii="宋体" w:hAnsi="宋体" w:cs="宋体"/>
          <w:color w:val="000000"/>
          <w:kern w:val="0"/>
          <w:sz w:val="24"/>
          <w:szCs w:val="24"/>
          <w:highlight w:val="none"/>
        </w:rPr>
        <w:t>。公司本次回购限制性股票支付回购款共计3,009.9492万元，资金来源为自有资金。</w:t>
      </w:r>
    </w:p>
    <w:p>
      <w:pPr>
        <w:autoSpaceDE w:val="0"/>
        <w:autoSpaceDN w:val="0"/>
        <w:adjustRightInd w:val="0"/>
        <w:spacing w:after="156" w:afterLines="50" w:line="360" w:lineRule="auto"/>
        <w:ind w:firstLine="480" w:firstLineChars="200"/>
        <w:rPr>
          <w:rFonts w:ascii="宋体" w:hAnsi="宋体" w:cs="宋体"/>
          <w:sz w:val="24"/>
          <w:szCs w:val="24"/>
          <w:highlight w:val="none"/>
        </w:rPr>
      </w:pPr>
      <w:r>
        <w:rPr>
          <w:rFonts w:hint="eastAsia" w:asciiTheme="minorEastAsia" w:hAnsiTheme="minorEastAsia"/>
          <w:sz w:val="24"/>
          <w:szCs w:val="24"/>
          <w:highlight w:val="none"/>
        </w:rPr>
        <w:t>本议案尚需提交公司股东大会审议通过，</w:t>
      </w:r>
      <w:r>
        <w:rPr>
          <w:rFonts w:hint="eastAsia" w:ascii="宋体" w:hAnsi="宋体" w:cs="宋体"/>
          <w:color w:val="000000"/>
          <w:kern w:val="0"/>
          <w:sz w:val="24"/>
          <w:szCs w:val="24"/>
          <w:highlight w:val="none"/>
        </w:rPr>
        <w:t>现将具体情况公告如下：</w:t>
      </w:r>
    </w:p>
    <w:p>
      <w:pPr>
        <w:numPr>
          <w:ilvl w:val="0"/>
          <w:numId w:val="1"/>
        </w:numPr>
        <w:adjustRightInd w:val="0"/>
        <w:snapToGrid w:val="0"/>
        <w:spacing w:before="312" w:beforeLines="100" w:line="480" w:lineRule="auto"/>
        <w:ind w:firstLine="482"/>
        <w:rPr>
          <w:rFonts w:ascii="宋体" w:hAnsi="宋体"/>
          <w:b/>
          <w:sz w:val="24"/>
          <w:highlight w:val="none"/>
        </w:rPr>
      </w:pPr>
      <w:r>
        <w:rPr>
          <w:rFonts w:ascii="宋体" w:hAnsi="宋体"/>
          <w:b/>
          <w:sz w:val="24"/>
          <w:highlight w:val="none"/>
        </w:rPr>
        <w:t>限制性股票激励计划简述</w:t>
      </w:r>
      <w:r>
        <w:rPr>
          <w:rFonts w:hint="eastAsia" w:ascii="宋体" w:hAnsi="宋体"/>
          <w:b/>
          <w:sz w:val="24"/>
          <w:highlight w:val="none"/>
        </w:rPr>
        <w:t>及已履行的相关审批程序</w:t>
      </w:r>
    </w:p>
    <w:p>
      <w:pPr>
        <w:tabs>
          <w:tab w:val="left" w:pos="1675"/>
        </w:tabs>
        <w:adjustRightInd w:val="0"/>
        <w:snapToGrid w:val="0"/>
        <w:spacing w:line="480" w:lineRule="auto"/>
        <w:ind w:firstLine="482" w:firstLineChars="200"/>
        <w:rPr>
          <w:rFonts w:ascii="宋体" w:hAnsi="宋体"/>
          <w:b/>
          <w:sz w:val="24"/>
          <w:highlight w:val="none"/>
        </w:rPr>
      </w:pPr>
      <w:r>
        <w:rPr>
          <w:rFonts w:hint="eastAsia" w:ascii="宋体" w:hAnsi="宋体"/>
          <w:b/>
          <w:sz w:val="24"/>
          <w:highlight w:val="none"/>
        </w:rPr>
        <w:t>（一）首次授予</w:t>
      </w:r>
      <w:r>
        <w:rPr>
          <w:rFonts w:ascii="宋体" w:hAnsi="宋体"/>
          <w:b/>
          <w:sz w:val="24"/>
          <w:highlight w:val="none"/>
        </w:rPr>
        <w:t>限制性股票激励计划简述</w:t>
      </w:r>
    </w:p>
    <w:p>
      <w:pPr>
        <w:pStyle w:val="34"/>
        <w:adjustRightInd w:val="0"/>
        <w:snapToGrid w:val="0"/>
        <w:spacing w:line="360" w:lineRule="auto"/>
        <w:ind w:firstLine="480"/>
        <w:rPr>
          <w:rFonts w:ascii="宋体" w:hAnsi="宋体"/>
          <w:sz w:val="24"/>
          <w:highlight w:val="none"/>
        </w:rPr>
      </w:pPr>
      <w:r>
        <w:rPr>
          <w:rFonts w:hint="eastAsia" w:ascii="宋体" w:hAnsi="宋体"/>
          <w:sz w:val="24"/>
          <w:highlight w:val="none"/>
        </w:rPr>
        <w:t>根据</w:t>
      </w:r>
      <w:r>
        <w:rPr>
          <w:rFonts w:ascii="宋体" w:hAnsi="宋体"/>
          <w:sz w:val="24"/>
          <w:highlight w:val="none"/>
        </w:rPr>
        <w:t>《激励计划》</w:t>
      </w:r>
      <w:r>
        <w:rPr>
          <w:rFonts w:hint="eastAsia" w:ascii="宋体" w:hAnsi="宋体"/>
          <w:sz w:val="24"/>
          <w:highlight w:val="none"/>
        </w:rPr>
        <w:t>及《公司限制性股票激励计划首次授予限制性股票激励对象名单》，首次授予限制性股票激励计划主要内容如下：</w:t>
      </w:r>
    </w:p>
    <w:p>
      <w:pPr>
        <w:spacing w:line="360" w:lineRule="auto"/>
        <w:ind w:firstLine="480" w:firstLineChars="200"/>
        <w:rPr>
          <w:rFonts w:ascii="宋体" w:hAnsi="宋体" w:cs="Calibri"/>
          <w:sz w:val="24"/>
          <w:szCs w:val="24"/>
          <w:highlight w:val="none"/>
        </w:rPr>
      </w:pPr>
      <w:r>
        <w:rPr>
          <w:rFonts w:hint="eastAsia" w:ascii="宋体" w:hAnsi="宋体"/>
          <w:sz w:val="24"/>
          <w:highlight w:val="none"/>
        </w:rPr>
        <w:t>1、</w:t>
      </w:r>
      <w:r>
        <w:rPr>
          <w:rFonts w:ascii="宋体" w:hAnsi="宋体" w:cs="Calibri"/>
          <w:sz w:val="24"/>
          <w:szCs w:val="24"/>
          <w:highlight w:val="none"/>
        </w:rPr>
        <w:t>标的种类：</w:t>
      </w:r>
      <w:r>
        <w:rPr>
          <w:rFonts w:hint="eastAsia" w:ascii="宋体" w:hAnsi="宋体" w:cs="Calibri"/>
          <w:sz w:val="24"/>
          <w:szCs w:val="24"/>
          <w:highlight w:val="none"/>
        </w:rPr>
        <w:t>激励计划拟授予激励对象的标的股票为公司普通股</w:t>
      </w:r>
      <w:r>
        <w:rPr>
          <w:rFonts w:ascii="宋体" w:hAnsi="宋体" w:cs="Calibri"/>
          <w:sz w:val="24"/>
          <w:szCs w:val="24"/>
          <w:highlight w:val="none"/>
        </w:rPr>
        <w:t>A</w:t>
      </w:r>
      <w:r>
        <w:rPr>
          <w:rFonts w:hint="eastAsia" w:ascii="宋体" w:hAnsi="宋体" w:cs="Calibri"/>
          <w:sz w:val="24"/>
          <w:szCs w:val="24"/>
          <w:highlight w:val="none"/>
        </w:rPr>
        <w:t>股股票。</w:t>
      </w:r>
    </w:p>
    <w:p>
      <w:pPr>
        <w:spacing w:line="360" w:lineRule="auto"/>
        <w:ind w:firstLine="480" w:firstLineChars="200"/>
        <w:rPr>
          <w:rFonts w:ascii="宋体" w:hAnsi="宋体" w:cs="Calibri"/>
          <w:sz w:val="24"/>
          <w:szCs w:val="24"/>
          <w:highlight w:val="none"/>
        </w:rPr>
      </w:pPr>
      <w:r>
        <w:rPr>
          <w:rFonts w:hint="eastAsia" w:ascii="宋体" w:hAnsi="宋体" w:cs="Calibri"/>
          <w:sz w:val="24"/>
          <w:szCs w:val="24"/>
          <w:highlight w:val="none"/>
        </w:rPr>
        <w:t>2、</w:t>
      </w:r>
      <w:r>
        <w:rPr>
          <w:rFonts w:ascii="宋体" w:hAnsi="宋体" w:cs="Calibri"/>
          <w:sz w:val="24"/>
          <w:szCs w:val="24"/>
          <w:highlight w:val="none"/>
        </w:rPr>
        <w:t>标的股票来源：向激励对象定向发行股票</w:t>
      </w:r>
      <w:r>
        <w:rPr>
          <w:rFonts w:hint="eastAsia" w:ascii="宋体" w:hAnsi="宋体" w:cs="Calibri"/>
          <w:sz w:val="24"/>
          <w:szCs w:val="24"/>
          <w:highlight w:val="none"/>
        </w:rPr>
        <w:t>。</w:t>
      </w:r>
    </w:p>
    <w:p>
      <w:pPr>
        <w:spacing w:before="156" w:beforeLines="50" w:after="156" w:afterLines="50" w:line="360" w:lineRule="auto"/>
        <w:ind w:firstLine="480" w:firstLineChars="200"/>
        <w:rPr>
          <w:rFonts w:ascii="宋体" w:hAnsi="宋体" w:cs="Arial"/>
          <w:sz w:val="24"/>
          <w:szCs w:val="24"/>
          <w:highlight w:val="none"/>
        </w:rPr>
      </w:pPr>
      <w:r>
        <w:rPr>
          <w:rFonts w:hint="eastAsia" w:ascii="宋体" w:hAnsi="宋体" w:cs="Calibri"/>
          <w:sz w:val="24"/>
          <w:szCs w:val="24"/>
          <w:highlight w:val="none"/>
        </w:rPr>
        <w:t>3、首次授予限制性股票</w:t>
      </w:r>
      <w:r>
        <w:rPr>
          <w:rFonts w:ascii="宋体" w:hAnsi="宋体" w:cs="Calibri"/>
          <w:sz w:val="24"/>
          <w:szCs w:val="24"/>
          <w:highlight w:val="none"/>
        </w:rPr>
        <w:t>激励对象：</w:t>
      </w:r>
      <w:r>
        <w:rPr>
          <w:rFonts w:hint="eastAsia" w:ascii="宋体" w:hAnsi="宋体" w:cs="Calibri"/>
          <w:sz w:val="24"/>
          <w:szCs w:val="24"/>
          <w:highlight w:val="none"/>
        </w:rPr>
        <w:t>公司首次授予的限制性股票</w:t>
      </w:r>
      <w:r>
        <w:rPr>
          <w:rFonts w:ascii="宋体" w:hAnsi="宋体" w:cs="Calibri"/>
          <w:sz w:val="24"/>
          <w:szCs w:val="24"/>
          <w:highlight w:val="none"/>
        </w:rPr>
        <w:t>激励对象</w:t>
      </w:r>
      <w:r>
        <w:rPr>
          <w:rFonts w:hint="eastAsia" w:ascii="宋体" w:hAnsi="宋体" w:cs="Calibri"/>
          <w:sz w:val="24"/>
          <w:szCs w:val="24"/>
          <w:highlight w:val="none"/>
        </w:rPr>
        <w:t>共计</w:t>
      </w:r>
      <w:r>
        <w:rPr>
          <w:rFonts w:hint="eastAsia" w:ascii="宋体" w:hAnsi="宋体" w:cs="Arial"/>
          <w:sz w:val="24"/>
          <w:szCs w:val="24"/>
          <w:highlight w:val="none"/>
        </w:rPr>
        <w:t>318</w:t>
      </w:r>
      <w:r>
        <w:rPr>
          <w:rFonts w:ascii="宋体" w:hAnsi="宋体" w:cs="Calibri"/>
          <w:sz w:val="24"/>
          <w:szCs w:val="24"/>
          <w:highlight w:val="none"/>
        </w:rPr>
        <w:t>人（不包括独立董事、监事），</w:t>
      </w:r>
      <w:r>
        <w:rPr>
          <w:rFonts w:hint="eastAsia" w:ascii="宋体" w:hAnsi="宋体" w:cs="Calibri"/>
          <w:sz w:val="24"/>
          <w:szCs w:val="24"/>
          <w:highlight w:val="none"/>
        </w:rPr>
        <w:t>授予限制性股票</w:t>
      </w:r>
      <w:r>
        <w:rPr>
          <w:rFonts w:hint="eastAsia" w:ascii="宋体" w:hAnsi="宋体" w:cs="Arial"/>
          <w:sz w:val="24"/>
          <w:szCs w:val="24"/>
          <w:highlight w:val="none"/>
        </w:rPr>
        <w:t>760.7万股</w:t>
      </w:r>
      <w:r>
        <w:rPr>
          <w:rFonts w:hint="eastAsia" w:ascii="宋体" w:hAnsi="宋体" w:cs="Calibri"/>
          <w:sz w:val="24"/>
          <w:szCs w:val="24"/>
          <w:highlight w:val="none"/>
        </w:rPr>
        <w:t>。</w:t>
      </w:r>
      <w:r>
        <w:rPr>
          <w:rFonts w:hint="eastAsia" w:ascii="宋体" w:hAnsi="宋体" w:cs="Arial"/>
          <w:sz w:val="24"/>
          <w:szCs w:val="24"/>
          <w:highlight w:val="none"/>
        </w:rPr>
        <w:t>首次授予的限制性股票授予情况如下：</w:t>
      </w:r>
    </w:p>
    <w:tbl>
      <w:tblPr>
        <w:tblStyle w:val="13"/>
        <w:tblW w:w="83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2"/>
        <w:gridCol w:w="1843"/>
        <w:gridCol w:w="1843"/>
        <w:gridCol w:w="1842"/>
        <w:gridCol w:w="15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292" w:type="dxa"/>
            <w:vMerge w:val="restart"/>
            <w:shd w:val="clear" w:color="auto" w:fill="auto"/>
            <w:vAlign w:val="center"/>
          </w:tcPr>
          <w:p>
            <w:pPr>
              <w:spacing w:before="156" w:beforeLines="50" w:after="156" w:afterLines="50"/>
              <w:jc w:val="center"/>
              <w:rPr>
                <w:rFonts w:ascii="宋体" w:hAnsi="宋体"/>
                <w:b/>
                <w:bCs/>
                <w:highlight w:val="none"/>
              </w:rPr>
            </w:pPr>
            <w:r>
              <w:rPr>
                <w:rFonts w:ascii="宋体" w:hAnsi="宋体"/>
                <w:b/>
                <w:bCs/>
                <w:highlight w:val="none"/>
              </w:rPr>
              <w:t>姓名</w:t>
            </w:r>
          </w:p>
        </w:tc>
        <w:tc>
          <w:tcPr>
            <w:tcW w:w="1843" w:type="dxa"/>
            <w:vMerge w:val="restart"/>
            <w:shd w:val="clear" w:color="auto" w:fill="auto"/>
            <w:vAlign w:val="center"/>
          </w:tcPr>
          <w:p>
            <w:pPr>
              <w:spacing w:before="156" w:beforeLines="50" w:after="156" w:afterLines="50"/>
              <w:jc w:val="center"/>
              <w:rPr>
                <w:rFonts w:ascii="宋体" w:hAnsi="宋体"/>
                <w:b/>
                <w:bCs/>
                <w:sz w:val="18"/>
                <w:szCs w:val="18"/>
                <w:highlight w:val="none"/>
              </w:rPr>
            </w:pPr>
            <w:r>
              <w:rPr>
                <w:rFonts w:ascii="宋体" w:hAnsi="宋体"/>
                <w:b/>
                <w:bCs/>
                <w:highlight w:val="none"/>
              </w:rPr>
              <w:t>职务</w:t>
            </w:r>
          </w:p>
        </w:tc>
        <w:tc>
          <w:tcPr>
            <w:tcW w:w="1843" w:type="dxa"/>
            <w:vMerge w:val="restart"/>
            <w:shd w:val="clear" w:color="auto" w:fill="auto"/>
            <w:vAlign w:val="center"/>
          </w:tcPr>
          <w:p>
            <w:pPr>
              <w:spacing w:before="156" w:beforeLines="50" w:after="156" w:afterLines="50" w:line="360" w:lineRule="auto"/>
              <w:jc w:val="center"/>
              <w:rPr>
                <w:rFonts w:ascii="宋体" w:hAnsi="宋体"/>
                <w:b/>
                <w:bCs/>
                <w:sz w:val="18"/>
                <w:szCs w:val="18"/>
                <w:highlight w:val="none"/>
              </w:rPr>
            </w:pPr>
            <w:r>
              <w:rPr>
                <w:rFonts w:ascii="宋体" w:hAnsi="宋体"/>
                <w:b/>
                <w:bCs/>
                <w:highlight w:val="none"/>
              </w:rPr>
              <w:t>获授的限制性股票数量（万股）</w:t>
            </w:r>
          </w:p>
        </w:tc>
        <w:tc>
          <w:tcPr>
            <w:tcW w:w="1842" w:type="dxa"/>
            <w:vMerge w:val="restart"/>
            <w:shd w:val="clear" w:color="auto" w:fill="auto"/>
            <w:vAlign w:val="center"/>
          </w:tcPr>
          <w:p>
            <w:pPr>
              <w:spacing w:before="156" w:beforeLines="50" w:after="156" w:afterLines="50" w:line="360" w:lineRule="auto"/>
              <w:jc w:val="center"/>
              <w:rPr>
                <w:rFonts w:ascii="宋体" w:hAnsi="宋体"/>
                <w:b/>
                <w:bCs/>
                <w:sz w:val="18"/>
                <w:szCs w:val="18"/>
                <w:highlight w:val="none"/>
              </w:rPr>
            </w:pPr>
            <w:r>
              <w:rPr>
                <w:rFonts w:hint="eastAsia" w:ascii="宋体" w:hAnsi="宋体"/>
                <w:b/>
                <w:bCs/>
                <w:highlight w:val="none"/>
              </w:rPr>
              <w:t>占授予限制性股票</w:t>
            </w:r>
            <w:r>
              <w:rPr>
                <w:rFonts w:ascii="宋体" w:hAnsi="宋体"/>
                <w:b/>
                <w:bCs/>
                <w:highlight w:val="none"/>
              </w:rPr>
              <w:t>总</w:t>
            </w:r>
            <w:r>
              <w:rPr>
                <w:rFonts w:hint="eastAsia" w:ascii="宋体" w:hAnsi="宋体"/>
                <w:b/>
                <w:bCs/>
                <w:highlight w:val="none"/>
              </w:rPr>
              <w:t>数</w:t>
            </w:r>
            <w:r>
              <w:rPr>
                <w:rFonts w:ascii="宋体" w:hAnsi="宋体"/>
                <w:b/>
                <w:bCs/>
                <w:highlight w:val="none"/>
              </w:rPr>
              <w:t>的比例</w:t>
            </w:r>
          </w:p>
        </w:tc>
        <w:tc>
          <w:tcPr>
            <w:tcW w:w="1512" w:type="dxa"/>
            <w:vMerge w:val="restart"/>
            <w:shd w:val="clear" w:color="auto" w:fill="auto"/>
            <w:vAlign w:val="center"/>
          </w:tcPr>
          <w:p>
            <w:pPr>
              <w:spacing w:before="156" w:beforeLines="50" w:after="156" w:afterLines="50" w:line="360" w:lineRule="auto"/>
              <w:jc w:val="center"/>
              <w:rPr>
                <w:rFonts w:ascii="宋体" w:hAnsi="宋体"/>
                <w:b/>
                <w:bCs/>
                <w:sz w:val="18"/>
                <w:szCs w:val="18"/>
                <w:highlight w:val="none"/>
              </w:rPr>
            </w:pPr>
            <w:r>
              <w:rPr>
                <w:rFonts w:hint="eastAsia" w:ascii="宋体" w:hAnsi="宋体"/>
                <w:b/>
                <w:bCs/>
                <w:highlight w:val="none"/>
              </w:rPr>
              <w:t>占授予时总股本的比例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1292" w:type="dxa"/>
            <w:vMerge w:val="continue"/>
            <w:shd w:val="clear" w:color="auto" w:fill="auto"/>
            <w:vAlign w:val="center"/>
          </w:tcPr>
          <w:p>
            <w:pPr>
              <w:spacing w:before="156" w:beforeLines="50" w:after="156" w:afterLines="50"/>
              <w:jc w:val="center"/>
              <w:rPr>
                <w:rFonts w:ascii="宋体" w:hAnsi="宋体"/>
                <w:b/>
                <w:bCs/>
                <w:sz w:val="44"/>
                <w:szCs w:val="44"/>
                <w:highlight w:val="none"/>
              </w:rPr>
            </w:pPr>
          </w:p>
        </w:tc>
        <w:tc>
          <w:tcPr>
            <w:tcW w:w="1843" w:type="dxa"/>
            <w:vMerge w:val="continue"/>
            <w:shd w:val="clear" w:color="auto" w:fill="auto"/>
            <w:vAlign w:val="center"/>
          </w:tcPr>
          <w:p>
            <w:pPr>
              <w:spacing w:before="156" w:beforeLines="50" w:after="156" w:afterLines="50"/>
              <w:jc w:val="center"/>
              <w:rPr>
                <w:rFonts w:ascii="宋体" w:hAnsi="宋体"/>
                <w:b/>
                <w:bCs/>
                <w:sz w:val="44"/>
                <w:szCs w:val="44"/>
                <w:highlight w:val="none"/>
              </w:rPr>
            </w:pPr>
          </w:p>
        </w:tc>
        <w:tc>
          <w:tcPr>
            <w:tcW w:w="1843" w:type="dxa"/>
            <w:vMerge w:val="continue"/>
            <w:shd w:val="clear" w:color="auto" w:fill="auto"/>
            <w:vAlign w:val="center"/>
          </w:tcPr>
          <w:p>
            <w:pPr>
              <w:spacing w:before="156" w:beforeLines="50" w:after="156" w:afterLines="50"/>
              <w:jc w:val="center"/>
              <w:rPr>
                <w:rFonts w:ascii="宋体" w:hAnsi="宋体"/>
                <w:b/>
                <w:bCs/>
                <w:sz w:val="44"/>
                <w:szCs w:val="44"/>
                <w:highlight w:val="none"/>
              </w:rPr>
            </w:pPr>
          </w:p>
        </w:tc>
        <w:tc>
          <w:tcPr>
            <w:tcW w:w="1842" w:type="dxa"/>
            <w:vMerge w:val="continue"/>
            <w:shd w:val="clear" w:color="auto" w:fill="auto"/>
            <w:vAlign w:val="center"/>
          </w:tcPr>
          <w:p>
            <w:pPr>
              <w:spacing w:before="156" w:beforeLines="50" w:after="156" w:afterLines="50"/>
              <w:jc w:val="center"/>
              <w:rPr>
                <w:rFonts w:ascii="宋体" w:hAnsi="宋体"/>
                <w:b/>
                <w:bCs/>
                <w:sz w:val="44"/>
                <w:szCs w:val="44"/>
                <w:highlight w:val="none"/>
              </w:rPr>
            </w:pPr>
          </w:p>
        </w:tc>
        <w:tc>
          <w:tcPr>
            <w:tcW w:w="1512" w:type="dxa"/>
            <w:vMerge w:val="continue"/>
            <w:shd w:val="clear" w:color="auto" w:fill="auto"/>
            <w:vAlign w:val="center"/>
          </w:tcPr>
          <w:p>
            <w:pPr>
              <w:spacing w:before="156" w:beforeLines="50" w:after="156" w:afterLines="50"/>
              <w:jc w:val="center"/>
              <w:rPr>
                <w:rFonts w:ascii="宋体" w:hAnsi="宋体"/>
                <w:b/>
                <w:bCs/>
                <w:sz w:val="44"/>
                <w:szCs w:val="4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1292" w:type="dxa"/>
            <w:vAlign w:val="center"/>
          </w:tcPr>
          <w:p>
            <w:pPr>
              <w:spacing w:before="156" w:beforeLines="50" w:after="156" w:afterLines="50"/>
              <w:jc w:val="center"/>
              <w:rPr>
                <w:rFonts w:ascii="宋体" w:hAnsi="宋体"/>
                <w:highlight w:val="none"/>
              </w:rPr>
            </w:pPr>
            <w:r>
              <w:rPr>
                <w:rFonts w:hint="eastAsia" w:ascii="宋体" w:hAnsi="宋体"/>
                <w:highlight w:val="none"/>
              </w:rPr>
              <w:t>卓红叶</w:t>
            </w:r>
          </w:p>
        </w:tc>
        <w:tc>
          <w:tcPr>
            <w:tcW w:w="1843" w:type="dxa"/>
            <w:vAlign w:val="center"/>
          </w:tcPr>
          <w:p>
            <w:pPr>
              <w:spacing w:before="156" w:beforeLines="50" w:after="156" w:afterLines="50"/>
              <w:jc w:val="center"/>
              <w:rPr>
                <w:rFonts w:ascii="宋体" w:hAnsi="宋体"/>
                <w:highlight w:val="none"/>
              </w:rPr>
            </w:pPr>
            <w:r>
              <w:rPr>
                <w:rFonts w:hint="eastAsia" w:ascii="宋体" w:hAnsi="宋体"/>
                <w:highlight w:val="none"/>
              </w:rPr>
              <w:t>董事</w:t>
            </w:r>
          </w:p>
        </w:tc>
        <w:tc>
          <w:tcPr>
            <w:tcW w:w="1843" w:type="dxa"/>
            <w:vAlign w:val="center"/>
          </w:tcPr>
          <w:p>
            <w:pPr>
              <w:spacing w:before="156" w:beforeLines="50" w:after="156" w:afterLines="50"/>
              <w:jc w:val="center"/>
              <w:rPr>
                <w:rFonts w:ascii="宋体" w:hAnsi="宋体"/>
                <w:highlight w:val="none"/>
              </w:rPr>
            </w:pPr>
            <w:r>
              <w:rPr>
                <w:rFonts w:hint="eastAsia" w:ascii="宋体" w:hAnsi="宋体"/>
                <w:highlight w:val="none"/>
              </w:rPr>
              <w:t>5.00</w:t>
            </w:r>
          </w:p>
        </w:tc>
        <w:tc>
          <w:tcPr>
            <w:tcW w:w="1842" w:type="dxa"/>
            <w:vAlign w:val="center"/>
          </w:tcPr>
          <w:p>
            <w:pPr>
              <w:spacing w:before="156" w:beforeLines="50" w:after="156" w:afterLines="50"/>
              <w:jc w:val="center"/>
              <w:rPr>
                <w:rFonts w:ascii="宋体" w:hAnsi="宋体"/>
                <w:highlight w:val="none"/>
              </w:rPr>
            </w:pPr>
            <w:r>
              <w:rPr>
                <w:rFonts w:hint="eastAsia" w:ascii="宋体" w:hAnsi="宋体"/>
                <w:highlight w:val="none"/>
              </w:rPr>
              <w:t>0．66%</w:t>
            </w:r>
          </w:p>
        </w:tc>
        <w:tc>
          <w:tcPr>
            <w:tcW w:w="1512" w:type="dxa"/>
            <w:vAlign w:val="center"/>
          </w:tcPr>
          <w:p>
            <w:pPr>
              <w:spacing w:before="156" w:beforeLines="50" w:after="156" w:afterLines="50"/>
              <w:jc w:val="center"/>
              <w:rPr>
                <w:rFonts w:ascii="宋体" w:hAnsi="宋体"/>
                <w:highlight w:val="none"/>
              </w:rPr>
            </w:pPr>
            <w:r>
              <w:rPr>
                <w:rFonts w:hint="eastAsia" w:ascii="宋体" w:hAnsi="宋体"/>
                <w:highlight w:val="none"/>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1292" w:type="dxa"/>
            <w:vAlign w:val="center"/>
          </w:tcPr>
          <w:p>
            <w:pPr>
              <w:spacing w:before="156" w:beforeLines="50" w:after="156" w:afterLines="50"/>
              <w:jc w:val="center"/>
              <w:rPr>
                <w:rFonts w:ascii="宋体" w:hAnsi="宋体"/>
                <w:highlight w:val="none"/>
              </w:rPr>
            </w:pPr>
            <w:r>
              <w:rPr>
                <w:rFonts w:hint="eastAsia" w:ascii="宋体" w:hAnsi="宋体"/>
                <w:highlight w:val="none"/>
              </w:rPr>
              <w:t>沃燕波</w:t>
            </w:r>
          </w:p>
        </w:tc>
        <w:tc>
          <w:tcPr>
            <w:tcW w:w="1843" w:type="dxa"/>
            <w:vAlign w:val="center"/>
          </w:tcPr>
          <w:p>
            <w:pPr>
              <w:spacing w:before="156" w:beforeLines="50" w:after="156" w:afterLines="50"/>
              <w:jc w:val="center"/>
              <w:rPr>
                <w:rFonts w:ascii="宋体" w:hAnsi="宋体"/>
                <w:highlight w:val="none"/>
              </w:rPr>
            </w:pPr>
            <w:r>
              <w:rPr>
                <w:rFonts w:hint="eastAsia" w:ascii="宋体" w:hAnsi="宋体"/>
                <w:highlight w:val="none"/>
              </w:rPr>
              <w:t>副总经理</w:t>
            </w:r>
          </w:p>
        </w:tc>
        <w:tc>
          <w:tcPr>
            <w:tcW w:w="1843" w:type="dxa"/>
            <w:vAlign w:val="center"/>
          </w:tcPr>
          <w:p>
            <w:pPr>
              <w:spacing w:before="156" w:beforeLines="50" w:after="156" w:afterLines="50"/>
              <w:jc w:val="center"/>
              <w:rPr>
                <w:rFonts w:ascii="宋体" w:hAnsi="宋体"/>
                <w:highlight w:val="none"/>
              </w:rPr>
            </w:pPr>
            <w:r>
              <w:rPr>
                <w:rFonts w:hint="eastAsia" w:ascii="宋体" w:hAnsi="宋体"/>
                <w:highlight w:val="none"/>
              </w:rPr>
              <w:t>5.00</w:t>
            </w:r>
          </w:p>
        </w:tc>
        <w:tc>
          <w:tcPr>
            <w:tcW w:w="1842" w:type="dxa"/>
            <w:vAlign w:val="center"/>
          </w:tcPr>
          <w:p>
            <w:pPr>
              <w:spacing w:before="156" w:beforeLines="50" w:after="156" w:afterLines="50"/>
              <w:jc w:val="center"/>
              <w:rPr>
                <w:rFonts w:ascii="宋体" w:hAnsi="宋体"/>
                <w:highlight w:val="none"/>
              </w:rPr>
            </w:pPr>
            <w:r>
              <w:rPr>
                <w:rFonts w:hint="eastAsia" w:ascii="宋体" w:hAnsi="宋体"/>
                <w:highlight w:val="none"/>
              </w:rPr>
              <w:t>0．66%</w:t>
            </w:r>
          </w:p>
        </w:tc>
        <w:tc>
          <w:tcPr>
            <w:tcW w:w="1512" w:type="dxa"/>
            <w:vAlign w:val="center"/>
          </w:tcPr>
          <w:p>
            <w:pPr>
              <w:spacing w:before="156" w:beforeLines="50" w:after="156" w:afterLines="50"/>
              <w:jc w:val="center"/>
              <w:rPr>
                <w:rFonts w:ascii="宋体" w:hAnsi="宋体"/>
                <w:highlight w:val="none"/>
              </w:rPr>
            </w:pPr>
            <w:r>
              <w:rPr>
                <w:rFonts w:ascii="宋体" w:hAnsi="宋体"/>
                <w:highlight w:val="none"/>
              </w:rPr>
              <w:t>0.</w:t>
            </w:r>
            <w:r>
              <w:rPr>
                <w:rFonts w:hint="eastAsia" w:ascii="宋体" w:hAnsi="宋体"/>
                <w:highlight w:val="none"/>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3135" w:type="dxa"/>
            <w:gridSpan w:val="2"/>
            <w:vAlign w:val="center"/>
          </w:tcPr>
          <w:p>
            <w:pPr>
              <w:spacing w:before="156" w:beforeLines="50" w:after="156" w:afterLines="50"/>
              <w:jc w:val="center"/>
              <w:rPr>
                <w:rFonts w:ascii="宋体" w:hAnsi="宋体"/>
                <w:highlight w:val="none"/>
              </w:rPr>
            </w:pPr>
            <w:r>
              <w:rPr>
                <w:rFonts w:ascii="宋体" w:hAnsi="宋体"/>
                <w:highlight w:val="none"/>
              </w:rPr>
              <w:t>中层管理人员、核心</w:t>
            </w:r>
            <w:r>
              <w:rPr>
                <w:rFonts w:hint="eastAsia" w:ascii="宋体" w:hAnsi="宋体"/>
                <w:highlight w:val="none"/>
              </w:rPr>
              <w:t>技术（业务）人员及董事会认为需要激励的其他人员</w:t>
            </w:r>
          </w:p>
        </w:tc>
        <w:tc>
          <w:tcPr>
            <w:tcW w:w="1843" w:type="dxa"/>
            <w:vAlign w:val="center"/>
          </w:tcPr>
          <w:p>
            <w:pPr>
              <w:spacing w:before="156" w:beforeLines="50" w:after="156" w:afterLines="50"/>
              <w:jc w:val="center"/>
              <w:rPr>
                <w:rFonts w:ascii="宋体" w:hAnsi="宋体"/>
                <w:highlight w:val="none"/>
              </w:rPr>
            </w:pPr>
            <w:r>
              <w:rPr>
                <w:rFonts w:hint="eastAsia" w:ascii="宋体" w:hAnsi="宋体"/>
                <w:highlight w:val="none"/>
              </w:rPr>
              <w:t>750.7</w:t>
            </w:r>
          </w:p>
        </w:tc>
        <w:tc>
          <w:tcPr>
            <w:tcW w:w="1842" w:type="dxa"/>
            <w:vAlign w:val="center"/>
          </w:tcPr>
          <w:p>
            <w:pPr>
              <w:spacing w:before="156" w:beforeLines="50" w:after="156" w:afterLines="50"/>
              <w:jc w:val="center"/>
              <w:rPr>
                <w:rFonts w:ascii="宋体" w:hAnsi="宋体"/>
                <w:sz w:val="18"/>
                <w:szCs w:val="18"/>
                <w:highlight w:val="none"/>
              </w:rPr>
            </w:pPr>
            <w:r>
              <w:rPr>
                <w:rFonts w:hint="eastAsia" w:ascii="宋体" w:hAnsi="宋体"/>
                <w:highlight w:val="none"/>
              </w:rPr>
              <w:t>98．69%</w:t>
            </w:r>
          </w:p>
        </w:tc>
        <w:tc>
          <w:tcPr>
            <w:tcW w:w="1512" w:type="dxa"/>
            <w:vAlign w:val="center"/>
          </w:tcPr>
          <w:p>
            <w:pPr>
              <w:spacing w:before="156" w:beforeLines="50" w:after="156" w:afterLines="50"/>
              <w:jc w:val="center"/>
              <w:rPr>
                <w:rFonts w:ascii="宋体" w:hAnsi="宋体"/>
                <w:sz w:val="18"/>
                <w:szCs w:val="18"/>
                <w:highlight w:val="none"/>
              </w:rPr>
            </w:pPr>
            <w:r>
              <w:rPr>
                <w:rFonts w:hint="eastAsia" w:ascii="宋体" w:hAnsi="宋体"/>
                <w:highlight w:val="none"/>
              </w:rPr>
              <w:t>2.21%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3135" w:type="dxa"/>
            <w:gridSpan w:val="2"/>
            <w:vAlign w:val="center"/>
          </w:tcPr>
          <w:p>
            <w:pPr>
              <w:spacing w:before="156" w:beforeLines="50" w:after="156" w:afterLines="50"/>
              <w:jc w:val="center"/>
              <w:rPr>
                <w:rFonts w:ascii="宋体" w:hAnsi="宋体"/>
                <w:highlight w:val="none"/>
              </w:rPr>
            </w:pPr>
            <w:r>
              <w:rPr>
                <w:rFonts w:ascii="宋体" w:hAnsi="宋体"/>
                <w:highlight w:val="none"/>
              </w:rPr>
              <w:t>合计</w:t>
            </w:r>
            <w:r>
              <w:rPr>
                <w:rFonts w:hint="eastAsia" w:ascii="宋体" w:hAnsi="宋体"/>
                <w:highlight w:val="none"/>
              </w:rPr>
              <w:t>（318）人</w:t>
            </w:r>
          </w:p>
        </w:tc>
        <w:tc>
          <w:tcPr>
            <w:tcW w:w="1843" w:type="dxa"/>
            <w:vAlign w:val="center"/>
          </w:tcPr>
          <w:p>
            <w:pPr>
              <w:spacing w:before="156" w:beforeLines="50" w:after="156" w:afterLines="50"/>
              <w:jc w:val="center"/>
              <w:rPr>
                <w:rFonts w:ascii="宋体" w:hAnsi="宋体"/>
                <w:sz w:val="18"/>
                <w:szCs w:val="18"/>
                <w:highlight w:val="none"/>
              </w:rPr>
            </w:pPr>
            <w:r>
              <w:rPr>
                <w:rFonts w:hint="eastAsia" w:ascii="宋体" w:hAnsi="宋体"/>
                <w:highlight w:val="none"/>
              </w:rPr>
              <w:t>760.7</w:t>
            </w:r>
          </w:p>
        </w:tc>
        <w:tc>
          <w:tcPr>
            <w:tcW w:w="1842" w:type="dxa"/>
            <w:vAlign w:val="center"/>
          </w:tcPr>
          <w:p>
            <w:pPr>
              <w:spacing w:before="156" w:beforeLines="50" w:after="156" w:afterLines="50"/>
              <w:jc w:val="center"/>
              <w:rPr>
                <w:rFonts w:ascii="宋体" w:hAnsi="宋体"/>
                <w:sz w:val="18"/>
                <w:szCs w:val="18"/>
                <w:highlight w:val="none"/>
              </w:rPr>
            </w:pPr>
            <w:r>
              <w:rPr>
                <w:rFonts w:hint="eastAsia" w:ascii="宋体" w:hAnsi="宋体"/>
                <w:highlight w:val="none"/>
              </w:rPr>
              <w:t>100%</w:t>
            </w:r>
          </w:p>
        </w:tc>
        <w:tc>
          <w:tcPr>
            <w:tcW w:w="1512" w:type="dxa"/>
            <w:vAlign w:val="center"/>
          </w:tcPr>
          <w:p>
            <w:pPr>
              <w:spacing w:before="156" w:beforeLines="50" w:after="156" w:afterLines="50"/>
              <w:jc w:val="center"/>
              <w:rPr>
                <w:rFonts w:ascii="宋体" w:hAnsi="宋体"/>
                <w:sz w:val="18"/>
                <w:szCs w:val="18"/>
                <w:highlight w:val="none"/>
              </w:rPr>
            </w:pPr>
            <w:r>
              <w:rPr>
                <w:rFonts w:hint="eastAsia" w:ascii="宋体" w:hAnsi="宋体"/>
                <w:highlight w:val="none"/>
              </w:rPr>
              <w:t>2.24%</w:t>
            </w:r>
          </w:p>
        </w:tc>
      </w:tr>
    </w:tbl>
    <w:p>
      <w:pPr>
        <w:spacing w:line="360" w:lineRule="auto"/>
        <w:ind w:firstLine="480" w:firstLineChars="200"/>
        <w:rPr>
          <w:rFonts w:ascii="宋体" w:hAnsi="宋体"/>
          <w:sz w:val="24"/>
          <w:highlight w:val="none"/>
        </w:rPr>
      </w:pP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4、首次授予限制性股票</w:t>
      </w:r>
      <w:r>
        <w:rPr>
          <w:rFonts w:ascii="宋体" w:hAnsi="宋体" w:eastAsia="宋体"/>
          <w:color w:val="auto"/>
          <w:sz w:val="24"/>
          <w:szCs w:val="24"/>
          <w:highlight w:val="none"/>
        </w:rPr>
        <w:t>激励计划的有效期、锁定期和解锁安排情况</w:t>
      </w: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激励对象获授限制性股票之日起12个月内为锁定期。在锁定期内，激励对象根据本激励计划获授的限制性股票（包含因该等股票取得的股票，下同）予以锁定，不得转让或用于偿还债务。锁定期满后为解锁期。本激励计划授予的限制性股票自授予日起满12个月后，激励对象应在未来48个月内按10</w:t>
      </w:r>
      <w:r>
        <w:rPr>
          <w:rFonts w:ascii="宋体" w:hAnsi="宋体" w:eastAsia="宋体"/>
          <w:color w:val="auto"/>
          <w:sz w:val="24"/>
          <w:szCs w:val="24"/>
          <w:highlight w:val="none"/>
        </w:rPr>
        <w:t>%、</w:t>
      </w:r>
      <w:r>
        <w:rPr>
          <w:rFonts w:hint="eastAsia" w:ascii="宋体" w:hAnsi="宋体" w:eastAsia="宋体"/>
          <w:color w:val="auto"/>
          <w:sz w:val="24"/>
          <w:szCs w:val="24"/>
          <w:highlight w:val="none"/>
        </w:rPr>
        <w:t>2</w:t>
      </w:r>
      <w:r>
        <w:rPr>
          <w:rFonts w:ascii="宋体" w:hAnsi="宋体" w:eastAsia="宋体"/>
          <w:color w:val="auto"/>
          <w:sz w:val="24"/>
          <w:szCs w:val="24"/>
          <w:highlight w:val="none"/>
        </w:rPr>
        <w:t>0%、</w:t>
      </w:r>
      <w:r>
        <w:rPr>
          <w:rFonts w:hint="eastAsia" w:ascii="宋体" w:hAnsi="宋体" w:eastAsia="宋体"/>
          <w:color w:val="auto"/>
          <w:sz w:val="24"/>
          <w:szCs w:val="24"/>
          <w:highlight w:val="none"/>
        </w:rPr>
        <w:t>3</w:t>
      </w:r>
      <w:r>
        <w:rPr>
          <w:rFonts w:ascii="宋体" w:hAnsi="宋体" w:eastAsia="宋体"/>
          <w:color w:val="auto"/>
          <w:sz w:val="24"/>
          <w:szCs w:val="24"/>
          <w:highlight w:val="none"/>
        </w:rPr>
        <w:t>0%</w:t>
      </w:r>
      <w:r>
        <w:rPr>
          <w:rFonts w:hint="eastAsia" w:ascii="宋体" w:hAnsi="宋体" w:eastAsia="宋体"/>
          <w:color w:val="auto"/>
          <w:sz w:val="24"/>
          <w:szCs w:val="24"/>
          <w:highlight w:val="none"/>
        </w:rPr>
        <w:t>、40%比例解锁。</w:t>
      </w:r>
    </w:p>
    <w:p>
      <w:pPr>
        <w:pStyle w:val="28"/>
        <w:spacing w:after="156" w:afterLines="50"/>
        <w:ind w:firstLine="482"/>
        <w:rPr>
          <w:rFonts w:ascii="宋体" w:hAnsi="宋体" w:eastAsia="宋体" w:cs="Times New Roman"/>
          <w:color w:val="auto"/>
          <w:sz w:val="24"/>
          <w:szCs w:val="24"/>
          <w:highlight w:val="none"/>
          <w:lang w:val="zh-TW"/>
        </w:rPr>
      </w:pPr>
      <w:r>
        <w:rPr>
          <w:rFonts w:hint="eastAsia" w:ascii="宋体" w:hAnsi="宋体" w:eastAsia="宋体"/>
          <w:color w:val="auto"/>
          <w:sz w:val="24"/>
          <w:szCs w:val="24"/>
          <w:highlight w:val="none"/>
        </w:rPr>
        <w:t>5、首次授予</w:t>
      </w:r>
      <w:r>
        <w:rPr>
          <w:rFonts w:ascii="宋体" w:hAnsi="宋体" w:eastAsia="宋体"/>
          <w:color w:val="auto"/>
          <w:sz w:val="24"/>
          <w:szCs w:val="24"/>
          <w:highlight w:val="none"/>
        </w:rPr>
        <w:t>限制性股票授予价格：</w:t>
      </w:r>
      <w:r>
        <w:rPr>
          <w:rFonts w:hint="eastAsia" w:ascii="宋体" w:hAnsi="宋体" w:eastAsia="宋体" w:cs="Times New Roman"/>
          <w:color w:val="auto"/>
          <w:sz w:val="24"/>
          <w:szCs w:val="24"/>
          <w:highlight w:val="none"/>
          <w:lang w:val="zh-TW"/>
        </w:rPr>
        <w:t>本次首次授予的限制性股票授予价格为每股</w:t>
      </w:r>
      <w:r>
        <w:rPr>
          <w:rFonts w:ascii="宋体" w:hAnsi="宋体" w:eastAsia="宋体" w:cs="Times New Roman"/>
          <w:color w:val="auto"/>
          <w:sz w:val="24"/>
          <w:szCs w:val="24"/>
          <w:highlight w:val="none"/>
          <w:lang w:val="zh-TW"/>
        </w:rPr>
        <w:t>13.</w:t>
      </w:r>
      <w:r>
        <w:rPr>
          <w:rFonts w:ascii="宋体" w:hAnsi="宋体" w:eastAsia="宋体" w:cs="Times New Roman"/>
          <w:color w:val="auto"/>
          <w:sz w:val="24"/>
          <w:szCs w:val="24"/>
          <w:highlight w:val="none"/>
        </w:rPr>
        <w:t>37</w:t>
      </w:r>
      <w:r>
        <w:rPr>
          <w:rFonts w:hint="eastAsia" w:ascii="宋体" w:hAnsi="宋体" w:eastAsia="宋体" w:cs="Times New Roman"/>
          <w:color w:val="auto"/>
          <w:sz w:val="24"/>
          <w:szCs w:val="24"/>
          <w:highlight w:val="none"/>
          <w:lang w:val="zh-TW"/>
        </w:rPr>
        <w:t>元。</w:t>
      </w:r>
    </w:p>
    <w:p>
      <w:pPr>
        <w:pStyle w:val="28"/>
        <w:spacing w:after="156" w:afterLines="50"/>
        <w:ind w:firstLine="482"/>
        <w:rPr>
          <w:rFonts w:ascii="宋体" w:hAnsi="宋体" w:eastAsia="宋体"/>
          <w:color w:val="auto"/>
          <w:sz w:val="24"/>
          <w:szCs w:val="24"/>
          <w:highlight w:val="none"/>
        </w:rPr>
      </w:pPr>
      <w:r>
        <w:rPr>
          <w:rFonts w:hint="eastAsia" w:ascii="宋体" w:hAnsi="宋体" w:eastAsia="宋体"/>
          <w:color w:val="auto"/>
          <w:sz w:val="24"/>
          <w:szCs w:val="24"/>
          <w:highlight w:val="none"/>
        </w:rPr>
        <w:t>6、首次授予</w:t>
      </w:r>
      <w:r>
        <w:rPr>
          <w:rFonts w:ascii="宋体" w:hAnsi="宋体" w:eastAsia="宋体"/>
          <w:color w:val="auto"/>
          <w:sz w:val="24"/>
          <w:szCs w:val="24"/>
          <w:highlight w:val="none"/>
        </w:rPr>
        <w:t>限制性股票解锁条件：本激励计划</w:t>
      </w:r>
      <w:r>
        <w:rPr>
          <w:rFonts w:hint="eastAsia" w:ascii="宋体" w:hAnsi="宋体" w:eastAsia="宋体"/>
          <w:color w:val="auto"/>
          <w:sz w:val="24"/>
          <w:szCs w:val="24"/>
          <w:highlight w:val="none"/>
        </w:rPr>
        <w:t>的</w:t>
      </w:r>
      <w:r>
        <w:rPr>
          <w:rFonts w:ascii="宋体" w:hAnsi="宋体" w:eastAsia="宋体"/>
          <w:color w:val="auto"/>
          <w:sz w:val="24"/>
          <w:szCs w:val="24"/>
          <w:highlight w:val="none"/>
        </w:rPr>
        <w:t>首次</w:t>
      </w:r>
      <w:r>
        <w:rPr>
          <w:rFonts w:hint="eastAsia" w:ascii="宋体" w:hAnsi="宋体" w:eastAsia="宋体"/>
          <w:color w:val="auto"/>
          <w:sz w:val="24"/>
          <w:szCs w:val="24"/>
          <w:highlight w:val="none"/>
        </w:rPr>
        <w:t>授予限制性股票的业绩</w:t>
      </w:r>
      <w:r>
        <w:rPr>
          <w:rFonts w:ascii="宋体" w:hAnsi="宋体" w:eastAsia="宋体"/>
          <w:color w:val="auto"/>
          <w:sz w:val="24"/>
          <w:szCs w:val="24"/>
          <w:highlight w:val="none"/>
        </w:rPr>
        <w:t>考核年度为201</w:t>
      </w:r>
      <w:r>
        <w:rPr>
          <w:rFonts w:hint="eastAsia" w:ascii="宋体" w:hAnsi="宋体" w:eastAsia="宋体"/>
          <w:color w:val="auto"/>
          <w:sz w:val="24"/>
          <w:szCs w:val="24"/>
          <w:highlight w:val="none"/>
        </w:rPr>
        <w:t>6</w:t>
      </w:r>
      <w:r>
        <w:rPr>
          <w:rFonts w:ascii="宋体" w:hAnsi="宋体" w:eastAsia="宋体"/>
          <w:color w:val="auto"/>
          <w:sz w:val="24"/>
          <w:szCs w:val="24"/>
          <w:highlight w:val="none"/>
        </w:rPr>
        <w:t>-20</w:t>
      </w:r>
      <w:r>
        <w:rPr>
          <w:rFonts w:hint="eastAsia" w:ascii="宋体" w:hAnsi="宋体" w:eastAsia="宋体"/>
          <w:color w:val="auto"/>
          <w:sz w:val="24"/>
          <w:szCs w:val="24"/>
          <w:highlight w:val="none"/>
        </w:rPr>
        <w:t>19</w:t>
      </w:r>
      <w:r>
        <w:rPr>
          <w:rFonts w:ascii="宋体" w:hAnsi="宋体" w:eastAsia="宋体"/>
          <w:color w:val="auto"/>
          <w:sz w:val="24"/>
          <w:szCs w:val="24"/>
          <w:highlight w:val="none"/>
        </w:rPr>
        <w:t>年</w:t>
      </w:r>
      <w:r>
        <w:rPr>
          <w:rFonts w:hint="eastAsia" w:ascii="宋体" w:hAnsi="宋体" w:eastAsia="宋体"/>
          <w:color w:val="auto"/>
          <w:sz w:val="24"/>
          <w:szCs w:val="24"/>
          <w:highlight w:val="none"/>
        </w:rPr>
        <w:t>四</w:t>
      </w:r>
      <w:r>
        <w:rPr>
          <w:rFonts w:ascii="宋体" w:hAnsi="宋体" w:eastAsia="宋体"/>
          <w:color w:val="auto"/>
          <w:sz w:val="24"/>
          <w:szCs w:val="24"/>
          <w:highlight w:val="none"/>
        </w:rPr>
        <w:t xml:space="preserve">个会计年度，每个会计年度考核一次，各年度业绩考核目标如下表所示： </w:t>
      </w:r>
    </w:p>
    <w:p>
      <w:pPr>
        <w:pStyle w:val="28"/>
        <w:spacing w:after="156" w:afterLines="50"/>
        <w:ind w:firstLine="482"/>
        <w:outlineLvl w:val="0"/>
        <w:rPr>
          <w:rFonts w:ascii="宋体" w:hAnsi="宋体" w:eastAsia="宋体"/>
          <w:color w:val="auto"/>
          <w:sz w:val="24"/>
          <w:szCs w:val="24"/>
          <w:highlight w:val="none"/>
        </w:rPr>
      </w:pPr>
      <w:r>
        <w:rPr>
          <w:rFonts w:hint="eastAsia" w:ascii="宋体" w:hAnsi="宋体" w:eastAsia="宋体"/>
          <w:color w:val="auto"/>
          <w:sz w:val="24"/>
          <w:szCs w:val="24"/>
          <w:highlight w:val="none"/>
        </w:rPr>
        <w:t>（1）公司业绩考核要求</w:t>
      </w:r>
    </w:p>
    <w:tbl>
      <w:tblPr>
        <w:tblStyle w:val="35"/>
        <w:tblW w:w="84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24"/>
        <w:gridCol w:w="6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 w:hRule="atLeast"/>
          <w:jc w:val="center"/>
        </w:trPr>
        <w:tc>
          <w:tcPr>
            <w:tcW w:w="1924" w:type="dxa"/>
            <w:tcBorders>
              <w:top w:val="single" w:color="000000" w:sz="12" w:space="0"/>
              <w:left w:val="single" w:color="000000" w:sz="12" w:space="0"/>
              <w:bottom w:val="single" w:color="000000" w:sz="6" w:space="0"/>
              <w:right w:val="single" w:color="000000" w:sz="6" w:space="0"/>
            </w:tcBorders>
            <w:shd w:val="clear" w:color="auto" w:fill="BEBEBE" w:themeFill="background1" w:themeFillShade="BF"/>
            <w:tcMar>
              <w:top w:w="80" w:type="dxa"/>
              <w:left w:w="80" w:type="dxa"/>
              <w:bottom w:w="80" w:type="dxa"/>
              <w:right w:w="80" w:type="dxa"/>
            </w:tcMar>
            <w:vAlign w:val="center"/>
          </w:tcPr>
          <w:p>
            <w:pPr>
              <w:pStyle w:val="28"/>
              <w:jc w:val="center"/>
              <w:rPr>
                <w:rFonts w:ascii="宋体" w:hAnsi="宋体" w:eastAsia="宋体"/>
                <w:color w:val="auto"/>
                <w:highlight w:val="none"/>
              </w:rPr>
            </w:pPr>
            <w:r>
              <w:rPr>
                <w:rFonts w:ascii="宋体" w:hAnsi="宋体" w:eastAsia="宋体" w:cs="宋体"/>
                <w:b/>
                <w:bCs/>
                <w:color w:val="auto"/>
                <w:highlight w:val="none"/>
                <w:lang w:val="zh-TW" w:eastAsia="zh-TW"/>
              </w:rPr>
              <w:t>解锁期</w:t>
            </w:r>
          </w:p>
        </w:tc>
        <w:tc>
          <w:tcPr>
            <w:tcW w:w="6536" w:type="dxa"/>
            <w:tcBorders>
              <w:top w:val="single" w:color="000000" w:sz="12" w:space="0"/>
              <w:left w:val="single" w:color="000000" w:sz="6" w:space="0"/>
              <w:bottom w:val="single" w:color="000000" w:sz="6" w:space="0"/>
              <w:right w:val="single" w:color="000000" w:sz="12" w:space="0"/>
            </w:tcBorders>
            <w:shd w:val="clear" w:color="auto" w:fill="BEBEBE" w:themeFill="background1" w:themeFillShade="BF"/>
            <w:tcMar>
              <w:top w:w="80" w:type="dxa"/>
              <w:left w:w="80" w:type="dxa"/>
              <w:bottom w:w="80" w:type="dxa"/>
              <w:right w:w="80" w:type="dxa"/>
            </w:tcMar>
            <w:vAlign w:val="center"/>
          </w:tcPr>
          <w:p>
            <w:pPr>
              <w:pStyle w:val="28"/>
              <w:jc w:val="center"/>
              <w:rPr>
                <w:rFonts w:ascii="宋体" w:hAnsi="宋体" w:eastAsia="宋体"/>
                <w:color w:val="auto"/>
                <w:highlight w:val="none"/>
              </w:rPr>
            </w:pPr>
            <w:r>
              <w:rPr>
                <w:rFonts w:ascii="宋体" w:hAnsi="宋体" w:eastAsia="宋体" w:cs="宋体"/>
                <w:b/>
                <w:bCs/>
                <w:color w:val="auto"/>
                <w:highlight w:val="none"/>
                <w:lang w:val="zh-TW" w:eastAsia="zh-TW"/>
              </w:rPr>
              <w:t>业绩考核目标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1924" w:type="dxa"/>
            <w:tcBorders>
              <w:top w:val="single" w:color="000000" w:sz="6" w:space="0"/>
              <w:left w:val="single" w:color="000000" w:sz="12"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8"/>
              <w:jc w:val="center"/>
              <w:rPr>
                <w:rFonts w:ascii="宋体" w:hAnsi="宋体" w:eastAsia="宋体"/>
                <w:color w:val="auto"/>
                <w:highlight w:val="none"/>
              </w:rPr>
            </w:pPr>
            <w:r>
              <w:rPr>
                <w:rFonts w:ascii="宋体" w:hAnsi="宋体" w:eastAsia="宋体" w:cs="宋体"/>
                <w:color w:val="auto"/>
                <w:highlight w:val="none"/>
                <w:lang w:val="zh-TW" w:eastAsia="zh-TW"/>
              </w:rPr>
              <w:t>第一个解锁期</w:t>
            </w:r>
          </w:p>
        </w:tc>
        <w:tc>
          <w:tcPr>
            <w:tcW w:w="6536"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jc w:val="center"/>
              <w:rPr>
                <w:rFonts w:ascii="宋体" w:hAnsi="宋体" w:cs="Arial"/>
                <w:highlight w:val="none"/>
              </w:rPr>
            </w:pPr>
            <w:r>
              <w:rPr>
                <w:rFonts w:ascii="宋体" w:hAnsi="宋体" w:cs="Arial"/>
                <w:highlight w:val="none"/>
              </w:rPr>
              <w:t>相比</w:t>
            </w:r>
            <w:r>
              <w:rPr>
                <w:rFonts w:hint="eastAsia" w:ascii="宋体" w:hAnsi="宋体" w:cs="Arial"/>
                <w:highlight w:val="none"/>
              </w:rPr>
              <w:t>2015年，</w:t>
            </w:r>
            <w:r>
              <w:rPr>
                <w:rFonts w:ascii="宋体" w:hAnsi="宋体" w:cs="Arial"/>
                <w:highlight w:val="none"/>
              </w:rPr>
              <w:t>201</w:t>
            </w:r>
            <w:r>
              <w:rPr>
                <w:rFonts w:hint="eastAsia" w:ascii="宋体" w:hAnsi="宋体" w:cs="Arial"/>
                <w:highlight w:val="none"/>
              </w:rPr>
              <w:t>6</w:t>
            </w:r>
            <w:r>
              <w:rPr>
                <w:rFonts w:ascii="宋体" w:hAnsi="宋体" w:cs="Arial"/>
                <w:highlight w:val="none"/>
              </w:rPr>
              <w:t>年净利润增长</w:t>
            </w:r>
            <w:r>
              <w:rPr>
                <w:rFonts w:hint="eastAsia" w:ascii="宋体" w:hAnsi="宋体" w:cs="Arial"/>
                <w:highlight w:val="none"/>
              </w:rPr>
              <w:t>率</w:t>
            </w:r>
            <w:r>
              <w:rPr>
                <w:rFonts w:ascii="宋体" w:hAnsi="宋体" w:cs="Arial"/>
                <w:highlight w:val="none"/>
              </w:rPr>
              <w:t>不低于</w:t>
            </w:r>
            <w:r>
              <w:rPr>
                <w:rFonts w:hint="eastAsia" w:ascii="宋体" w:hAnsi="宋体" w:cs="Arial"/>
                <w:highlight w:val="none"/>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1924" w:type="dxa"/>
            <w:tcBorders>
              <w:top w:val="single" w:color="000000" w:sz="6" w:space="0"/>
              <w:left w:val="single" w:color="000000" w:sz="12"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8"/>
              <w:jc w:val="center"/>
              <w:rPr>
                <w:rFonts w:ascii="宋体" w:hAnsi="宋体" w:eastAsia="宋体"/>
                <w:color w:val="auto"/>
                <w:highlight w:val="none"/>
              </w:rPr>
            </w:pPr>
            <w:r>
              <w:rPr>
                <w:rFonts w:ascii="宋体" w:hAnsi="宋体" w:eastAsia="宋体" w:cs="宋体"/>
                <w:color w:val="auto"/>
                <w:highlight w:val="none"/>
                <w:lang w:val="zh-TW" w:eastAsia="zh-TW"/>
              </w:rPr>
              <w:t>第二个解锁期</w:t>
            </w:r>
          </w:p>
        </w:tc>
        <w:tc>
          <w:tcPr>
            <w:tcW w:w="6536"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jc w:val="center"/>
              <w:rPr>
                <w:rFonts w:ascii="宋体" w:hAnsi="宋体" w:cs="Arial"/>
                <w:highlight w:val="none"/>
              </w:rPr>
            </w:pPr>
            <w:r>
              <w:rPr>
                <w:rFonts w:ascii="宋体" w:hAnsi="宋体" w:cs="Arial"/>
                <w:highlight w:val="none"/>
              </w:rPr>
              <w:t>相比</w:t>
            </w:r>
            <w:r>
              <w:rPr>
                <w:rFonts w:hint="eastAsia" w:ascii="宋体" w:hAnsi="宋体" w:cs="Arial"/>
                <w:highlight w:val="none"/>
              </w:rPr>
              <w:t>2015年，</w:t>
            </w:r>
            <w:r>
              <w:rPr>
                <w:rFonts w:ascii="宋体" w:hAnsi="宋体" w:cs="Arial"/>
                <w:highlight w:val="none"/>
              </w:rPr>
              <w:t>201</w:t>
            </w:r>
            <w:r>
              <w:rPr>
                <w:rFonts w:hint="eastAsia" w:ascii="宋体" w:hAnsi="宋体" w:cs="Arial"/>
                <w:highlight w:val="none"/>
              </w:rPr>
              <w:t>7</w:t>
            </w:r>
            <w:r>
              <w:rPr>
                <w:rFonts w:ascii="宋体" w:hAnsi="宋体" w:cs="Arial"/>
                <w:highlight w:val="none"/>
              </w:rPr>
              <w:t>年净利润增长</w:t>
            </w:r>
            <w:r>
              <w:rPr>
                <w:rFonts w:hint="eastAsia" w:ascii="宋体" w:hAnsi="宋体" w:cs="Arial"/>
                <w:highlight w:val="none"/>
              </w:rPr>
              <w:t>率</w:t>
            </w:r>
            <w:r>
              <w:rPr>
                <w:rFonts w:ascii="宋体" w:hAnsi="宋体" w:cs="Arial"/>
                <w:highlight w:val="none"/>
              </w:rPr>
              <w:t>不低于</w:t>
            </w:r>
            <w:r>
              <w:rPr>
                <w:rFonts w:hint="eastAsia" w:ascii="宋体" w:hAnsi="宋体" w:cs="Arial"/>
                <w:highlight w:val="none"/>
              </w:rPr>
              <w:t>21.00%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1924" w:type="dxa"/>
            <w:tcBorders>
              <w:top w:val="single" w:color="000000" w:sz="6" w:space="0"/>
              <w:left w:val="single" w:color="000000" w:sz="12"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8"/>
              <w:jc w:val="center"/>
              <w:rPr>
                <w:rFonts w:ascii="宋体" w:hAnsi="宋体" w:eastAsia="宋体"/>
                <w:color w:val="auto"/>
                <w:highlight w:val="none"/>
              </w:rPr>
            </w:pPr>
            <w:r>
              <w:rPr>
                <w:rFonts w:ascii="宋体" w:hAnsi="宋体" w:eastAsia="宋体" w:cs="宋体"/>
                <w:color w:val="auto"/>
                <w:highlight w:val="none"/>
                <w:lang w:val="zh-TW" w:eastAsia="zh-TW"/>
              </w:rPr>
              <w:t>第三个解锁期</w:t>
            </w:r>
          </w:p>
        </w:tc>
        <w:tc>
          <w:tcPr>
            <w:tcW w:w="6536"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jc w:val="center"/>
              <w:rPr>
                <w:rFonts w:ascii="宋体" w:hAnsi="宋体" w:cs="Arial"/>
                <w:highlight w:val="none"/>
              </w:rPr>
            </w:pPr>
            <w:r>
              <w:rPr>
                <w:rFonts w:ascii="宋体" w:hAnsi="宋体" w:cs="Arial"/>
                <w:highlight w:val="none"/>
              </w:rPr>
              <w:t>相比</w:t>
            </w:r>
            <w:r>
              <w:rPr>
                <w:rFonts w:hint="eastAsia" w:ascii="宋体" w:hAnsi="宋体" w:cs="Arial"/>
                <w:highlight w:val="none"/>
              </w:rPr>
              <w:t>2015年，</w:t>
            </w:r>
            <w:r>
              <w:rPr>
                <w:rFonts w:ascii="宋体" w:hAnsi="宋体" w:cs="Arial"/>
                <w:highlight w:val="none"/>
              </w:rPr>
              <w:t>201</w:t>
            </w:r>
            <w:r>
              <w:rPr>
                <w:rFonts w:hint="eastAsia" w:ascii="宋体" w:hAnsi="宋体" w:cs="Arial"/>
                <w:highlight w:val="none"/>
              </w:rPr>
              <w:t>8</w:t>
            </w:r>
            <w:r>
              <w:rPr>
                <w:rFonts w:ascii="宋体" w:hAnsi="宋体" w:cs="Arial"/>
                <w:highlight w:val="none"/>
              </w:rPr>
              <w:t>年净利润增长</w:t>
            </w:r>
            <w:r>
              <w:rPr>
                <w:rFonts w:hint="eastAsia" w:ascii="宋体" w:hAnsi="宋体" w:cs="Arial"/>
                <w:highlight w:val="none"/>
              </w:rPr>
              <w:t>率</w:t>
            </w:r>
            <w:r>
              <w:rPr>
                <w:rFonts w:ascii="宋体" w:hAnsi="宋体" w:cs="Arial"/>
                <w:highlight w:val="none"/>
              </w:rPr>
              <w:t>不低于</w:t>
            </w:r>
            <w:r>
              <w:rPr>
                <w:rFonts w:hint="eastAsia" w:ascii="宋体" w:hAnsi="宋体" w:cs="Arial"/>
                <w:highlight w:val="none"/>
              </w:rPr>
              <w:t>33.10%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1924" w:type="dxa"/>
            <w:tcBorders>
              <w:top w:val="single" w:color="000000" w:sz="6" w:space="0"/>
              <w:left w:val="single" w:color="000000" w:sz="12"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28"/>
              <w:jc w:val="center"/>
              <w:rPr>
                <w:rFonts w:ascii="宋体" w:hAnsi="宋体" w:eastAsia="宋体"/>
                <w:color w:val="auto"/>
                <w:highlight w:val="none"/>
              </w:rPr>
            </w:pPr>
            <w:r>
              <w:rPr>
                <w:rFonts w:ascii="宋体" w:hAnsi="宋体" w:eastAsia="宋体" w:cs="宋体"/>
                <w:color w:val="auto"/>
                <w:highlight w:val="none"/>
                <w:lang w:val="zh-TW" w:eastAsia="zh-TW"/>
              </w:rPr>
              <w:t>第四个解锁期</w:t>
            </w:r>
          </w:p>
        </w:tc>
        <w:tc>
          <w:tcPr>
            <w:tcW w:w="6536"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jc w:val="center"/>
              <w:rPr>
                <w:rFonts w:ascii="宋体" w:hAnsi="宋体" w:cs="Arial"/>
                <w:highlight w:val="none"/>
              </w:rPr>
            </w:pPr>
            <w:r>
              <w:rPr>
                <w:rFonts w:ascii="宋体" w:hAnsi="宋体" w:cs="Arial"/>
                <w:highlight w:val="none"/>
              </w:rPr>
              <w:t>相比</w:t>
            </w:r>
            <w:r>
              <w:rPr>
                <w:rFonts w:hint="eastAsia" w:ascii="宋体" w:hAnsi="宋体" w:cs="Arial"/>
                <w:highlight w:val="none"/>
              </w:rPr>
              <w:t>2015年，</w:t>
            </w:r>
            <w:r>
              <w:rPr>
                <w:rFonts w:ascii="宋体" w:hAnsi="宋体" w:cs="Arial"/>
                <w:highlight w:val="none"/>
              </w:rPr>
              <w:t>201</w:t>
            </w:r>
            <w:r>
              <w:rPr>
                <w:rFonts w:hint="eastAsia" w:ascii="宋体" w:hAnsi="宋体" w:cs="Arial"/>
                <w:highlight w:val="none"/>
              </w:rPr>
              <w:t>9</w:t>
            </w:r>
            <w:r>
              <w:rPr>
                <w:rFonts w:ascii="宋体" w:hAnsi="宋体" w:cs="Arial"/>
                <w:highlight w:val="none"/>
              </w:rPr>
              <w:t>年净利润增长</w:t>
            </w:r>
            <w:r>
              <w:rPr>
                <w:rFonts w:hint="eastAsia" w:ascii="宋体" w:hAnsi="宋体" w:cs="Arial"/>
                <w:highlight w:val="none"/>
              </w:rPr>
              <w:t>率</w:t>
            </w:r>
            <w:r>
              <w:rPr>
                <w:rFonts w:ascii="宋体" w:hAnsi="宋体" w:cs="Arial"/>
                <w:highlight w:val="none"/>
              </w:rPr>
              <w:t>不低于46.41%</w:t>
            </w:r>
          </w:p>
        </w:tc>
      </w:tr>
    </w:tbl>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上述“净利润”指</w:t>
      </w:r>
      <w:r>
        <w:rPr>
          <w:rFonts w:ascii="宋体" w:hAnsi="宋体" w:eastAsia="宋体"/>
          <w:color w:val="auto"/>
          <w:sz w:val="24"/>
          <w:szCs w:val="24"/>
          <w:highlight w:val="none"/>
        </w:rPr>
        <w:t>“</w:t>
      </w:r>
      <w:r>
        <w:rPr>
          <w:rFonts w:hint="eastAsia" w:ascii="宋体" w:hAnsi="宋体" w:eastAsia="宋体"/>
          <w:color w:val="auto"/>
          <w:sz w:val="24"/>
          <w:szCs w:val="24"/>
          <w:highlight w:val="none"/>
        </w:rPr>
        <w:t>归属于上市公司股东扣除非经常性损益后的净利润</w:t>
      </w:r>
      <w:r>
        <w:rPr>
          <w:rFonts w:ascii="宋体" w:hAnsi="宋体" w:eastAsia="宋体"/>
          <w:color w:val="auto"/>
          <w:sz w:val="24"/>
          <w:szCs w:val="24"/>
          <w:highlight w:val="none"/>
        </w:rPr>
        <w:t>”</w:t>
      </w:r>
      <w:r>
        <w:rPr>
          <w:rFonts w:hint="eastAsia" w:ascii="宋体" w:hAnsi="宋体" w:eastAsia="宋体"/>
          <w:color w:val="auto"/>
          <w:sz w:val="24"/>
          <w:szCs w:val="24"/>
          <w:highlight w:val="none"/>
        </w:rPr>
        <w:t>。</w:t>
      </w: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解锁期内，公司为满足解锁条件的激励对象办理解锁事宜，若未满足当期业绩考核目标的，所有激励对象考核当年可解锁的限制性股票均不得解锁，由公司回购注销。</w:t>
      </w:r>
    </w:p>
    <w:p>
      <w:pPr>
        <w:pStyle w:val="28"/>
        <w:ind w:firstLine="480"/>
        <w:outlineLvl w:val="0"/>
        <w:rPr>
          <w:rFonts w:ascii="宋体" w:hAnsi="宋体" w:eastAsia="宋体"/>
          <w:color w:val="auto"/>
          <w:sz w:val="24"/>
          <w:szCs w:val="24"/>
          <w:highlight w:val="none"/>
        </w:rPr>
      </w:pPr>
      <w:r>
        <w:rPr>
          <w:rFonts w:hint="eastAsia" w:ascii="宋体" w:hAnsi="宋体" w:eastAsia="宋体"/>
          <w:color w:val="auto"/>
          <w:sz w:val="24"/>
          <w:szCs w:val="24"/>
          <w:highlight w:val="none"/>
        </w:rPr>
        <w:t>（2）个人业绩考核要求</w:t>
      </w:r>
    </w:p>
    <w:p>
      <w:pPr>
        <w:spacing w:line="360" w:lineRule="auto"/>
        <w:ind w:firstLine="480" w:firstLineChars="200"/>
        <w:rPr>
          <w:rFonts w:ascii="宋体" w:hAnsi="宋体" w:cs="Calibri"/>
          <w:sz w:val="24"/>
          <w:szCs w:val="24"/>
          <w:highlight w:val="none"/>
        </w:rPr>
      </w:pPr>
      <w:r>
        <w:rPr>
          <w:rFonts w:hint="eastAsia" w:ascii="宋体" w:hAnsi="宋体" w:cs="Calibri"/>
          <w:sz w:val="24"/>
          <w:szCs w:val="24"/>
          <w:highlight w:val="none"/>
          <w:lang w:val="zh-TW"/>
        </w:rPr>
        <w:t>公司制定了</w:t>
      </w:r>
      <w:r>
        <w:rPr>
          <w:rFonts w:hint="eastAsia" w:ascii="宋体" w:hAnsi="宋体" w:cs="Calibri"/>
          <w:sz w:val="24"/>
          <w:szCs w:val="24"/>
          <w:highlight w:val="none"/>
          <w:lang w:val="zh-TW" w:eastAsia="zh-TW"/>
        </w:rPr>
        <w:t>《限制性股票激励计划实施考核管理办法》</w:t>
      </w:r>
      <w:r>
        <w:rPr>
          <w:rFonts w:hint="eastAsia" w:ascii="宋体" w:hAnsi="宋体" w:cs="Calibri"/>
          <w:sz w:val="24"/>
          <w:szCs w:val="24"/>
          <w:highlight w:val="none"/>
        </w:rPr>
        <w:t>，根据激励对象个人的绩效考核结果分为四个等级。</w:t>
      </w:r>
    </w:p>
    <w:p>
      <w:pPr>
        <w:pStyle w:val="28"/>
        <w:ind w:firstLine="480"/>
        <w:rPr>
          <w:rFonts w:ascii="宋体" w:hAnsi="宋体" w:eastAsia="宋体"/>
          <w:color w:val="auto"/>
          <w:sz w:val="24"/>
          <w:szCs w:val="24"/>
          <w:highlight w:val="none"/>
        </w:rPr>
      </w:pPr>
    </w:p>
    <w:tbl>
      <w:tblPr>
        <w:tblStyle w:val="13"/>
        <w:tblW w:w="8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2"/>
        <w:gridCol w:w="1442"/>
        <w:gridCol w:w="1830"/>
        <w:gridCol w:w="1828"/>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52" w:type="dxa"/>
            <w:shd w:val="clear" w:color="auto" w:fill="A5A5A5" w:themeFill="background1" w:themeFillShade="A6"/>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考核分数</w:t>
            </w:r>
          </w:p>
        </w:tc>
        <w:tc>
          <w:tcPr>
            <w:tcW w:w="1442" w:type="dxa"/>
            <w:shd w:val="clear" w:color="auto" w:fill="A5A5A5" w:themeFill="background1" w:themeFillShade="A6"/>
            <w:vAlign w:val="center"/>
          </w:tcPr>
          <w:p>
            <w:pPr>
              <w:spacing w:line="500" w:lineRule="exact"/>
              <w:jc w:val="center"/>
              <w:rPr>
                <w:rFonts w:ascii="宋体" w:hAnsi="宋体" w:cs="Arial"/>
                <w:highlight w:val="none"/>
              </w:rPr>
            </w:pPr>
            <w:r>
              <w:rPr>
                <w:rFonts w:hint="eastAsia" w:ascii="宋体" w:hAnsi="宋体" w:cs="Arial"/>
                <w:highlight w:val="none"/>
              </w:rPr>
              <w:t>分数≥</w:t>
            </w:r>
            <w:r>
              <w:rPr>
                <w:rFonts w:ascii="宋体" w:hAnsi="宋体" w:cs="Arial"/>
                <w:highlight w:val="none"/>
              </w:rPr>
              <w:t>90</w:t>
            </w:r>
          </w:p>
        </w:tc>
        <w:tc>
          <w:tcPr>
            <w:tcW w:w="1830" w:type="dxa"/>
            <w:shd w:val="clear" w:color="auto" w:fill="A5A5A5" w:themeFill="background1" w:themeFillShade="A6"/>
            <w:vAlign w:val="center"/>
          </w:tcPr>
          <w:p>
            <w:pPr>
              <w:spacing w:line="500" w:lineRule="exact"/>
              <w:jc w:val="center"/>
              <w:rPr>
                <w:rFonts w:ascii="宋体" w:hAnsi="宋体" w:cs="Arial"/>
                <w:highlight w:val="none"/>
              </w:rPr>
            </w:pPr>
            <w:r>
              <w:rPr>
                <w:rFonts w:ascii="宋体" w:hAnsi="宋体" w:cs="Arial"/>
                <w:highlight w:val="none"/>
              </w:rPr>
              <w:t>80</w:t>
            </w:r>
            <w:r>
              <w:rPr>
                <w:rFonts w:hint="eastAsia" w:ascii="宋体" w:hAnsi="宋体" w:cs="Arial"/>
                <w:highlight w:val="none"/>
              </w:rPr>
              <w:t>≤分数＜</w:t>
            </w:r>
            <w:r>
              <w:rPr>
                <w:rFonts w:ascii="宋体" w:hAnsi="宋体" w:cs="Arial"/>
                <w:highlight w:val="none"/>
              </w:rPr>
              <w:t>90</w:t>
            </w:r>
          </w:p>
        </w:tc>
        <w:tc>
          <w:tcPr>
            <w:tcW w:w="1828" w:type="dxa"/>
            <w:shd w:val="clear" w:color="auto" w:fill="A5A5A5" w:themeFill="background1" w:themeFillShade="A6"/>
            <w:vAlign w:val="center"/>
          </w:tcPr>
          <w:p>
            <w:pPr>
              <w:spacing w:line="500" w:lineRule="exact"/>
              <w:jc w:val="center"/>
              <w:rPr>
                <w:rFonts w:ascii="宋体" w:hAnsi="宋体" w:cs="Arial"/>
                <w:highlight w:val="none"/>
              </w:rPr>
            </w:pPr>
            <w:r>
              <w:rPr>
                <w:rFonts w:ascii="宋体" w:hAnsi="宋体" w:cs="Arial"/>
                <w:highlight w:val="none"/>
              </w:rPr>
              <w:t>60</w:t>
            </w:r>
            <w:r>
              <w:rPr>
                <w:rFonts w:hint="eastAsia" w:ascii="宋体" w:hAnsi="宋体" w:cs="Arial"/>
                <w:highlight w:val="none"/>
              </w:rPr>
              <w:t>≤分数＜</w:t>
            </w:r>
            <w:r>
              <w:rPr>
                <w:rFonts w:ascii="宋体" w:hAnsi="宋体" w:cs="Arial"/>
                <w:highlight w:val="none"/>
              </w:rPr>
              <w:t>80</w:t>
            </w:r>
          </w:p>
        </w:tc>
        <w:tc>
          <w:tcPr>
            <w:tcW w:w="1472" w:type="dxa"/>
            <w:shd w:val="clear" w:color="auto" w:fill="A5A5A5" w:themeFill="background1" w:themeFillShade="A6"/>
            <w:vAlign w:val="center"/>
          </w:tcPr>
          <w:p>
            <w:pPr>
              <w:spacing w:line="500" w:lineRule="exact"/>
              <w:jc w:val="center"/>
              <w:rPr>
                <w:rFonts w:ascii="宋体" w:hAnsi="宋体" w:cs="Arial"/>
                <w:highlight w:val="none"/>
              </w:rPr>
            </w:pPr>
            <w:r>
              <w:rPr>
                <w:rFonts w:hint="eastAsia" w:ascii="宋体" w:hAnsi="宋体" w:cs="Arial"/>
                <w:highlight w:val="none"/>
              </w:rPr>
              <w:t>分数＜</w:t>
            </w:r>
            <w:r>
              <w:rPr>
                <w:rFonts w:ascii="宋体" w:hAnsi="宋体" w:cs="Arial"/>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52" w:type="dxa"/>
            <w:shd w:val="clear" w:color="auto" w:fill="auto"/>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考核等级</w:t>
            </w:r>
          </w:p>
        </w:tc>
        <w:tc>
          <w:tcPr>
            <w:tcW w:w="1442"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S</w:t>
            </w:r>
            <w:r>
              <w:rPr>
                <w:rFonts w:hint="eastAsia" w:ascii="宋体" w:hAnsi="宋体" w:cs="Arial"/>
                <w:highlight w:val="none"/>
              </w:rPr>
              <w:t>（优秀）</w:t>
            </w:r>
          </w:p>
        </w:tc>
        <w:tc>
          <w:tcPr>
            <w:tcW w:w="1830"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A</w:t>
            </w:r>
            <w:r>
              <w:rPr>
                <w:rFonts w:hint="eastAsia" w:ascii="宋体" w:hAnsi="宋体" w:cs="Arial"/>
                <w:highlight w:val="none"/>
              </w:rPr>
              <w:t>（良好）</w:t>
            </w:r>
          </w:p>
        </w:tc>
        <w:tc>
          <w:tcPr>
            <w:tcW w:w="1828"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B</w:t>
            </w:r>
            <w:r>
              <w:rPr>
                <w:rFonts w:hint="eastAsia" w:ascii="宋体" w:hAnsi="宋体" w:cs="Arial"/>
                <w:highlight w:val="none"/>
              </w:rPr>
              <w:t>（合格）</w:t>
            </w:r>
          </w:p>
        </w:tc>
        <w:tc>
          <w:tcPr>
            <w:tcW w:w="1472"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C</w:t>
            </w:r>
            <w:r>
              <w:rPr>
                <w:rFonts w:hint="eastAsia" w:ascii="宋体" w:hAnsi="宋体" w:cs="Arial"/>
                <w:highlight w:val="none"/>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52" w:type="dxa"/>
            <w:shd w:val="clear" w:color="auto" w:fill="auto"/>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解锁系数</w:t>
            </w:r>
          </w:p>
        </w:tc>
        <w:tc>
          <w:tcPr>
            <w:tcW w:w="1442" w:type="dxa"/>
            <w:shd w:val="clear" w:color="auto" w:fill="auto"/>
            <w:vAlign w:val="center"/>
          </w:tcPr>
          <w:p>
            <w:pPr>
              <w:tabs>
                <w:tab w:val="left" w:pos="4785"/>
              </w:tabs>
              <w:spacing w:line="440" w:lineRule="exact"/>
              <w:jc w:val="center"/>
              <w:rPr>
                <w:rFonts w:ascii="宋体" w:hAnsi="宋体" w:cs="Arial"/>
                <w:highlight w:val="none"/>
              </w:rPr>
            </w:pPr>
            <w:r>
              <w:rPr>
                <w:rFonts w:ascii="宋体" w:hAnsi="宋体" w:cs="Arial"/>
                <w:highlight w:val="none"/>
              </w:rPr>
              <w:t>1</w:t>
            </w:r>
            <w:r>
              <w:rPr>
                <w:rFonts w:hint="eastAsia" w:ascii="宋体" w:hAnsi="宋体" w:cs="Arial"/>
                <w:highlight w:val="none"/>
              </w:rPr>
              <w:t>．00</w:t>
            </w:r>
          </w:p>
        </w:tc>
        <w:tc>
          <w:tcPr>
            <w:tcW w:w="1830" w:type="dxa"/>
            <w:shd w:val="clear" w:color="auto" w:fill="auto"/>
            <w:vAlign w:val="center"/>
          </w:tcPr>
          <w:p>
            <w:pPr>
              <w:tabs>
                <w:tab w:val="left" w:pos="4785"/>
              </w:tabs>
              <w:spacing w:line="440" w:lineRule="exact"/>
              <w:jc w:val="center"/>
              <w:rPr>
                <w:rFonts w:ascii="宋体" w:hAnsi="宋体" w:cs="Arial"/>
                <w:highlight w:val="none"/>
              </w:rPr>
            </w:pPr>
            <w:r>
              <w:rPr>
                <w:rFonts w:ascii="宋体" w:hAnsi="宋体" w:cs="Arial"/>
                <w:highlight w:val="none"/>
              </w:rPr>
              <w:t>1</w:t>
            </w:r>
            <w:r>
              <w:rPr>
                <w:rFonts w:hint="eastAsia" w:ascii="宋体" w:hAnsi="宋体" w:cs="Arial"/>
                <w:highlight w:val="none"/>
              </w:rPr>
              <w:t>.00</w:t>
            </w:r>
          </w:p>
        </w:tc>
        <w:tc>
          <w:tcPr>
            <w:tcW w:w="1828" w:type="dxa"/>
            <w:shd w:val="clear" w:color="auto" w:fill="auto"/>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0.80</w:t>
            </w:r>
          </w:p>
        </w:tc>
        <w:tc>
          <w:tcPr>
            <w:tcW w:w="1472" w:type="dxa"/>
            <w:shd w:val="clear" w:color="auto" w:fill="auto"/>
            <w:vAlign w:val="center"/>
          </w:tcPr>
          <w:p>
            <w:pPr>
              <w:tabs>
                <w:tab w:val="left" w:pos="4785"/>
              </w:tabs>
              <w:spacing w:line="440" w:lineRule="exact"/>
              <w:jc w:val="center"/>
              <w:rPr>
                <w:rFonts w:ascii="宋体" w:hAnsi="宋体" w:cs="Arial"/>
                <w:highlight w:val="none"/>
              </w:rPr>
            </w:pPr>
            <w:r>
              <w:rPr>
                <w:rFonts w:ascii="宋体" w:hAnsi="宋体" w:cs="Arial"/>
                <w:highlight w:val="none"/>
              </w:rPr>
              <w:t>0</w:t>
            </w:r>
          </w:p>
        </w:tc>
      </w:tr>
    </w:tbl>
    <w:p>
      <w:pPr>
        <w:pStyle w:val="28"/>
        <w:ind w:firstLine="480"/>
        <w:rPr>
          <w:rFonts w:ascii="宋体" w:hAnsi="宋体" w:eastAsia="宋体"/>
          <w:color w:val="auto"/>
          <w:sz w:val="24"/>
          <w:highlight w:val="none"/>
        </w:rPr>
      </w:pPr>
      <w:r>
        <w:rPr>
          <w:rFonts w:hint="eastAsia" w:ascii="宋体" w:hAnsi="宋体" w:eastAsia="宋体"/>
          <w:color w:val="auto"/>
          <w:sz w:val="24"/>
          <w:highlight w:val="none"/>
        </w:rPr>
        <w:t>考核结果的应用：个人当期实际解锁额度＝解锁系数×个人当期计划解锁额度。</w:t>
      </w:r>
    </w:p>
    <w:p>
      <w:pPr>
        <w:pStyle w:val="28"/>
        <w:ind w:firstLine="480"/>
        <w:rPr>
          <w:rFonts w:ascii="宋体" w:hAnsi="宋体" w:eastAsia="宋体" w:cs="Times New Roman"/>
          <w:b/>
          <w:color w:val="auto"/>
          <w:sz w:val="24"/>
          <w:szCs w:val="22"/>
          <w:highlight w:val="none"/>
        </w:rPr>
      </w:pPr>
      <w:r>
        <w:rPr>
          <w:rFonts w:hint="eastAsia" w:ascii="宋体" w:hAnsi="宋体" w:eastAsia="宋体"/>
          <w:color w:val="auto"/>
          <w:sz w:val="24"/>
          <w:highlight w:val="none"/>
        </w:rPr>
        <w:t>当期限制性股票未能解锁部分，由公司作回购注销处理。</w:t>
      </w:r>
    </w:p>
    <w:p>
      <w:pPr>
        <w:tabs>
          <w:tab w:val="left" w:pos="1675"/>
        </w:tabs>
        <w:adjustRightInd w:val="0"/>
        <w:snapToGrid w:val="0"/>
        <w:spacing w:before="312" w:beforeLines="100" w:line="480" w:lineRule="auto"/>
        <w:ind w:firstLine="482" w:firstLineChars="200"/>
        <w:rPr>
          <w:rFonts w:ascii="宋体" w:hAnsi="宋体"/>
          <w:b/>
          <w:sz w:val="24"/>
          <w:highlight w:val="none"/>
        </w:rPr>
      </w:pPr>
      <w:r>
        <w:rPr>
          <w:rFonts w:hint="eastAsia" w:ascii="宋体" w:hAnsi="宋体"/>
          <w:b/>
          <w:sz w:val="24"/>
          <w:highlight w:val="none"/>
        </w:rPr>
        <w:t>（二）预留</w:t>
      </w:r>
      <w:r>
        <w:rPr>
          <w:rFonts w:ascii="宋体" w:hAnsi="宋体"/>
          <w:b/>
          <w:sz w:val="24"/>
          <w:highlight w:val="none"/>
        </w:rPr>
        <w:t>限制性股票激励计划简述</w:t>
      </w:r>
    </w:p>
    <w:p>
      <w:pPr>
        <w:pStyle w:val="34"/>
        <w:adjustRightInd w:val="0"/>
        <w:snapToGrid w:val="0"/>
        <w:spacing w:line="360" w:lineRule="auto"/>
        <w:ind w:firstLine="480"/>
        <w:rPr>
          <w:rFonts w:ascii="宋体" w:hAnsi="宋体"/>
          <w:sz w:val="24"/>
          <w:highlight w:val="none"/>
        </w:rPr>
      </w:pPr>
      <w:r>
        <w:rPr>
          <w:rFonts w:hint="eastAsia" w:ascii="宋体" w:hAnsi="宋体"/>
          <w:sz w:val="24"/>
          <w:highlight w:val="none"/>
        </w:rPr>
        <w:t>根据公司《激励计划》及《公司限制性股票激励计划预留限制性股票激励对象名单》，预留部分限制性股票激励计划主要内容如下：</w:t>
      </w:r>
    </w:p>
    <w:p>
      <w:pPr>
        <w:spacing w:line="360" w:lineRule="auto"/>
        <w:ind w:firstLine="480" w:firstLineChars="200"/>
        <w:rPr>
          <w:rFonts w:ascii="宋体" w:hAnsi="宋体" w:cs="Calibri"/>
          <w:sz w:val="24"/>
          <w:szCs w:val="24"/>
          <w:highlight w:val="none"/>
        </w:rPr>
      </w:pPr>
      <w:r>
        <w:rPr>
          <w:rFonts w:hint="eastAsia" w:ascii="宋体" w:hAnsi="宋体"/>
          <w:sz w:val="24"/>
          <w:highlight w:val="none"/>
        </w:rPr>
        <w:t>1、</w:t>
      </w:r>
      <w:r>
        <w:rPr>
          <w:rFonts w:ascii="宋体" w:hAnsi="宋体" w:cs="Calibri"/>
          <w:sz w:val="24"/>
          <w:szCs w:val="24"/>
          <w:highlight w:val="none"/>
        </w:rPr>
        <w:t>标的种类：</w:t>
      </w:r>
      <w:r>
        <w:rPr>
          <w:rFonts w:hint="eastAsia" w:ascii="宋体" w:hAnsi="宋体" w:cs="Calibri"/>
          <w:sz w:val="24"/>
          <w:szCs w:val="24"/>
          <w:highlight w:val="none"/>
        </w:rPr>
        <w:t>激励计划拟授予激励对象的标的股票为公司普通股</w:t>
      </w:r>
      <w:r>
        <w:rPr>
          <w:rFonts w:ascii="宋体" w:hAnsi="宋体" w:cs="Calibri"/>
          <w:sz w:val="24"/>
          <w:szCs w:val="24"/>
          <w:highlight w:val="none"/>
        </w:rPr>
        <w:t>A</w:t>
      </w:r>
      <w:r>
        <w:rPr>
          <w:rFonts w:hint="eastAsia" w:ascii="宋体" w:hAnsi="宋体" w:cs="Calibri"/>
          <w:sz w:val="24"/>
          <w:szCs w:val="24"/>
          <w:highlight w:val="none"/>
        </w:rPr>
        <w:t>股股票。</w:t>
      </w:r>
    </w:p>
    <w:p>
      <w:pPr>
        <w:spacing w:line="360" w:lineRule="auto"/>
        <w:ind w:firstLine="480" w:firstLineChars="200"/>
        <w:rPr>
          <w:rFonts w:ascii="宋体" w:hAnsi="宋体" w:cs="Calibri"/>
          <w:sz w:val="24"/>
          <w:szCs w:val="24"/>
          <w:highlight w:val="none"/>
        </w:rPr>
      </w:pPr>
      <w:r>
        <w:rPr>
          <w:rFonts w:hint="eastAsia" w:ascii="宋体" w:hAnsi="宋体" w:cs="Calibri"/>
          <w:sz w:val="24"/>
          <w:szCs w:val="24"/>
          <w:highlight w:val="none"/>
        </w:rPr>
        <w:t>2、</w:t>
      </w:r>
      <w:r>
        <w:rPr>
          <w:rFonts w:ascii="宋体" w:hAnsi="宋体" w:cs="Calibri"/>
          <w:sz w:val="24"/>
          <w:szCs w:val="24"/>
          <w:highlight w:val="none"/>
        </w:rPr>
        <w:t>标的股票来源：向激励对象定向发行股票</w:t>
      </w:r>
      <w:r>
        <w:rPr>
          <w:rFonts w:hint="eastAsia" w:ascii="宋体" w:hAnsi="宋体" w:cs="Calibri"/>
          <w:sz w:val="24"/>
          <w:szCs w:val="24"/>
          <w:highlight w:val="none"/>
        </w:rPr>
        <w:t>。</w:t>
      </w:r>
    </w:p>
    <w:p>
      <w:pPr>
        <w:spacing w:line="360" w:lineRule="auto"/>
        <w:ind w:firstLine="480" w:firstLineChars="200"/>
        <w:rPr>
          <w:rFonts w:ascii="宋体" w:hAnsi="宋体"/>
          <w:sz w:val="24"/>
          <w:highlight w:val="none"/>
        </w:rPr>
      </w:pPr>
      <w:r>
        <w:rPr>
          <w:rFonts w:hint="eastAsia" w:ascii="宋体" w:hAnsi="宋体" w:cs="Calibri"/>
          <w:sz w:val="24"/>
          <w:szCs w:val="24"/>
          <w:highlight w:val="none"/>
        </w:rPr>
        <w:t>3、预留限制性股票</w:t>
      </w:r>
      <w:r>
        <w:rPr>
          <w:rFonts w:ascii="宋体" w:hAnsi="宋体" w:cs="Calibri"/>
          <w:sz w:val="24"/>
          <w:szCs w:val="24"/>
          <w:highlight w:val="none"/>
        </w:rPr>
        <w:t>激励对象：本次</w:t>
      </w:r>
      <w:r>
        <w:rPr>
          <w:rFonts w:hint="eastAsia" w:ascii="宋体" w:hAnsi="宋体" w:cs="Calibri"/>
          <w:sz w:val="24"/>
          <w:szCs w:val="24"/>
          <w:highlight w:val="none"/>
        </w:rPr>
        <w:t>授予的预留限制性股票</w:t>
      </w:r>
      <w:r>
        <w:rPr>
          <w:rFonts w:ascii="宋体" w:hAnsi="宋体" w:cs="Calibri"/>
          <w:sz w:val="24"/>
          <w:szCs w:val="24"/>
          <w:highlight w:val="none"/>
        </w:rPr>
        <w:t>激励对象</w:t>
      </w:r>
      <w:r>
        <w:rPr>
          <w:rFonts w:hint="eastAsia" w:ascii="宋体" w:hAnsi="宋体" w:cs="Calibri"/>
          <w:sz w:val="24"/>
          <w:szCs w:val="24"/>
          <w:highlight w:val="none"/>
        </w:rPr>
        <w:t>为6人（</w:t>
      </w:r>
      <w:r>
        <w:rPr>
          <w:rFonts w:ascii="宋体" w:hAnsi="宋体" w:cs="Calibri"/>
          <w:sz w:val="24"/>
          <w:szCs w:val="24"/>
          <w:highlight w:val="none"/>
        </w:rPr>
        <w:t>不包括独立董事、监事），</w:t>
      </w:r>
      <w:r>
        <w:rPr>
          <w:rFonts w:hint="eastAsia" w:ascii="宋体" w:hAnsi="宋体" w:cs="Calibri"/>
          <w:sz w:val="24"/>
          <w:szCs w:val="24"/>
          <w:highlight w:val="none"/>
        </w:rPr>
        <w:t>授予限制性股票38.8万股。</w:t>
      </w: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4、预留限制性股票</w:t>
      </w:r>
      <w:r>
        <w:rPr>
          <w:rFonts w:ascii="宋体" w:hAnsi="宋体" w:eastAsia="宋体"/>
          <w:color w:val="auto"/>
          <w:sz w:val="24"/>
          <w:szCs w:val="24"/>
          <w:highlight w:val="none"/>
        </w:rPr>
        <w:t>激励计划的有效期、锁定期和解锁安排情况</w:t>
      </w: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激励对象获授限制性股票之日起12个月内为锁定期。在锁定期内，激励对象根据本激励计划获授的限制性股票（包含因该等股票取得的股票，下同）予以锁定，不得转让或用于偿还债务。锁定期满后为解锁期。本激励计划授予的限制性股票自授予日起满12个月后，激励对象应在未来48个月内按10</w:t>
      </w:r>
      <w:r>
        <w:rPr>
          <w:rFonts w:ascii="宋体" w:hAnsi="宋体" w:eastAsia="宋体"/>
          <w:color w:val="auto"/>
          <w:sz w:val="24"/>
          <w:szCs w:val="24"/>
          <w:highlight w:val="none"/>
        </w:rPr>
        <w:t>%、</w:t>
      </w:r>
      <w:r>
        <w:rPr>
          <w:rFonts w:hint="eastAsia" w:ascii="宋体" w:hAnsi="宋体" w:eastAsia="宋体"/>
          <w:color w:val="auto"/>
          <w:sz w:val="24"/>
          <w:szCs w:val="24"/>
          <w:highlight w:val="none"/>
        </w:rPr>
        <w:t>2</w:t>
      </w:r>
      <w:r>
        <w:rPr>
          <w:rFonts w:ascii="宋体" w:hAnsi="宋体" w:eastAsia="宋体"/>
          <w:color w:val="auto"/>
          <w:sz w:val="24"/>
          <w:szCs w:val="24"/>
          <w:highlight w:val="none"/>
        </w:rPr>
        <w:t>0%、</w:t>
      </w:r>
      <w:r>
        <w:rPr>
          <w:rFonts w:hint="eastAsia" w:ascii="宋体" w:hAnsi="宋体" w:eastAsia="宋体"/>
          <w:color w:val="auto"/>
          <w:sz w:val="24"/>
          <w:szCs w:val="24"/>
          <w:highlight w:val="none"/>
        </w:rPr>
        <w:t>3</w:t>
      </w:r>
      <w:r>
        <w:rPr>
          <w:rFonts w:ascii="宋体" w:hAnsi="宋体" w:eastAsia="宋体"/>
          <w:color w:val="auto"/>
          <w:sz w:val="24"/>
          <w:szCs w:val="24"/>
          <w:highlight w:val="none"/>
        </w:rPr>
        <w:t>0%</w:t>
      </w:r>
      <w:r>
        <w:rPr>
          <w:rFonts w:hint="eastAsia" w:ascii="宋体" w:hAnsi="宋体" w:eastAsia="宋体"/>
          <w:color w:val="auto"/>
          <w:sz w:val="24"/>
          <w:szCs w:val="24"/>
          <w:highlight w:val="none"/>
        </w:rPr>
        <w:t>、40%比例解锁。</w:t>
      </w:r>
    </w:p>
    <w:p>
      <w:pPr>
        <w:pStyle w:val="28"/>
        <w:spacing w:after="156" w:afterLines="50"/>
        <w:ind w:firstLine="482"/>
        <w:rPr>
          <w:rFonts w:ascii="宋体" w:hAnsi="宋体" w:eastAsia="宋体" w:cs="Times New Roman"/>
          <w:color w:val="auto"/>
          <w:sz w:val="24"/>
          <w:szCs w:val="24"/>
          <w:highlight w:val="none"/>
          <w:lang w:val="zh-TW"/>
        </w:rPr>
      </w:pPr>
      <w:r>
        <w:rPr>
          <w:rFonts w:hint="eastAsia" w:ascii="宋体" w:hAnsi="宋体" w:eastAsia="宋体"/>
          <w:color w:val="auto"/>
          <w:sz w:val="24"/>
          <w:szCs w:val="24"/>
          <w:highlight w:val="none"/>
        </w:rPr>
        <w:t>5、预留</w:t>
      </w:r>
      <w:r>
        <w:rPr>
          <w:rFonts w:ascii="宋体" w:hAnsi="宋体" w:eastAsia="宋体"/>
          <w:color w:val="auto"/>
          <w:sz w:val="24"/>
          <w:szCs w:val="24"/>
          <w:highlight w:val="none"/>
        </w:rPr>
        <w:t>限制性股票授予价格：</w:t>
      </w:r>
      <w:r>
        <w:rPr>
          <w:rFonts w:hint="eastAsia" w:ascii="宋体" w:hAnsi="宋体" w:eastAsia="宋体" w:cs="Times New Roman"/>
          <w:color w:val="auto"/>
          <w:sz w:val="24"/>
          <w:szCs w:val="24"/>
          <w:highlight w:val="none"/>
          <w:lang w:val="zh-TW"/>
        </w:rPr>
        <w:t>本次预留限制性股票授予价格为每股13.76元。</w:t>
      </w:r>
    </w:p>
    <w:p>
      <w:pPr>
        <w:pStyle w:val="28"/>
        <w:spacing w:after="156" w:afterLines="50"/>
        <w:ind w:firstLine="482"/>
        <w:rPr>
          <w:rFonts w:ascii="宋体" w:hAnsi="宋体" w:eastAsia="宋体"/>
          <w:color w:val="auto"/>
          <w:sz w:val="24"/>
          <w:szCs w:val="24"/>
          <w:highlight w:val="none"/>
        </w:rPr>
      </w:pPr>
      <w:r>
        <w:rPr>
          <w:rFonts w:hint="eastAsia" w:ascii="宋体" w:hAnsi="宋体" w:eastAsia="宋体"/>
          <w:color w:val="auto"/>
          <w:sz w:val="24"/>
          <w:szCs w:val="24"/>
          <w:highlight w:val="none"/>
        </w:rPr>
        <w:t>6、预留</w:t>
      </w:r>
      <w:r>
        <w:rPr>
          <w:rFonts w:ascii="宋体" w:hAnsi="宋体" w:eastAsia="宋体"/>
          <w:color w:val="auto"/>
          <w:sz w:val="24"/>
          <w:szCs w:val="24"/>
          <w:highlight w:val="none"/>
        </w:rPr>
        <w:t>限制性股票解锁条件：本激励计划</w:t>
      </w:r>
      <w:r>
        <w:rPr>
          <w:rFonts w:hint="eastAsia" w:ascii="宋体" w:hAnsi="宋体" w:eastAsia="宋体"/>
          <w:color w:val="auto"/>
          <w:sz w:val="24"/>
          <w:szCs w:val="24"/>
          <w:highlight w:val="none"/>
        </w:rPr>
        <w:t>的预留授予限制性股票的业绩</w:t>
      </w:r>
      <w:r>
        <w:rPr>
          <w:rFonts w:ascii="宋体" w:hAnsi="宋体" w:eastAsia="宋体"/>
          <w:color w:val="auto"/>
          <w:sz w:val="24"/>
          <w:szCs w:val="24"/>
          <w:highlight w:val="none"/>
        </w:rPr>
        <w:t>考核年度为201</w:t>
      </w:r>
      <w:r>
        <w:rPr>
          <w:rFonts w:hint="eastAsia" w:ascii="宋体" w:hAnsi="宋体" w:eastAsia="宋体"/>
          <w:color w:val="auto"/>
          <w:sz w:val="24"/>
          <w:szCs w:val="24"/>
          <w:highlight w:val="none"/>
        </w:rPr>
        <w:t>7</w:t>
      </w:r>
      <w:r>
        <w:rPr>
          <w:rFonts w:ascii="宋体" w:hAnsi="宋体" w:eastAsia="宋体"/>
          <w:color w:val="auto"/>
          <w:sz w:val="24"/>
          <w:szCs w:val="24"/>
          <w:highlight w:val="none"/>
        </w:rPr>
        <w:t>-20</w:t>
      </w:r>
      <w:r>
        <w:rPr>
          <w:rFonts w:hint="eastAsia" w:ascii="宋体" w:hAnsi="宋体" w:eastAsia="宋体"/>
          <w:color w:val="auto"/>
          <w:sz w:val="24"/>
          <w:szCs w:val="24"/>
          <w:highlight w:val="none"/>
        </w:rPr>
        <w:t>20</w:t>
      </w:r>
      <w:r>
        <w:rPr>
          <w:rFonts w:ascii="宋体" w:hAnsi="宋体" w:eastAsia="宋体"/>
          <w:color w:val="auto"/>
          <w:sz w:val="24"/>
          <w:szCs w:val="24"/>
          <w:highlight w:val="none"/>
        </w:rPr>
        <w:t>年</w:t>
      </w:r>
      <w:r>
        <w:rPr>
          <w:rFonts w:hint="eastAsia" w:ascii="宋体" w:hAnsi="宋体" w:eastAsia="宋体"/>
          <w:color w:val="auto"/>
          <w:sz w:val="24"/>
          <w:szCs w:val="24"/>
          <w:highlight w:val="none"/>
        </w:rPr>
        <w:t>四</w:t>
      </w:r>
      <w:r>
        <w:rPr>
          <w:rFonts w:ascii="宋体" w:hAnsi="宋体" w:eastAsia="宋体"/>
          <w:color w:val="auto"/>
          <w:sz w:val="24"/>
          <w:szCs w:val="24"/>
          <w:highlight w:val="none"/>
        </w:rPr>
        <w:t xml:space="preserve">个会计年度，每个会计年度考核一次，各年度业绩考核目标如下表所示： </w:t>
      </w:r>
    </w:p>
    <w:p>
      <w:pPr>
        <w:pStyle w:val="28"/>
        <w:spacing w:after="156" w:afterLines="50"/>
        <w:ind w:firstLine="482"/>
        <w:rPr>
          <w:rFonts w:ascii="宋体" w:hAnsi="宋体" w:eastAsia="宋体"/>
          <w:color w:val="auto"/>
          <w:sz w:val="24"/>
          <w:szCs w:val="24"/>
          <w:highlight w:val="none"/>
        </w:rPr>
      </w:pPr>
      <w:r>
        <w:rPr>
          <w:rFonts w:hint="eastAsia" w:ascii="宋体" w:hAnsi="宋体" w:eastAsia="宋体"/>
          <w:color w:val="auto"/>
          <w:sz w:val="24"/>
          <w:szCs w:val="24"/>
          <w:highlight w:val="none"/>
        </w:rPr>
        <w:t>（1）公司业绩考核要求</w:t>
      </w:r>
    </w:p>
    <w:tbl>
      <w:tblPr>
        <w:tblStyle w:val="13"/>
        <w:tblpPr w:leftFromText="180" w:rightFromText="180" w:vertAnchor="text" w:horzAnchor="margin" w:tblpXSpec="right" w:tblpY="308"/>
        <w:tblOverlap w:val="never"/>
        <w:tblW w:w="8613"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768"/>
        <w:gridCol w:w="684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27" w:hRule="atLeast"/>
        </w:trPr>
        <w:tc>
          <w:tcPr>
            <w:tcW w:w="1768" w:type="dxa"/>
            <w:tcBorders>
              <w:top w:val="single" w:color="000000" w:sz="12" w:space="0"/>
              <w:bottom w:val="single" w:color="000000" w:sz="8" w:space="0"/>
            </w:tcBorders>
            <w:shd w:val="clear" w:color="auto" w:fill="BFBFBF"/>
            <w:vAlign w:val="center"/>
          </w:tcPr>
          <w:p>
            <w:pPr>
              <w:autoSpaceDE w:val="0"/>
              <w:autoSpaceDN w:val="0"/>
              <w:adjustRightInd w:val="0"/>
              <w:jc w:val="center"/>
              <w:rPr>
                <w:rFonts w:ascii="宋体" w:hAnsi="宋体"/>
                <w:b/>
                <w:highlight w:val="none"/>
              </w:rPr>
            </w:pPr>
            <w:r>
              <w:rPr>
                <w:rFonts w:ascii="宋体" w:hAnsi="宋体"/>
                <w:b/>
                <w:highlight w:val="none"/>
              </w:rPr>
              <w:t>解锁期</w:t>
            </w:r>
          </w:p>
        </w:tc>
        <w:tc>
          <w:tcPr>
            <w:tcW w:w="6845" w:type="dxa"/>
            <w:tcBorders>
              <w:top w:val="single" w:color="000000" w:sz="12" w:space="0"/>
              <w:bottom w:val="single" w:color="000000" w:sz="8" w:space="0"/>
            </w:tcBorders>
            <w:shd w:val="clear" w:color="auto" w:fill="BFBFBF"/>
            <w:vAlign w:val="center"/>
          </w:tcPr>
          <w:p>
            <w:pPr>
              <w:autoSpaceDE w:val="0"/>
              <w:autoSpaceDN w:val="0"/>
              <w:adjustRightInd w:val="0"/>
              <w:jc w:val="center"/>
              <w:rPr>
                <w:rFonts w:ascii="宋体" w:hAnsi="宋体"/>
                <w:b/>
                <w:highlight w:val="none"/>
              </w:rPr>
            </w:pPr>
            <w:r>
              <w:rPr>
                <w:rFonts w:ascii="宋体" w:hAnsi="宋体"/>
                <w:b/>
                <w:highlight w:val="none"/>
              </w:rPr>
              <w:t>业绩考核目标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38" w:hRule="atLeast"/>
        </w:trPr>
        <w:tc>
          <w:tcPr>
            <w:tcW w:w="1768" w:type="dxa"/>
            <w:tcBorders>
              <w:top w:val="single" w:color="000000" w:sz="8" w:space="0"/>
            </w:tcBorders>
            <w:vAlign w:val="center"/>
          </w:tcPr>
          <w:p>
            <w:pPr>
              <w:autoSpaceDE w:val="0"/>
              <w:autoSpaceDN w:val="0"/>
              <w:adjustRightInd w:val="0"/>
              <w:jc w:val="center"/>
              <w:rPr>
                <w:rFonts w:ascii="宋体" w:hAnsi="宋体"/>
                <w:highlight w:val="none"/>
              </w:rPr>
            </w:pPr>
            <w:r>
              <w:rPr>
                <w:rFonts w:ascii="宋体" w:hAnsi="宋体"/>
                <w:highlight w:val="none"/>
              </w:rPr>
              <w:t>第一个解锁期</w:t>
            </w:r>
          </w:p>
        </w:tc>
        <w:tc>
          <w:tcPr>
            <w:tcW w:w="6845" w:type="dxa"/>
            <w:tcBorders>
              <w:top w:val="single" w:color="000000" w:sz="8" w:space="0"/>
            </w:tcBorders>
            <w:vAlign w:val="center"/>
          </w:tcPr>
          <w:p>
            <w:pPr>
              <w:jc w:val="center"/>
              <w:rPr>
                <w:rFonts w:ascii="宋体" w:hAnsi="宋体"/>
                <w:highlight w:val="none"/>
              </w:rPr>
            </w:pPr>
            <w:r>
              <w:rPr>
                <w:rFonts w:hint="eastAsia" w:ascii="宋体" w:hAnsi="宋体"/>
                <w:highlight w:val="none"/>
              </w:rPr>
              <w:t>相比2015年，2017年净利润增长率不低于21.00%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20" w:hRule="atLeast"/>
        </w:trPr>
        <w:tc>
          <w:tcPr>
            <w:tcW w:w="1768" w:type="dxa"/>
            <w:vAlign w:val="center"/>
          </w:tcPr>
          <w:p>
            <w:pPr>
              <w:autoSpaceDE w:val="0"/>
              <w:autoSpaceDN w:val="0"/>
              <w:adjustRightInd w:val="0"/>
              <w:jc w:val="center"/>
              <w:rPr>
                <w:rFonts w:ascii="宋体" w:hAnsi="宋体"/>
                <w:highlight w:val="none"/>
              </w:rPr>
            </w:pPr>
            <w:r>
              <w:rPr>
                <w:rFonts w:ascii="宋体" w:hAnsi="宋体"/>
                <w:highlight w:val="none"/>
              </w:rPr>
              <w:t>第二个解锁期</w:t>
            </w:r>
          </w:p>
        </w:tc>
        <w:tc>
          <w:tcPr>
            <w:tcW w:w="6845" w:type="dxa"/>
            <w:vAlign w:val="center"/>
          </w:tcPr>
          <w:p>
            <w:pPr>
              <w:jc w:val="center"/>
              <w:rPr>
                <w:rFonts w:ascii="宋体" w:hAnsi="宋体"/>
                <w:highlight w:val="none"/>
              </w:rPr>
            </w:pPr>
            <w:r>
              <w:rPr>
                <w:rFonts w:hint="eastAsia" w:ascii="宋体" w:hAnsi="宋体"/>
                <w:highlight w:val="none"/>
              </w:rPr>
              <w:t>相比2015年，2018年净利润增长率不低于33.10%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20" w:hRule="atLeast"/>
        </w:trPr>
        <w:tc>
          <w:tcPr>
            <w:tcW w:w="1768" w:type="dxa"/>
            <w:vAlign w:val="center"/>
          </w:tcPr>
          <w:p>
            <w:pPr>
              <w:autoSpaceDE w:val="0"/>
              <w:autoSpaceDN w:val="0"/>
              <w:adjustRightInd w:val="0"/>
              <w:jc w:val="center"/>
              <w:rPr>
                <w:rFonts w:ascii="宋体" w:hAnsi="宋体"/>
                <w:highlight w:val="none"/>
              </w:rPr>
            </w:pPr>
            <w:r>
              <w:rPr>
                <w:rFonts w:ascii="宋体" w:hAnsi="宋体"/>
                <w:highlight w:val="none"/>
              </w:rPr>
              <w:t>第三个解锁期</w:t>
            </w:r>
          </w:p>
        </w:tc>
        <w:tc>
          <w:tcPr>
            <w:tcW w:w="6845" w:type="dxa"/>
            <w:vAlign w:val="center"/>
          </w:tcPr>
          <w:p>
            <w:pPr>
              <w:jc w:val="center"/>
              <w:rPr>
                <w:rFonts w:ascii="宋体" w:hAnsi="宋体"/>
                <w:highlight w:val="none"/>
              </w:rPr>
            </w:pPr>
            <w:r>
              <w:rPr>
                <w:rFonts w:hint="eastAsia" w:ascii="宋体" w:hAnsi="宋体"/>
                <w:highlight w:val="none"/>
              </w:rPr>
              <w:t>相比2015年，2019年净利润增长率不低于46.41%</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20" w:hRule="atLeast"/>
        </w:trPr>
        <w:tc>
          <w:tcPr>
            <w:tcW w:w="1768" w:type="dxa"/>
            <w:vAlign w:val="center"/>
          </w:tcPr>
          <w:p>
            <w:pPr>
              <w:autoSpaceDE w:val="0"/>
              <w:autoSpaceDN w:val="0"/>
              <w:adjustRightInd w:val="0"/>
              <w:jc w:val="center"/>
              <w:rPr>
                <w:rFonts w:ascii="宋体" w:hAnsi="宋体"/>
                <w:highlight w:val="none"/>
              </w:rPr>
            </w:pPr>
            <w:r>
              <w:rPr>
                <w:rFonts w:ascii="宋体" w:hAnsi="宋体"/>
                <w:highlight w:val="none"/>
              </w:rPr>
              <w:t>第</w:t>
            </w:r>
            <w:r>
              <w:rPr>
                <w:rFonts w:hint="eastAsia" w:ascii="宋体" w:hAnsi="宋体"/>
                <w:highlight w:val="none"/>
              </w:rPr>
              <w:t>四</w:t>
            </w:r>
            <w:r>
              <w:rPr>
                <w:rFonts w:ascii="宋体" w:hAnsi="宋体"/>
                <w:highlight w:val="none"/>
              </w:rPr>
              <w:t>个解锁期</w:t>
            </w:r>
          </w:p>
        </w:tc>
        <w:tc>
          <w:tcPr>
            <w:tcW w:w="6845" w:type="dxa"/>
            <w:vAlign w:val="center"/>
          </w:tcPr>
          <w:p>
            <w:pPr>
              <w:jc w:val="center"/>
              <w:rPr>
                <w:rFonts w:ascii="宋体" w:hAnsi="宋体"/>
                <w:highlight w:val="none"/>
              </w:rPr>
            </w:pPr>
            <w:r>
              <w:rPr>
                <w:rFonts w:hint="eastAsia" w:ascii="宋体" w:hAnsi="宋体"/>
                <w:highlight w:val="none"/>
              </w:rPr>
              <w:t>相比2015年，2020年净利润增长率不低于61.05%</w:t>
            </w:r>
          </w:p>
        </w:tc>
      </w:tr>
    </w:tbl>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上述“净利润”指</w:t>
      </w:r>
      <w:r>
        <w:rPr>
          <w:rFonts w:ascii="宋体" w:hAnsi="宋体" w:eastAsia="宋体"/>
          <w:color w:val="auto"/>
          <w:sz w:val="24"/>
          <w:szCs w:val="24"/>
          <w:highlight w:val="none"/>
        </w:rPr>
        <w:t>“</w:t>
      </w:r>
      <w:r>
        <w:rPr>
          <w:rFonts w:hint="eastAsia" w:ascii="宋体" w:hAnsi="宋体" w:eastAsia="宋体"/>
          <w:color w:val="auto"/>
          <w:sz w:val="24"/>
          <w:szCs w:val="24"/>
          <w:highlight w:val="none"/>
        </w:rPr>
        <w:t>归属于上市公司股东扣除非经常性损益后的净利润</w:t>
      </w:r>
      <w:r>
        <w:rPr>
          <w:rFonts w:ascii="宋体" w:hAnsi="宋体" w:eastAsia="宋体"/>
          <w:color w:val="auto"/>
          <w:sz w:val="24"/>
          <w:szCs w:val="24"/>
          <w:highlight w:val="none"/>
        </w:rPr>
        <w:t>”</w:t>
      </w:r>
      <w:r>
        <w:rPr>
          <w:rFonts w:hint="eastAsia" w:ascii="宋体" w:hAnsi="宋体" w:eastAsia="宋体"/>
          <w:color w:val="auto"/>
          <w:sz w:val="24"/>
          <w:szCs w:val="24"/>
          <w:highlight w:val="none"/>
        </w:rPr>
        <w:t>。</w:t>
      </w: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解锁期内，公司为满足解锁条件的激励对象办理解锁事宜，若未满足当期业绩考核目标的，所有激励对象考核当年可解锁的限制性股票均不得解锁，由公司回购注销。</w:t>
      </w:r>
    </w:p>
    <w:p>
      <w:pPr>
        <w:pStyle w:val="28"/>
        <w:ind w:firstLine="480"/>
        <w:rPr>
          <w:rFonts w:ascii="宋体" w:hAnsi="宋体" w:eastAsia="宋体"/>
          <w:color w:val="auto"/>
          <w:sz w:val="24"/>
          <w:szCs w:val="24"/>
          <w:highlight w:val="none"/>
        </w:rPr>
      </w:pPr>
      <w:r>
        <w:rPr>
          <w:rFonts w:hint="eastAsia" w:ascii="宋体" w:hAnsi="宋体" w:eastAsia="宋体"/>
          <w:color w:val="auto"/>
          <w:sz w:val="24"/>
          <w:szCs w:val="24"/>
          <w:highlight w:val="none"/>
        </w:rPr>
        <w:t>（2）个人业绩考核要求</w:t>
      </w:r>
    </w:p>
    <w:p>
      <w:pPr>
        <w:spacing w:line="360" w:lineRule="auto"/>
        <w:ind w:firstLine="480" w:firstLineChars="200"/>
        <w:rPr>
          <w:rFonts w:ascii="宋体" w:hAnsi="宋体" w:cs="Calibri"/>
          <w:sz w:val="24"/>
          <w:szCs w:val="24"/>
          <w:highlight w:val="none"/>
        </w:rPr>
      </w:pPr>
      <w:r>
        <w:rPr>
          <w:rFonts w:hint="eastAsia" w:ascii="宋体" w:hAnsi="宋体" w:cs="Calibri"/>
          <w:sz w:val="24"/>
          <w:szCs w:val="24"/>
          <w:highlight w:val="none"/>
          <w:lang w:val="zh-TW"/>
        </w:rPr>
        <w:t>公司制定了</w:t>
      </w:r>
      <w:r>
        <w:rPr>
          <w:rFonts w:hint="eastAsia" w:ascii="宋体" w:hAnsi="宋体" w:cs="Calibri"/>
          <w:sz w:val="24"/>
          <w:szCs w:val="24"/>
          <w:highlight w:val="none"/>
          <w:lang w:val="zh-TW" w:eastAsia="zh-TW"/>
        </w:rPr>
        <w:t>《限制性股票激励计划实施考核管理办法》</w:t>
      </w:r>
      <w:r>
        <w:rPr>
          <w:rFonts w:hint="eastAsia" w:ascii="宋体" w:hAnsi="宋体" w:cs="Calibri"/>
          <w:sz w:val="24"/>
          <w:szCs w:val="24"/>
          <w:highlight w:val="none"/>
        </w:rPr>
        <w:t>，根据激励对象个人的绩效考核结果分为四个等级。</w:t>
      </w:r>
    </w:p>
    <w:p>
      <w:pPr>
        <w:pStyle w:val="28"/>
        <w:ind w:firstLine="480"/>
        <w:rPr>
          <w:rFonts w:ascii="宋体" w:hAnsi="宋体" w:eastAsia="宋体"/>
          <w:color w:val="auto"/>
          <w:sz w:val="24"/>
          <w:szCs w:val="24"/>
          <w:highlight w:val="none"/>
        </w:rPr>
      </w:pPr>
    </w:p>
    <w:tbl>
      <w:tblPr>
        <w:tblStyle w:val="13"/>
        <w:tblW w:w="88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2"/>
        <w:gridCol w:w="1442"/>
        <w:gridCol w:w="1830"/>
        <w:gridCol w:w="1828"/>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52" w:type="dxa"/>
            <w:shd w:val="clear" w:color="auto" w:fill="A5A5A5" w:themeFill="background1" w:themeFillShade="A6"/>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考核分数</w:t>
            </w:r>
          </w:p>
        </w:tc>
        <w:tc>
          <w:tcPr>
            <w:tcW w:w="1442" w:type="dxa"/>
            <w:shd w:val="clear" w:color="auto" w:fill="A5A5A5" w:themeFill="background1" w:themeFillShade="A6"/>
            <w:vAlign w:val="center"/>
          </w:tcPr>
          <w:p>
            <w:pPr>
              <w:spacing w:line="500" w:lineRule="exact"/>
              <w:jc w:val="center"/>
              <w:rPr>
                <w:rFonts w:ascii="宋体" w:hAnsi="宋体" w:cs="Arial"/>
                <w:highlight w:val="none"/>
              </w:rPr>
            </w:pPr>
            <w:r>
              <w:rPr>
                <w:rFonts w:hint="eastAsia" w:ascii="宋体" w:hAnsi="宋体" w:cs="Arial"/>
                <w:highlight w:val="none"/>
              </w:rPr>
              <w:t>分数≥</w:t>
            </w:r>
            <w:r>
              <w:rPr>
                <w:rFonts w:ascii="宋体" w:hAnsi="宋体" w:cs="Arial"/>
                <w:highlight w:val="none"/>
              </w:rPr>
              <w:t>90</w:t>
            </w:r>
          </w:p>
        </w:tc>
        <w:tc>
          <w:tcPr>
            <w:tcW w:w="1830" w:type="dxa"/>
            <w:shd w:val="clear" w:color="auto" w:fill="A5A5A5" w:themeFill="background1" w:themeFillShade="A6"/>
            <w:vAlign w:val="center"/>
          </w:tcPr>
          <w:p>
            <w:pPr>
              <w:spacing w:line="500" w:lineRule="exact"/>
              <w:jc w:val="center"/>
              <w:rPr>
                <w:rFonts w:ascii="宋体" w:hAnsi="宋体" w:cs="Arial"/>
                <w:highlight w:val="none"/>
              </w:rPr>
            </w:pPr>
            <w:r>
              <w:rPr>
                <w:rFonts w:ascii="宋体" w:hAnsi="宋体" w:cs="Arial"/>
                <w:highlight w:val="none"/>
              </w:rPr>
              <w:t>80</w:t>
            </w:r>
            <w:r>
              <w:rPr>
                <w:rFonts w:hint="eastAsia" w:ascii="宋体" w:hAnsi="宋体" w:cs="Arial"/>
                <w:highlight w:val="none"/>
              </w:rPr>
              <w:t>≤分数＜</w:t>
            </w:r>
            <w:r>
              <w:rPr>
                <w:rFonts w:ascii="宋体" w:hAnsi="宋体" w:cs="Arial"/>
                <w:highlight w:val="none"/>
              </w:rPr>
              <w:t>90</w:t>
            </w:r>
          </w:p>
        </w:tc>
        <w:tc>
          <w:tcPr>
            <w:tcW w:w="1828" w:type="dxa"/>
            <w:shd w:val="clear" w:color="auto" w:fill="A5A5A5" w:themeFill="background1" w:themeFillShade="A6"/>
            <w:vAlign w:val="center"/>
          </w:tcPr>
          <w:p>
            <w:pPr>
              <w:spacing w:line="500" w:lineRule="exact"/>
              <w:jc w:val="center"/>
              <w:rPr>
                <w:rFonts w:ascii="宋体" w:hAnsi="宋体" w:cs="Arial"/>
                <w:highlight w:val="none"/>
              </w:rPr>
            </w:pPr>
            <w:r>
              <w:rPr>
                <w:rFonts w:ascii="宋体" w:hAnsi="宋体" w:cs="Arial"/>
                <w:highlight w:val="none"/>
              </w:rPr>
              <w:t>60</w:t>
            </w:r>
            <w:r>
              <w:rPr>
                <w:rFonts w:hint="eastAsia" w:ascii="宋体" w:hAnsi="宋体" w:cs="Arial"/>
                <w:highlight w:val="none"/>
              </w:rPr>
              <w:t>≤分数＜</w:t>
            </w:r>
            <w:r>
              <w:rPr>
                <w:rFonts w:ascii="宋体" w:hAnsi="宋体" w:cs="Arial"/>
                <w:highlight w:val="none"/>
              </w:rPr>
              <w:t>80</w:t>
            </w:r>
          </w:p>
        </w:tc>
        <w:tc>
          <w:tcPr>
            <w:tcW w:w="1472" w:type="dxa"/>
            <w:shd w:val="clear" w:color="auto" w:fill="A5A5A5" w:themeFill="background1" w:themeFillShade="A6"/>
            <w:vAlign w:val="center"/>
          </w:tcPr>
          <w:p>
            <w:pPr>
              <w:spacing w:line="500" w:lineRule="exact"/>
              <w:jc w:val="center"/>
              <w:rPr>
                <w:rFonts w:ascii="宋体" w:hAnsi="宋体" w:cs="Arial"/>
                <w:highlight w:val="none"/>
              </w:rPr>
            </w:pPr>
            <w:r>
              <w:rPr>
                <w:rFonts w:hint="eastAsia" w:ascii="宋体" w:hAnsi="宋体" w:cs="Arial"/>
                <w:highlight w:val="none"/>
              </w:rPr>
              <w:t>分数＜</w:t>
            </w:r>
            <w:r>
              <w:rPr>
                <w:rFonts w:ascii="宋体" w:hAnsi="宋体" w:cs="Arial"/>
                <w:highlight w: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52" w:type="dxa"/>
            <w:shd w:val="clear" w:color="auto" w:fill="auto"/>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考核等级</w:t>
            </w:r>
          </w:p>
        </w:tc>
        <w:tc>
          <w:tcPr>
            <w:tcW w:w="1442"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S</w:t>
            </w:r>
            <w:r>
              <w:rPr>
                <w:rFonts w:hint="eastAsia" w:ascii="宋体" w:hAnsi="宋体" w:cs="Arial"/>
                <w:highlight w:val="none"/>
              </w:rPr>
              <w:t>（优秀）</w:t>
            </w:r>
          </w:p>
        </w:tc>
        <w:tc>
          <w:tcPr>
            <w:tcW w:w="1830"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A</w:t>
            </w:r>
            <w:r>
              <w:rPr>
                <w:rFonts w:hint="eastAsia" w:ascii="宋体" w:hAnsi="宋体" w:cs="Arial"/>
                <w:highlight w:val="none"/>
              </w:rPr>
              <w:t>（良好）</w:t>
            </w:r>
          </w:p>
        </w:tc>
        <w:tc>
          <w:tcPr>
            <w:tcW w:w="1828"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B</w:t>
            </w:r>
            <w:r>
              <w:rPr>
                <w:rFonts w:hint="eastAsia" w:ascii="宋体" w:hAnsi="宋体" w:cs="Arial"/>
                <w:highlight w:val="none"/>
              </w:rPr>
              <w:t>（合格）</w:t>
            </w:r>
          </w:p>
        </w:tc>
        <w:tc>
          <w:tcPr>
            <w:tcW w:w="1472" w:type="dxa"/>
            <w:shd w:val="clear" w:color="auto" w:fill="auto"/>
            <w:vAlign w:val="center"/>
          </w:tcPr>
          <w:p>
            <w:pPr>
              <w:spacing w:line="500" w:lineRule="exact"/>
              <w:jc w:val="center"/>
              <w:rPr>
                <w:rFonts w:ascii="宋体" w:hAnsi="宋体" w:cs="Arial"/>
                <w:highlight w:val="none"/>
              </w:rPr>
            </w:pPr>
            <w:r>
              <w:rPr>
                <w:rFonts w:ascii="宋体" w:hAnsi="宋体" w:cs="Arial"/>
                <w:highlight w:val="none"/>
              </w:rPr>
              <w:t>C</w:t>
            </w:r>
            <w:r>
              <w:rPr>
                <w:rFonts w:hint="eastAsia" w:ascii="宋体" w:hAnsi="宋体" w:cs="Arial"/>
                <w:highlight w:val="none"/>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52" w:type="dxa"/>
            <w:shd w:val="clear" w:color="auto" w:fill="auto"/>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解锁系数</w:t>
            </w:r>
          </w:p>
        </w:tc>
        <w:tc>
          <w:tcPr>
            <w:tcW w:w="1442" w:type="dxa"/>
            <w:shd w:val="clear" w:color="auto" w:fill="auto"/>
            <w:vAlign w:val="center"/>
          </w:tcPr>
          <w:p>
            <w:pPr>
              <w:tabs>
                <w:tab w:val="left" w:pos="4785"/>
              </w:tabs>
              <w:spacing w:line="440" w:lineRule="exact"/>
              <w:jc w:val="center"/>
              <w:rPr>
                <w:rFonts w:ascii="宋体" w:hAnsi="宋体" w:cs="Arial"/>
                <w:highlight w:val="none"/>
              </w:rPr>
            </w:pPr>
            <w:r>
              <w:rPr>
                <w:rFonts w:ascii="宋体" w:hAnsi="宋体" w:cs="Arial"/>
                <w:highlight w:val="none"/>
              </w:rPr>
              <w:t>1</w:t>
            </w:r>
            <w:r>
              <w:rPr>
                <w:rFonts w:hint="eastAsia" w:ascii="宋体" w:hAnsi="宋体" w:cs="Arial"/>
                <w:highlight w:val="none"/>
              </w:rPr>
              <w:t>．00</w:t>
            </w:r>
          </w:p>
        </w:tc>
        <w:tc>
          <w:tcPr>
            <w:tcW w:w="1830" w:type="dxa"/>
            <w:shd w:val="clear" w:color="auto" w:fill="auto"/>
            <w:vAlign w:val="center"/>
          </w:tcPr>
          <w:p>
            <w:pPr>
              <w:tabs>
                <w:tab w:val="left" w:pos="4785"/>
              </w:tabs>
              <w:spacing w:line="440" w:lineRule="exact"/>
              <w:jc w:val="center"/>
              <w:rPr>
                <w:rFonts w:ascii="宋体" w:hAnsi="宋体" w:cs="Arial"/>
                <w:highlight w:val="none"/>
              </w:rPr>
            </w:pPr>
            <w:r>
              <w:rPr>
                <w:rFonts w:ascii="宋体" w:hAnsi="宋体" w:cs="Arial"/>
                <w:highlight w:val="none"/>
              </w:rPr>
              <w:t>1</w:t>
            </w:r>
            <w:r>
              <w:rPr>
                <w:rFonts w:hint="eastAsia" w:ascii="宋体" w:hAnsi="宋体" w:cs="Arial"/>
                <w:highlight w:val="none"/>
              </w:rPr>
              <w:t>.00</w:t>
            </w:r>
          </w:p>
        </w:tc>
        <w:tc>
          <w:tcPr>
            <w:tcW w:w="1828" w:type="dxa"/>
            <w:shd w:val="clear" w:color="auto" w:fill="auto"/>
            <w:vAlign w:val="center"/>
          </w:tcPr>
          <w:p>
            <w:pPr>
              <w:tabs>
                <w:tab w:val="left" w:pos="4785"/>
              </w:tabs>
              <w:spacing w:line="440" w:lineRule="exact"/>
              <w:jc w:val="center"/>
              <w:rPr>
                <w:rFonts w:ascii="宋体" w:hAnsi="宋体" w:cs="Arial"/>
                <w:highlight w:val="none"/>
              </w:rPr>
            </w:pPr>
            <w:r>
              <w:rPr>
                <w:rFonts w:hint="eastAsia" w:ascii="宋体" w:hAnsi="宋体" w:cs="Arial"/>
                <w:highlight w:val="none"/>
              </w:rPr>
              <w:t>0.80</w:t>
            </w:r>
          </w:p>
        </w:tc>
        <w:tc>
          <w:tcPr>
            <w:tcW w:w="1472" w:type="dxa"/>
            <w:shd w:val="clear" w:color="auto" w:fill="auto"/>
            <w:vAlign w:val="center"/>
          </w:tcPr>
          <w:p>
            <w:pPr>
              <w:tabs>
                <w:tab w:val="left" w:pos="4785"/>
              </w:tabs>
              <w:spacing w:line="440" w:lineRule="exact"/>
              <w:jc w:val="center"/>
              <w:rPr>
                <w:rFonts w:ascii="宋体" w:hAnsi="宋体" w:cs="Arial"/>
                <w:highlight w:val="none"/>
              </w:rPr>
            </w:pPr>
            <w:r>
              <w:rPr>
                <w:rFonts w:ascii="宋体" w:hAnsi="宋体" w:cs="Arial"/>
                <w:highlight w:val="none"/>
              </w:rPr>
              <w:t>0</w:t>
            </w:r>
          </w:p>
        </w:tc>
      </w:tr>
    </w:tbl>
    <w:p>
      <w:pPr>
        <w:pStyle w:val="28"/>
        <w:ind w:firstLine="480"/>
        <w:rPr>
          <w:rFonts w:ascii="宋体" w:hAnsi="宋体" w:eastAsia="宋体"/>
          <w:color w:val="auto"/>
          <w:sz w:val="24"/>
          <w:highlight w:val="none"/>
        </w:rPr>
      </w:pPr>
      <w:r>
        <w:rPr>
          <w:rFonts w:hint="eastAsia" w:ascii="宋体" w:hAnsi="宋体" w:eastAsia="宋体"/>
          <w:color w:val="auto"/>
          <w:sz w:val="24"/>
          <w:highlight w:val="none"/>
        </w:rPr>
        <w:t>考核结果的应用：个人当期实际解锁额度＝解锁系数×个人当期计划解锁额度。</w:t>
      </w:r>
    </w:p>
    <w:p>
      <w:pPr>
        <w:pStyle w:val="28"/>
        <w:ind w:firstLine="480"/>
        <w:rPr>
          <w:rFonts w:ascii="宋体" w:hAnsi="宋体" w:eastAsia="宋体" w:cs="Times New Roman"/>
          <w:b/>
          <w:color w:val="auto"/>
          <w:sz w:val="24"/>
          <w:szCs w:val="22"/>
          <w:highlight w:val="none"/>
        </w:rPr>
      </w:pPr>
      <w:r>
        <w:rPr>
          <w:rFonts w:hint="eastAsia" w:ascii="宋体" w:hAnsi="宋体" w:eastAsia="宋体"/>
          <w:color w:val="auto"/>
          <w:sz w:val="24"/>
          <w:highlight w:val="none"/>
        </w:rPr>
        <w:t>当期限制性股票未能解锁部分，由公司作回购注销处理。</w:t>
      </w:r>
    </w:p>
    <w:p>
      <w:pPr>
        <w:tabs>
          <w:tab w:val="left" w:pos="1675"/>
        </w:tabs>
        <w:adjustRightInd w:val="0"/>
        <w:snapToGrid w:val="0"/>
        <w:spacing w:before="312" w:beforeLines="100" w:line="360" w:lineRule="auto"/>
        <w:ind w:firstLine="482" w:firstLineChars="200"/>
        <w:rPr>
          <w:rFonts w:ascii="宋体" w:hAnsi="宋体"/>
          <w:b/>
          <w:sz w:val="24"/>
          <w:highlight w:val="none"/>
        </w:rPr>
      </w:pPr>
      <w:r>
        <w:rPr>
          <w:rFonts w:hint="eastAsia" w:ascii="宋体" w:hAnsi="宋体"/>
          <w:b/>
          <w:sz w:val="24"/>
          <w:highlight w:val="none"/>
        </w:rPr>
        <w:t>（三）已履行的相关审批程序</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1、2016年3月31日，公司薪酬与考核委员会拟定了激励计划，并将该激励计划提交公司第二届董事会第十五次会议审议。因三名关联董事回避表决后，导致非关联董事人数不足三人，董事会对相关议案无法形成决议，因此相关议案需提交公司股东大会审议。</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2、2016年3月31日，公司独立董事就《公司限制性股票激励计划（草案）》发表了同意的独立意见，并认为本次股权激励计划有利于美康生物的持续发展，不存在损害公司及全体股东利益情形。</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3、2016年3月31日，公司召开第二届监事会第八次会议，审议并通过了《关于&lt;</w:t>
      </w:r>
      <w:r>
        <w:rPr>
          <w:rFonts w:hint="eastAsia" w:ascii="宋体" w:hAnsi="宋体" w:cs="Calibri"/>
          <w:sz w:val="24"/>
          <w:szCs w:val="24"/>
          <w:highlight w:val="none"/>
          <w:u w:color="000000"/>
          <w:lang w:eastAsia="zh-CN"/>
        </w:rPr>
        <w:t>宁波</w:t>
      </w:r>
      <w:r>
        <w:rPr>
          <w:rFonts w:hint="eastAsia" w:ascii="宋体" w:hAnsi="宋体" w:cs="Calibri"/>
          <w:sz w:val="24"/>
          <w:szCs w:val="24"/>
          <w:highlight w:val="none"/>
          <w:u w:color="000000"/>
        </w:rPr>
        <w:t>美康生物科技股份有限公司限制性股票激励计划（草案）及其摘要&gt;的议案》等议案，并对本次股权激励计划的激励对象名单予以核实。</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4、2016年5月19日，公司召开2015年度股东大会，审议并通过《关于&lt;</w:t>
      </w:r>
      <w:r>
        <w:rPr>
          <w:rFonts w:hint="eastAsia" w:ascii="宋体" w:hAnsi="宋体" w:cs="Calibri"/>
          <w:sz w:val="24"/>
          <w:szCs w:val="24"/>
          <w:highlight w:val="none"/>
          <w:u w:color="000000"/>
          <w:lang w:eastAsia="zh-CN"/>
        </w:rPr>
        <w:t>宁波</w:t>
      </w:r>
      <w:r>
        <w:rPr>
          <w:rFonts w:hint="eastAsia" w:ascii="宋体" w:hAnsi="宋体" w:cs="Calibri"/>
          <w:sz w:val="24"/>
          <w:szCs w:val="24"/>
          <w:highlight w:val="none"/>
          <w:u w:color="000000"/>
        </w:rPr>
        <w:t>美康生物科技股份有限公司限制性股票激励计划（草案）及其摘要&gt;的议案》《关于&lt;</w:t>
      </w:r>
      <w:r>
        <w:rPr>
          <w:rFonts w:hint="eastAsia" w:ascii="宋体" w:hAnsi="宋体" w:cs="Calibri"/>
          <w:sz w:val="24"/>
          <w:szCs w:val="24"/>
          <w:highlight w:val="none"/>
          <w:u w:color="000000"/>
          <w:lang w:eastAsia="zh-CN"/>
        </w:rPr>
        <w:t>宁波</w:t>
      </w:r>
      <w:r>
        <w:rPr>
          <w:rFonts w:hint="eastAsia" w:ascii="宋体" w:hAnsi="宋体" w:cs="Calibri"/>
          <w:sz w:val="24"/>
          <w:szCs w:val="24"/>
          <w:highlight w:val="none"/>
          <w:u w:color="000000"/>
        </w:rPr>
        <w:t>美康生物科技股份有限公司限制性股票激励计划实施考核管理办法&gt;的议案》《关于公司实际控制人近亲属邹敏华女士作为本次限制性股票激励计划激励对象的议案》及《关于提请股东大会授权董事会办理公司限制性股票激励计划有关事项的议案》，同意董事会在首次授予条件成就后向符合条件的348名激励对象授予811.2万股限制性股票。</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5、2016年6月28日，公司分别召开第二届董事会第二十次会议和第二届监事会第十一次会议，审议并通过《关于调整限制性股票授予价格的议案》《关于向激励对象授予限制性股票的议案》关联董事对相关议案已回避表决、公司独立董事对相关事项发表了同意的独立意见，监事会也发表了核查意见。</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6、2017年3月15日，公司分别召开第二届董事会第三十次会议、第二届监事会第十七次会议，审议并通过了《关于向激励对象授予预留部分限制性股票的议案》，同意确定2017年3月15日为预留限制性股票授予日，向符合授予条件的6名激励对象授予预留限制性股票38.8万股。公司独立董事对此发表了同意的独立意见，监事会也发表了核查意见。</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7、2017年6月20日，公司分别召开第二届董事会第三十四次会议，第二届监事会第十九次会议，审议并通过了《关于调整部分限制性股票回购价格的议案》《关于回购注销部分限制性股票的议案》。激励对象谢秋、程锋、谢伟博等13人因个人原因离职，已不符合激励条件，根据激励计划的相关规定，公司决定对谢秋、程锋、谢伟博等13人所持有已获授但尚未解锁的326,000股限制性股票进行回购注销；同时，依据公司2016年度经营情况，激励计划首次授予限制性股票的第一个解锁期业绩考核目标未实现，公司决定将首次授予限制性股票的第一个解锁期未达到解锁条件的限制性股票728,100股予以回购注销，合计回购注销限制性股票1,054,100股，回购价格为13.31元/股。回购总金额14,030,071.00元，公司独立董事对此发表了同意的独立意见，监事会也发表了核查意见。</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8、2018年7月16日，公司召开第三届董事会第七次会议审议了《关于公司股权激励计划首次授予的限制性股票第二个解锁期可解锁的议案》，因三名关联董事回避表决，导致非关联董事人数不足三人，董事会对该议案无法形成决议，因此该议案需提交公司股东大会审议；同时，该次董事会会议审议并通过了《关于公司股权激励计划预留部分的限制性股票第一个解锁期可解锁的议案》以及《关于回购注销部分激励对象已获授但尚未解锁的限制性股票的议案》。同时，公司第三届监事会第六次会议审议通过了上述三项议案。公司独立董事就上述回购注销、首次授予第二个解锁期可解锁及预留部分第一个解锁期可解锁事项发表了同意的独立意见，律师事务所就前述回购注销、首次授予第二个解锁期可解锁及预留部分第一个解锁期可解锁事项出具了法律意见书。</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9、2018年8月3日，公司召开2018年度第二次临时股东大会，审议并通过了《关于公司股权激励计划首次授予的限制性股票第二个解锁期可解锁的议案》《关于回购注销部分激励对象已获授但尚未解锁的限制性股票的议案》，同意公司对首次授予的限制性股票符合解锁条件的283名激励对象第二个解锁期内的1,326,600股限制性股票办理解锁手续；同意公司回购注销部分已获授但尚未解锁的限制性股票股份数量共计为563,600股。</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10、2018年10月26日，公司召开第三届董事会第九次会议审议通过了《关于回购注销部分激励对象已获授但尚未解锁的限制性股票的议案》、2018年12月7日，公司召开第三届董事会第十一次会议审议通过了《关于回购注销部分激励对象（2018年第二次）已获授但尚未解锁的限制性股票的议案》，上述两项议案同意回购注销14名离职人员已获授但尚未解锁的限制性股票</w:t>
      </w:r>
      <w:r>
        <w:rPr>
          <w:rFonts w:hint="eastAsia" w:cs="宋体" w:asciiTheme="minorEastAsia" w:hAnsiTheme="minorEastAsia" w:eastAsiaTheme="minorEastAsia"/>
          <w:sz w:val="24"/>
          <w:szCs w:val="24"/>
          <w:highlight w:val="none"/>
        </w:rPr>
        <w:t>共计259,000股，并提交至公司</w:t>
      </w:r>
      <w:r>
        <w:rPr>
          <w:rFonts w:hint="eastAsia" w:ascii="宋体" w:hAnsi="宋体" w:cs="Calibri"/>
          <w:sz w:val="24"/>
          <w:szCs w:val="24"/>
          <w:highlight w:val="none"/>
          <w:u w:color="000000"/>
        </w:rPr>
        <w:t>2018年度第四次临时股东大会审议。</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11、2018年12月25日，公司召开2018年度第四次临时股东大会，审议并通过了《关于回购注销部分激励对象已获授但尚未解锁的限制性股票的议案》《关于回购注销部分激励对象（2018年第二次）已获授但尚未解锁的限制性股票的议案》，</w:t>
      </w:r>
      <w:r>
        <w:rPr>
          <w:rFonts w:hint="eastAsia" w:cs="宋体" w:asciiTheme="minorEastAsia" w:hAnsiTheme="minorEastAsia" w:eastAsiaTheme="minorEastAsia"/>
          <w:sz w:val="24"/>
          <w:szCs w:val="24"/>
          <w:highlight w:val="none"/>
        </w:rPr>
        <w:t>同意公司回购注销</w:t>
      </w:r>
      <w:r>
        <w:rPr>
          <w:rFonts w:cs="宋体" w:asciiTheme="minorEastAsia" w:hAnsiTheme="minorEastAsia" w:eastAsiaTheme="minorEastAsia"/>
          <w:sz w:val="24"/>
          <w:szCs w:val="24"/>
          <w:highlight w:val="none"/>
        </w:rPr>
        <w:t>因离职已不符合激励条件的1</w:t>
      </w:r>
      <w:r>
        <w:rPr>
          <w:rFonts w:hint="eastAsia" w:cs="宋体" w:asciiTheme="minorEastAsia" w:hAnsiTheme="minorEastAsia" w:eastAsiaTheme="minorEastAsia"/>
          <w:sz w:val="24"/>
          <w:szCs w:val="24"/>
          <w:highlight w:val="none"/>
        </w:rPr>
        <w:t>4</w:t>
      </w:r>
      <w:r>
        <w:rPr>
          <w:rFonts w:cs="宋体" w:asciiTheme="minorEastAsia" w:hAnsiTheme="minorEastAsia" w:eastAsiaTheme="minorEastAsia"/>
          <w:sz w:val="24"/>
          <w:szCs w:val="24"/>
          <w:highlight w:val="none"/>
        </w:rPr>
        <w:t>名激励对象已获授</w:t>
      </w:r>
      <w:r>
        <w:rPr>
          <w:rFonts w:hint="eastAsia" w:cs="宋体" w:asciiTheme="minorEastAsia" w:hAnsiTheme="minorEastAsia" w:eastAsiaTheme="minorEastAsia"/>
          <w:sz w:val="24"/>
          <w:szCs w:val="24"/>
          <w:highlight w:val="none"/>
        </w:rPr>
        <w:t>但尚未解锁的限制性股票共计259,000股</w:t>
      </w:r>
      <w:r>
        <w:rPr>
          <w:rFonts w:hint="eastAsia" w:ascii="宋体" w:hAnsi="宋体" w:cs="Calibri"/>
          <w:sz w:val="24"/>
          <w:szCs w:val="24"/>
          <w:highlight w:val="none"/>
          <w:u w:color="000000"/>
        </w:rPr>
        <w:t>。</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12、2019年7月16日，公司召开第三届董事会第十八次会议审议了《关于公司股权激励计划首次授予的限制性股票第三个解锁期条件成就可解锁的议案》《关于调整部分限制性股票回购价格的议案》，因三名关联董事回避表决，导致非关联董事人数不足三人，董事会对该议案无法形成决议，因此该议案需提交公司股东大会审议；此外，该次董事会会议审议并通过了《关于公司股权激励计划预留部分的限制性股票第二个解锁期条件成就可解锁的议案》以及《关于回购注销部分激励对象已获授但尚未解锁的限制性股票的议案》。同日，公司第三届监事会第十六次会议审议通过了上述四项议案。公司独立董事就上述回购注销、首次授予第三个解锁期可解锁、预留部分第二个解锁期可解锁、调整部分限制性股票回购价格等事项发表了同意的独立意见，律师事务所就前述事项出具了法律意见书。</w:t>
      </w:r>
    </w:p>
    <w:p>
      <w:pPr>
        <w:autoSpaceDE w:val="0"/>
        <w:autoSpaceDN w:val="0"/>
        <w:adjustRightInd w:val="0"/>
        <w:spacing w:line="360" w:lineRule="auto"/>
        <w:ind w:firstLine="480" w:firstLineChars="200"/>
        <w:rPr>
          <w:rFonts w:ascii="宋体" w:hAnsi="宋体" w:cs="Calibri"/>
          <w:sz w:val="24"/>
          <w:szCs w:val="24"/>
          <w:highlight w:val="none"/>
          <w:u w:color="000000"/>
        </w:rPr>
      </w:pPr>
      <w:r>
        <w:rPr>
          <w:rFonts w:hint="eastAsia" w:ascii="宋体" w:hAnsi="宋体" w:cs="Calibri"/>
          <w:sz w:val="24"/>
          <w:szCs w:val="24"/>
          <w:highlight w:val="none"/>
          <w:u w:color="000000"/>
        </w:rPr>
        <w:t>13、</w:t>
      </w:r>
      <w:r>
        <w:rPr>
          <w:rFonts w:hint="eastAsia" w:asciiTheme="minorEastAsia" w:hAnsiTheme="minorEastAsia" w:eastAsiaTheme="minorEastAsia"/>
          <w:color w:val="000000"/>
          <w:sz w:val="24"/>
          <w:szCs w:val="20"/>
          <w:highlight w:val="none"/>
        </w:rPr>
        <w:t>2019年8月2日，公司2019年第三次临时股东大会审议通过</w:t>
      </w:r>
      <w:r>
        <w:rPr>
          <w:rFonts w:hint="eastAsia" w:asciiTheme="minorEastAsia" w:hAnsiTheme="minorEastAsia" w:eastAsiaTheme="minorEastAsia"/>
          <w:color w:val="000000"/>
          <w:sz w:val="24"/>
          <w:szCs w:val="20"/>
          <w:highlight w:val="none"/>
          <w:lang w:eastAsia="zh-CN"/>
        </w:rPr>
        <w:t>了</w:t>
      </w:r>
      <w:r>
        <w:rPr>
          <w:rFonts w:hint="eastAsia" w:asciiTheme="minorEastAsia" w:hAnsiTheme="minorEastAsia" w:eastAsiaTheme="minorEastAsia"/>
          <w:color w:val="000000"/>
          <w:sz w:val="24"/>
          <w:szCs w:val="20"/>
          <w:highlight w:val="none"/>
        </w:rPr>
        <w:t>《关于公司股权激励计划首次授予的限制性股票第三个解锁期条件成就可解锁的议案》《</w:t>
      </w:r>
      <w:r>
        <w:rPr>
          <w:rFonts w:hint="eastAsia" w:cs="宋体" w:asciiTheme="minorEastAsia" w:hAnsiTheme="minorEastAsia" w:eastAsiaTheme="minorEastAsia"/>
          <w:sz w:val="24"/>
          <w:szCs w:val="24"/>
          <w:highlight w:val="none"/>
        </w:rPr>
        <w:t>关于回购注销部分激励对象已获授但尚未解锁的限制性股票的议案</w:t>
      </w:r>
      <w:r>
        <w:rPr>
          <w:rFonts w:hint="eastAsia" w:asciiTheme="minorEastAsia" w:hAnsiTheme="minorEastAsia" w:eastAsiaTheme="minorEastAsia"/>
          <w:color w:val="000000"/>
          <w:sz w:val="24"/>
          <w:szCs w:val="20"/>
          <w:highlight w:val="none"/>
        </w:rPr>
        <w:t>》</w:t>
      </w:r>
      <w:r>
        <w:rPr>
          <w:rFonts w:hint="eastAsia" w:ascii="宋体" w:hAnsi="宋体" w:cs="Calibri"/>
          <w:sz w:val="24"/>
          <w:szCs w:val="24"/>
          <w:highlight w:val="none"/>
          <w:u w:color="000000"/>
        </w:rPr>
        <w:t>《关于调整部分限制性股票回购价格的议案》</w:t>
      </w:r>
      <w:r>
        <w:rPr>
          <w:rFonts w:hint="eastAsia" w:asciiTheme="minorEastAsia" w:hAnsiTheme="minorEastAsia" w:eastAsiaTheme="minorEastAsia"/>
          <w:color w:val="000000"/>
          <w:sz w:val="24"/>
          <w:szCs w:val="20"/>
          <w:highlight w:val="none"/>
        </w:rPr>
        <w:t>，同意公司回购注销部分激励对象已获授但尚未解锁的限制性股票共</w:t>
      </w:r>
      <w:r>
        <w:rPr>
          <w:rFonts w:hint="eastAsia" w:ascii="宋体" w:hAnsi="宋体" w:cs="宋体"/>
          <w:sz w:val="24"/>
          <w:szCs w:val="24"/>
          <w:highlight w:val="none"/>
        </w:rPr>
        <w:t>835,680</w:t>
      </w:r>
      <w:r>
        <w:rPr>
          <w:rFonts w:hint="eastAsia" w:asciiTheme="minorEastAsia" w:hAnsiTheme="minorEastAsia" w:eastAsiaTheme="minorEastAsia"/>
          <w:color w:val="000000"/>
          <w:sz w:val="24"/>
          <w:szCs w:val="20"/>
          <w:highlight w:val="none"/>
        </w:rPr>
        <w:t>股。</w:t>
      </w:r>
    </w:p>
    <w:p>
      <w:pPr>
        <w:autoSpaceDE w:val="0"/>
        <w:autoSpaceDN w:val="0"/>
        <w:adjustRightInd w:val="0"/>
        <w:spacing w:line="360" w:lineRule="auto"/>
        <w:ind w:firstLine="480" w:firstLineChars="200"/>
        <w:rPr>
          <w:rFonts w:ascii="宋体" w:hAnsi="宋体"/>
          <w:sz w:val="24"/>
          <w:highlight w:val="none"/>
        </w:rPr>
      </w:pPr>
      <w:r>
        <w:rPr>
          <w:rFonts w:hint="eastAsia" w:ascii="宋体" w:hAnsi="宋体" w:cs="Calibri"/>
          <w:sz w:val="24"/>
          <w:szCs w:val="24"/>
          <w:highlight w:val="none"/>
          <w:u w:color="000000"/>
        </w:rPr>
        <w:t>14、2020年4月30日，公司召开第三届董事会第二十六次会议审议了《</w:t>
      </w:r>
      <w:r>
        <w:rPr>
          <w:rFonts w:hint="eastAsia" w:ascii="宋体" w:hAnsi="宋体" w:cs="宋体"/>
          <w:color w:val="000000"/>
          <w:kern w:val="0"/>
          <w:sz w:val="24"/>
          <w:szCs w:val="24"/>
          <w:highlight w:val="none"/>
        </w:rPr>
        <w:t>关于终止实施限制性股票激励计划及回购注销相关限制性股票的议案</w:t>
      </w:r>
      <w:r>
        <w:rPr>
          <w:rFonts w:hint="eastAsia" w:ascii="宋体" w:hAnsi="宋体" w:cs="Calibri"/>
          <w:sz w:val="24"/>
          <w:szCs w:val="24"/>
          <w:highlight w:val="none"/>
          <w:u w:color="000000"/>
        </w:rPr>
        <w:t>》，因三名关联董事回避表决，导致非关联董事人数不足三人，董事会对该议案无法形成决议，该议案尚需提交公司股东大会审议。同日，公司第三届监事会第二十三次会议审议通过了上述议案。公司独立董事就上述</w:t>
      </w:r>
      <w:r>
        <w:rPr>
          <w:rFonts w:hint="eastAsia" w:ascii="宋体" w:hAnsi="宋体" w:cs="宋体"/>
          <w:color w:val="000000"/>
          <w:kern w:val="0"/>
          <w:sz w:val="24"/>
          <w:szCs w:val="24"/>
          <w:highlight w:val="none"/>
        </w:rPr>
        <w:t>关于终止实施限制性股票激励计划及回购注销相关限制性股票</w:t>
      </w:r>
      <w:r>
        <w:rPr>
          <w:rFonts w:hint="eastAsia" w:ascii="宋体" w:hAnsi="宋体" w:cs="Calibri"/>
          <w:sz w:val="24"/>
          <w:szCs w:val="24"/>
          <w:highlight w:val="none"/>
          <w:u w:color="000000"/>
        </w:rPr>
        <w:t>等事项发表了同意的独立意见，律师事务所就前述事项出具了法律意见书。</w:t>
      </w:r>
    </w:p>
    <w:p>
      <w:pPr>
        <w:pStyle w:val="10"/>
        <w:spacing w:line="360" w:lineRule="auto"/>
        <w:jc w:val="left"/>
        <w:rPr>
          <w:rFonts w:ascii="Times New Roman" w:hAnsi="Times New Roman"/>
          <w:color w:val="000000"/>
          <w:sz w:val="24"/>
          <w:szCs w:val="24"/>
          <w:highlight w:val="none"/>
        </w:rPr>
      </w:pPr>
      <w:r>
        <w:rPr>
          <w:rFonts w:hint="eastAsia" w:ascii="宋体" w:hAnsi="宋体"/>
          <w:sz w:val="24"/>
          <w:highlight w:val="none"/>
        </w:rPr>
        <w:t xml:space="preserve">    </w:t>
      </w:r>
      <w:r>
        <w:rPr>
          <w:rFonts w:hint="eastAsia" w:ascii="Times New Roman" w:hAnsi="Times New Roman"/>
          <w:color w:val="000000"/>
          <w:sz w:val="24"/>
          <w:szCs w:val="24"/>
          <w:highlight w:val="none"/>
        </w:rPr>
        <w:t>二、公司本次终止股权激励计划及回购注销部分限制性股票的相关说明</w:t>
      </w:r>
    </w:p>
    <w:p>
      <w:pPr>
        <w:autoSpaceDE w:val="0"/>
        <w:autoSpaceDN w:val="0"/>
        <w:adjustRightInd w:val="0"/>
        <w:spacing w:before="156" w:beforeLines="50" w:after="156" w:afterLines="50" w:line="360" w:lineRule="auto"/>
        <w:ind w:left="420" w:leftChars="200"/>
        <w:jc w:val="left"/>
        <w:rPr>
          <w:rFonts w:ascii="宋体" w:hAnsi="宋体" w:cs="宋体"/>
          <w:b/>
          <w:bCs/>
          <w:sz w:val="24"/>
          <w:szCs w:val="24"/>
          <w:highlight w:val="none"/>
        </w:rPr>
      </w:pPr>
      <w:r>
        <w:rPr>
          <w:rFonts w:hint="eastAsia" w:ascii="宋体" w:hAnsi="宋体" w:cs="宋体"/>
          <w:b/>
          <w:bCs/>
          <w:sz w:val="24"/>
          <w:szCs w:val="24"/>
          <w:highlight w:val="none"/>
        </w:rPr>
        <w:t>（一）回购注销及终止的原因</w:t>
      </w:r>
    </w:p>
    <w:p>
      <w:pPr>
        <w:autoSpaceDE w:val="0"/>
        <w:autoSpaceDN w:val="0"/>
        <w:adjustRightInd w:val="0"/>
        <w:spacing w:line="360" w:lineRule="auto"/>
        <w:ind w:firstLine="480" w:firstLineChars="200"/>
        <w:rPr>
          <w:sz w:val="24"/>
          <w:szCs w:val="24"/>
          <w:highlight w:val="none"/>
        </w:rPr>
      </w:pPr>
      <w:r>
        <w:rPr>
          <w:rFonts w:hint="eastAsia" w:ascii="宋体" w:hAnsi="宋体" w:cs="宋体"/>
          <w:sz w:val="24"/>
          <w:szCs w:val="24"/>
          <w:highlight w:val="none"/>
        </w:rPr>
        <w:t>1、根据公司《激励计划》中规定：“激励对象因辞职、公司</w:t>
      </w:r>
      <w:r>
        <w:rPr>
          <w:rFonts w:hint="eastAsia" w:hAnsi="宋体" w:cs="宋体"/>
          <w:sz w:val="24"/>
          <w:szCs w:val="24"/>
          <w:highlight w:val="none"/>
        </w:rPr>
        <w:t>裁员而离职，激励对象已获授但尚未解锁的限制性股票不得解锁，由公司回购注销。</w:t>
      </w:r>
      <w:r>
        <w:rPr>
          <w:rFonts w:hint="eastAsia"/>
          <w:sz w:val="24"/>
          <w:szCs w:val="24"/>
          <w:highlight w:val="none"/>
        </w:rPr>
        <w:t>”</w:t>
      </w:r>
    </w:p>
    <w:p>
      <w:pPr>
        <w:autoSpaceDE w:val="0"/>
        <w:autoSpaceDN w:val="0"/>
        <w:adjustRightIn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鉴于丁建、宋士强、</w:t>
      </w:r>
      <w:r>
        <w:rPr>
          <w:rFonts w:hint="eastAsia" w:ascii="宋体" w:hAnsi="宋体" w:cs="宋体"/>
          <w:sz w:val="24"/>
          <w:szCs w:val="24"/>
          <w:highlight w:val="none"/>
          <w:lang w:eastAsia="zh-CN"/>
        </w:rPr>
        <w:t>邢斐</w:t>
      </w:r>
      <w:r>
        <w:rPr>
          <w:rFonts w:hint="eastAsia" w:ascii="宋体" w:hAnsi="宋体" w:cs="宋体"/>
          <w:sz w:val="24"/>
          <w:szCs w:val="24"/>
          <w:highlight w:val="none"/>
        </w:rPr>
        <w:t>等2</w:t>
      </w:r>
      <w:r>
        <w:rPr>
          <w:rFonts w:hint="eastAsia" w:ascii="宋体" w:hAnsi="宋体" w:cs="宋体"/>
          <w:sz w:val="24"/>
          <w:szCs w:val="24"/>
          <w:highlight w:val="none"/>
          <w:lang w:val="en-US" w:eastAsia="zh-CN"/>
        </w:rPr>
        <w:t>8</w:t>
      </w:r>
      <w:r>
        <w:rPr>
          <w:rFonts w:hint="eastAsia" w:ascii="宋体" w:hAnsi="宋体" w:cs="宋体"/>
          <w:sz w:val="24"/>
          <w:szCs w:val="24"/>
          <w:highlight w:val="none"/>
        </w:rPr>
        <w:t>人因个人原因离职，已不具备激励对象资格，公司决定对以上人员持有的已获授但尚未解锁的限制性股票共计</w:t>
      </w:r>
      <w:r>
        <w:rPr>
          <w:rFonts w:hint="eastAsia" w:ascii="宋体" w:hAnsi="宋体" w:cs="宋体"/>
          <w:sz w:val="24"/>
          <w:szCs w:val="24"/>
          <w:highlight w:val="none"/>
          <w:lang w:val="en-US" w:eastAsia="zh-CN"/>
        </w:rPr>
        <w:t>314,000</w:t>
      </w:r>
      <w:r>
        <w:rPr>
          <w:rFonts w:hint="eastAsia" w:ascii="宋体" w:hAnsi="宋体" w:cs="宋体"/>
          <w:sz w:val="24"/>
          <w:szCs w:val="24"/>
          <w:highlight w:val="none"/>
        </w:rPr>
        <w:t>股进行回购注销</w:t>
      </w:r>
      <w:r>
        <w:rPr>
          <w:rFonts w:hint="eastAsia" w:ascii="宋体" w:hAnsi="宋体" w:cs="宋体"/>
          <w:sz w:val="24"/>
          <w:szCs w:val="24"/>
          <w:highlight w:val="none"/>
          <w:lang w:val="en-US" w:eastAsia="zh-CN"/>
        </w:rPr>
        <w:t>(</w:t>
      </w:r>
      <w:r>
        <w:rPr>
          <w:rFonts w:hint="eastAsia" w:ascii="宋体" w:hAnsi="宋体" w:cs="宋体"/>
          <w:sz w:val="24"/>
          <w:szCs w:val="24"/>
          <w:highlight w:val="none"/>
        </w:rPr>
        <w:t>其中首次授予部分离职人员2</w:t>
      </w:r>
      <w:r>
        <w:rPr>
          <w:rFonts w:hint="eastAsia" w:ascii="宋体" w:hAnsi="宋体" w:cs="宋体"/>
          <w:sz w:val="24"/>
          <w:szCs w:val="24"/>
          <w:highlight w:val="none"/>
          <w:lang w:val="en-US" w:eastAsia="zh-CN"/>
        </w:rPr>
        <w:t>7</w:t>
      </w:r>
      <w:r>
        <w:rPr>
          <w:rFonts w:hint="eastAsia" w:ascii="宋体" w:hAnsi="宋体" w:cs="宋体"/>
          <w:sz w:val="24"/>
          <w:szCs w:val="24"/>
          <w:highlight w:val="none"/>
        </w:rPr>
        <w:t>人，预留部分离职人员1人</w:t>
      </w:r>
      <w:r>
        <w:rPr>
          <w:rFonts w:hint="eastAsia" w:ascii="宋体" w:hAnsi="宋体" w:cs="宋体"/>
          <w:sz w:val="24"/>
          <w:szCs w:val="24"/>
          <w:highlight w:val="none"/>
          <w:lang w:eastAsia="zh-CN"/>
        </w:rPr>
        <w:t>）</w:t>
      </w:r>
      <w:r>
        <w:rPr>
          <w:rFonts w:hint="eastAsia" w:ascii="宋体" w:hAnsi="宋体" w:cs="宋体"/>
          <w:sz w:val="24"/>
          <w:szCs w:val="24"/>
          <w:highlight w:val="none"/>
        </w:rPr>
        <w:t>。</w:t>
      </w:r>
    </w:p>
    <w:p>
      <w:pPr>
        <w:spacing w:line="360" w:lineRule="auto"/>
        <w:ind w:firstLine="480" w:firstLineChars="200"/>
        <w:rPr>
          <w:rFonts w:ascii="宋体" w:hAnsi="宋体"/>
          <w:sz w:val="24"/>
          <w:szCs w:val="24"/>
          <w:highlight w:val="none"/>
          <w:lang w:val="zh-TW" w:eastAsia="zh-TW"/>
        </w:rPr>
      </w:pPr>
      <w:r>
        <w:rPr>
          <w:rFonts w:hint="eastAsia" w:ascii="宋体" w:hAnsi="宋体" w:cs="宋体"/>
          <w:sz w:val="24"/>
          <w:szCs w:val="24"/>
          <w:highlight w:val="none"/>
        </w:rPr>
        <w:t>2、</w:t>
      </w:r>
      <w:r>
        <w:rPr>
          <w:rFonts w:hint="eastAsia" w:ascii="宋体" w:hAnsi="宋体" w:cs="宋体"/>
          <w:sz w:val="24"/>
          <w:szCs w:val="24"/>
          <w:highlight w:val="none"/>
          <w:lang w:val="zh-TW" w:eastAsia="zh-TW"/>
        </w:rPr>
        <w:t>根据公司《</w:t>
      </w:r>
      <w:r>
        <w:rPr>
          <w:rFonts w:hint="eastAsia" w:ascii="宋体" w:hAnsi="宋体" w:cs="宋体"/>
          <w:sz w:val="24"/>
          <w:szCs w:val="24"/>
          <w:highlight w:val="none"/>
          <w:lang w:val="zh-TW"/>
        </w:rPr>
        <w:t>激励计划</w:t>
      </w:r>
      <w:r>
        <w:rPr>
          <w:rFonts w:hint="eastAsia" w:ascii="宋体" w:hAnsi="宋体" w:cs="宋体"/>
          <w:sz w:val="24"/>
          <w:szCs w:val="24"/>
          <w:highlight w:val="none"/>
          <w:lang w:val="zh-TW" w:eastAsia="zh-TW"/>
        </w:rPr>
        <w:t>》</w:t>
      </w:r>
      <w:r>
        <w:rPr>
          <w:rFonts w:hint="eastAsia" w:ascii="宋体" w:hAnsi="宋体" w:cs="宋体"/>
          <w:sz w:val="24"/>
          <w:szCs w:val="24"/>
          <w:highlight w:val="none"/>
          <w:lang w:val="zh-TW"/>
        </w:rPr>
        <w:t>中规定</w:t>
      </w:r>
      <w:r>
        <w:rPr>
          <w:rFonts w:hint="eastAsia" w:ascii="宋体" w:hAnsi="宋体" w:cs="宋体"/>
          <w:sz w:val="24"/>
          <w:szCs w:val="24"/>
          <w:highlight w:val="none"/>
        </w:rPr>
        <w:t>：“</w:t>
      </w:r>
      <w:r>
        <w:rPr>
          <w:rFonts w:hint="eastAsia" w:ascii="宋体" w:hAnsi="宋体"/>
          <w:sz w:val="24"/>
          <w:szCs w:val="24"/>
          <w:highlight w:val="none"/>
          <w:lang w:val="zh-TW" w:eastAsia="zh-TW"/>
        </w:rPr>
        <w:t>（三）满足公司层面的业绩考核要求。</w:t>
      </w:r>
    </w:p>
    <w:p>
      <w:pPr>
        <w:spacing w:line="360" w:lineRule="auto"/>
        <w:rPr>
          <w:rFonts w:ascii="宋体" w:hAnsi="宋体" w:cs="宋体"/>
          <w:sz w:val="24"/>
          <w:szCs w:val="24"/>
          <w:highlight w:val="none"/>
        </w:rPr>
      </w:pPr>
      <w:r>
        <w:rPr>
          <w:rFonts w:hint="eastAsia" w:ascii="宋体" w:hAnsi="宋体"/>
          <w:sz w:val="24"/>
          <w:szCs w:val="24"/>
          <w:highlight w:val="none"/>
          <w:lang w:val="zh-TW"/>
        </w:rPr>
        <w:t>……</w:t>
      </w:r>
      <w:r>
        <w:rPr>
          <w:rFonts w:hint="eastAsia" w:ascii="宋体" w:hAnsi="宋体" w:cs="宋体"/>
          <w:sz w:val="24"/>
          <w:szCs w:val="24"/>
          <w:highlight w:val="none"/>
        </w:rPr>
        <w:t>解锁期内，公司为满足解锁条件的激励对象办理解锁事宜，若未满足当期业绩考核目标的，所有激励对象考核当年可解锁的限制性股票均不得解锁，由公司回购注销。”</w:t>
      </w:r>
    </w:p>
    <w:p>
      <w:pPr>
        <w:autoSpaceDE w:val="0"/>
        <w:autoSpaceDN w:val="0"/>
        <w:adjustRightIn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鉴于公司2019年度经营情况，限制性股票激励计划首次授予限制性股票的第四个解锁期业绩考核目标未实现</w:t>
      </w:r>
      <w:r>
        <w:rPr>
          <w:rFonts w:hint="eastAsia" w:ascii="宋体" w:hAnsi="宋体" w:cs="宋体"/>
          <w:sz w:val="24"/>
          <w:szCs w:val="24"/>
          <w:highlight w:val="none"/>
          <w:lang w:eastAsia="zh-CN"/>
        </w:rPr>
        <w:t>。</w:t>
      </w:r>
      <w:r>
        <w:rPr>
          <w:rFonts w:hint="eastAsia" w:ascii="宋体" w:hAnsi="宋体"/>
          <w:color w:val="000000"/>
          <w:spacing w:val="6"/>
          <w:sz w:val="24"/>
        </w:rPr>
        <w:t>根据立信会计师事务所(特殊普通合伙)出具的信会师报字</w:t>
      </w:r>
      <w:r>
        <w:rPr>
          <w:rFonts w:hint="eastAsia" w:ascii="宋体" w:hAnsi="宋体"/>
          <w:color w:val="000000"/>
          <w:spacing w:val="6"/>
          <w:sz w:val="24"/>
          <w:lang w:eastAsia="zh-CN"/>
        </w:rPr>
        <w:t>【</w:t>
      </w:r>
      <w:r>
        <w:rPr>
          <w:rFonts w:hint="eastAsia" w:ascii="宋体" w:hAnsi="宋体"/>
          <w:color w:val="000000"/>
          <w:spacing w:val="6"/>
          <w:sz w:val="24"/>
        </w:rPr>
        <w:t>2020</w:t>
      </w:r>
      <w:r>
        <w:rPr>
          <w:rFonts w:hint="eastAsia" w:ascii="宋体" w:hAnsi="宋体"/>
          <w:color w:val="000000"/>
          <w:spacing w:val="6"/>
          <w:sz w:val="24"/>
          <w:lang w:eastAsia="zh-CN"/>
        </w:rPr>
        <w:t>】</w:t>
      </w:r>
      <w:r>
        <w:rPr>
          <w:rFonts w:hint="eastAsia" w:ascii="宋体" w:hAnsi="宋体"/>
          <w:color w:val="000000"/>
          <w:spacing w:val="6"/>
          <w:sz w:val="24"/>
        </w:rPr>
        <w:t>第ZF10396号公司201</w:t>
      </w:r>
      <w:r>
        <w:rPr>
          <w:rFonts w:ascii="宋体" w:hAnsi="宋体"/>
          <w:color w:val="000000"/>
          <w:spacing w:val="6"/>
          <w:sz w:val="24"/>
        </w:rPr>
        <w:t>9</w:t>
      </w:r>
      <w:r>
        <w:rPr>
          <w:rFonts w:hint="eastAsia" w:ascii="宋体" w:hAnsi="宋体"/>
          <w:color w:val="000000"/>
          <w:spacing w:val="6"/>
          <w:sz w:val="24"/>
        </w:rPr>
        <w:t>年度《审计报告》，公司2019年度归属于上市公司股东的扣除非经常</w:t>
      </w:r>
      <w:r>
        <w:rPr>
          <w:rFonts w:hint="eastAsia" w:ascii="宋体" w:hAnsi="宋体"/>
          <w:color w:val="000000"/>
          <w:spacing w:val="6"/>
          <w:sz w:val="24"/>
          <w:lang w:eastAsia="zh-CN"/>
        </w:rPr>
        <w:t>性</w:t>
      </w:r>
      <w:r>
        <w:rPr>
          <w:rFonts w:hint="eastAsia" w:ascii="宋体" w:hAnsi="宋体"/>
          <w:color w:val="000000"/>
          <w:spacing w:val="6"/>
          <w:sz w:val="24"/>
        </w:rPr>
        <w:t>损益的净利润为-58,65</w:t>
      </w:r>
      <w:r>
        <w:rPr>
          <w:rFonts w:ascii="宋体" w:hAnsi="宋体"/>
          <w:color w:val="000000"/>
          <w:spacing w:val="6"/>
          <w:sz w:val="24"/>
        </w:rPr>
        <w:t>7.</w:t>
      </w:r>
      <w:r>
        <w:rPr>
          <w:rFonts w:hint="eastAsia" w:ascii="宋体" w:hAnsi="宋体"/>
          <w:color w:val="000000"/>
          <w:spacing w:val="6"/>
          <w:sz w:val="24"/>
        </w:rPr>
        <w:t>16万元，较201</w:t>
      </w:r>
      <w:r>
        <w:rPr>
          <w:rFonts w:ascii="宋体" w:hAnsi="宋体"/>
          <w:color w:val="000000"/>
          <w:spacing w:val="6"/>
          <w:sz w:val="24"/>
        </w:rPr>
        <w:t>5</w:t>
      </w:r>
      <w:r>
        <w:rPr>
          <w:rFonts w:hint="eastAsia" w:ascii="宋体" w:hAnsi="宋体"/>
          <w:color w:val="000000"/>
          <w:spacing w:val="6"/>
          <w:sz w:val="24"/>
        </w:rPr>
        <w:t>年净利润增长率未达到《激励计划》中关于首次授予限制性股票第四个解锁期、预留授予限制性股票第三个解锁期规定的公司业绩考核目标</w:t>
      </w:r>
      <w:r>
        <w:rPr>
          <w:rFonts w:hint="eastAsia" w:ascii="宋体" w:hAnsi="宋体" w:cs="宋体"/>
          <w:sz w:val="24"/>
          <w:szCs w:val="24"/>
          <w:highlight w:val="none"/>
        </w:rPr>
        <w:t>，为此公司决定回购注销未达到解锁条件的限制性股票共计</w:t>
      </w:r>
      <w:r>
        <w:rPr>
          <w:rFonts w:hint="eastAsia" w:ascii="宋体" w:hAnsi="宋体" w:cs="宋体"/>
          <w:sz w:val="24"/>
          <w:szCs w:val="24"/>
          <w:highlight w:val="none"/>
          <w:lang w:val="en-US" w:eastAsia="zh-CN"/>
        </w:rPr>
        <w:t>1,892,800</w:t>
      </w:r>
      <w:r>
        <w:rPr>
          <w:rFonts w:hint="eastAsia" w:ascii="宋体" w:hAnsi="宋体" w:cs="宋体"/>
          <w:sz w:val="24"/>
          <w:szCs w:val="24"/>
          <w:highlight w:val="none"/>
        </w:rPr>
        <w:t>股，其中：首次授予限制性股票的第四个解锁期未达到解锁条件的限制性股票</w:t>
      </w:r>
      <w:r>
        <w:rPr>
          <w:rFonts w:hint="eastAsia" w:ascii="宋体" w:hAnsi="宋体" w:cs="宋体"/>
          <w:sz w:val="24"/>
          <w:szCs w:val="24"/>
          <w:highlight w:val="none"/>
          <w:lang w:val="en-US" w:eastAsia="zh-CN"/>
        </w:rPr>
        <w:t>1,820,800</w:t>
      </w:r>
      <w:r>
        <w:rPr>
          <w:rFonts w:hint="eastAsia" w:ascii="宋体" w:hAnsi="宋体" w:cs="宋体"/>
          <w:sz w:val="24"/>
          <w:szCs w:val="24"/>
          <w:highlight w:val="none"/>
        </w:rPr>
        <w:t>股（不含离职人员部分）、</w:t>
      </w:r>
      <w:r>
        <w:rPr>
          <w:rFonts w:hint="eastAsia" w:hAnsi="宋体" w:cs="宋体"/>
          <w:sz w:val="24"/>
          <w:highlight w:val="none"/>
        </w:rPr>
        <w:t>预留部分限制性股票的第三个解锁期未达到解锁条件的限制性股票</w:t>
      </w:r>
      <w:r>
        <w:rPr>
          <w:rFonts w:hint="eastAsia" w:ascii="宋体" w:hAnsi="宋体" w:eastAsia="宋体" w:cs="宋体"/>
          <w:sz w:val="24"/>
          <w:highlight w:val="none"/>
        </w:rPr>
        <w:t>7</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,000</w:t>
      </w:r>
      <w:r>
        <w:rPr>
          <w:rFonts w:hint="eastAsia" w:hAnsi="宋体" w:cs="宋体"/>
          <w:sz w:val="24"/>
          <w:highlight w:val="none"/>
        </w:rPr>
        <w:t>股</w:t>
      </w:r>
      <w:r>
        <w:rPr>
          <w:rFonts w:hint="eastAsia" w:ascii="宋体" w:hAnsi="宋体" w:cs="宋体"/>
          <w:sz w:val="24"/>
          <w:szCs w:val="24"/>
          <w:highlight w:val="none"/>
        </w:rPr>
        <w:t>。</w:t>
      </w:r>
    </w:p>
    <w:p>
      <w:pPr>
        <w:autoSpaceDE w:val="0"/>
        <w:autoSpaceDN w:val="0"/>
        <w:adjustRightIn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 3、鉴于公司2019年度经营业绩未达标，并综合考虑近期市场环境因素和公司未来发展规划，公司认为继续实施该激励计划将难以达到预期的激励目的和效果。</w:t>
      </w:r>
      <w:r>
        <w:rPr>
          <w:rFonts w:ascii="宋体" w:hAnsi="宋体" w:cs="宋体"/>
          <w:sz w:val="24"/>
          <w:szCs w:val="24"/>
          <w:highlight w:val="none"/>
        </w:rPr>
        <w:t>为充分落实对员工的有效激励，结合激励对象意愿和公司实际情况，</w:t>
      </w:r>
      <w:r>
        <w:rPr>
          <w:rFonts w:hint="eastAsia" w:ascii="宋体" w:hAnsi="宋体" w:cs="宋体"/>
          <w:sz w:val="24"/>
          <w:szCs w:val="24"/>
          <w:highlight w:val="none"/>
        </w:rPr>
        <w:t>公司董事会拟终止实施股权激励计划，并回购注销</w:t>
      </w:r>
      <w:r>
        <w:rPr>
          <w:rFonts w:hint="eastAsia" w:ascii="宋体" w:hAnsi="宋体" w:cs="宋体"/>
          <w:sz w:val="24"/>
          <w:szCs w:val="24"/>
          <w:highlight w:val="none"/>
          <w:lang w:val="en-US" w:eastAsia="zh-CN"/>
        </w:rPr>
        <w:t>3</w:t>
      </w:r>
      <w:r>
        <w:rPr>
          <w:rFonts w:hint="eastAsia" w:ascii="宋体" w:hAnsi="宋体" w:cs="宋体"/>
          <w:sz w:val="24"/>
          <w:szCs w:val="24"/>
          <w:highlight w:val="none"/>
        </w:rPr>
        <w:t>名</w:t>
      </w:r>
      <w:r>
        <w:rPr>
          <w:rFonts w:hint="eastAsia" w:ascii="宋体" w:hAnsi="宋体"/>
          <w:sz w:val="24"/>
          <w:highlight w:val="none"/>
        </w:rPr>
        <w:t>预留限制性股票激励对象</w:t>
      </w:r>
      <w:r>
        <w:rPr>
          <w:rFonts w:hint="eastAsia" w:ascii="宋体" w:hAnsi="宋体"/>
          <w:sz w:val="24"/>
          <w:highlight w:val="none"/>
          <w:lang w:eastAsia="zh-CN"/>
        </w:rPr>
        <w:t>在</w:t>
      </w:r>
      <w:r>
        <w:rPr>
          <w:rFonts w:hint="eastAsia" w:ascii="宋体" w:hAnsi="宋体" w:cs="宋体"/>
          <w:sz w:val="24"/>
          <w:szCs w:val="24"/>
          <w:highlight w:val="none"/>
        </w:rPr>
        <w:t>股权激励计划预留部分第四个解锁期未解锁的全部限制性股票共计</w:t>
      </w:r>
      <w:r>
        <w:rPr>
          <w:rFonts w:hint="eastAsia" w:ascii="宋体" w:hAnsi="宋体" w:cs="宋体"/>
          <w:sz w:val="24"/>
          <w:szCs w:val="24"/>
          <w:highlight w:val="none"/>
          <w:lang w:val="en-US" w:eastAsia="zh-CN"/>
        </w:rPr>
        <w:t>96</w:t>
      </w:r>
      <w:r>
        <w:rPr>
          <w:rFonts w:hint="eastAsia" w:ascii="宋体" w:hAnsi="宋体" w:cs="宋体"/>
          <w:sz w:val="24"/>
          <w:szCs w:val="24"/>
          <w:highlight w:val="none"/>
        </w:rPr>
        <w:t>,000股。</w:t>
      </w:r>
    </w:p>
    <w:p>
      <w:pPr>
        <w:autoSpaceDE w:val="0"/>
        <w:autoSpaceDN w:val="0"/>
        <w:adjustRightInd w:val="0"/>
        <w:spacing w:before="156" w:beforeLines="50" w:after="156" w:afterLines="50" w:line="360" w:lineRule="auto"/>
        <w:ind w:left="420" w:leftChars="200"/>
        <w:jc w:val="left"/>
        <w:rPr>
          <w:rFonts w:ascii="宋体" w:hAnsi="宋体" w:cs="宋体"/>
          <w:b/>
          <w:bCs/>
          <w:sz w:val="24"/>
          <w:szCs w:val="24"/>
          <w:highlight w:val="none"/>
        </w:rPr>
      </w:pPr>
      <w:r>
        <w:rPr>
          <w:rFonts w:hint="eastAsia" w:ascii="宋体" w:hAnsi="宋体" w:cs="宋体"/>
          <w:b/>
          <w:bCs/>
          <w:sz w:val="24"/>
          <w:szCs w:val="24"/>
          <w:highlight w:val="none"/>
        </w:rPr>
        <w:t>（二）回购注销的数量</w:t>
      </w:r>
    </w:p>
    <w:p>
      <w:pPr>
        <w:pStyle w:val="28"/>
        <w:ind w:firstLine="480"/>
        <w:rPr>
          <w:rFonts w:ascii="宋体" w:hAnsi="宋体" w:eastAsia="宋体"/>
          <w:color w:val="auto"/>
          <w:sz w:val="24"/>
          <w:highlight w:val="none"/>
        </w:rPr>
      </w:pPr>
      <w:r>
        <w:rPr>
          <w:rFonts w:hint="eastAsia" w:ascii="宋体" w:hAnsi="宋体" w:cs="宋体"/>
          <w:sz w:val="24"/>
          <w:szCs w:val="24"/>
          <w:highlight w:val="none"/>
        </w:rPr>
        <w:t>本次回购注销</w:t>
      </w:r>
      <w:r>
        <w:rPr>
          <w:rFonts w:hint="eastAsia" w:ascii="宋体" w:hAnsi="宋体" w:eastAsia="宋体" w:cs="宋体"/>
          <w:sz w:val="24"/>
          <w:szCs w:val="24"/>
          <w:highlight w:val="none"/>
        </w:rPr>
        <w:t>的限制性</w:t>
      </w:r>
      <w:r>
        <w:rPr>
          <w:rFonts w:hint="eastAsia" w:ascii="宋体" w:hAnsi="宋体" w:cs="宋体"/>
          <w:sz w:val="24"/>
          <w:szCs w:val="24"/>
          <w:highlight w:val="none"/>
        </w:rPr>
        <w:t>股</w:t>
      </w:r>
      <w:r>
        <w:rPr>
          <w:rFonts w:hint="eastAsia" w:ascii="宋体" w:hAnsi="宋体" w:eastAsia="宋体" w:cs="宋体"/>
          <w:sz w:val="24"/>
          <w:szCs w:val="24"/>
          <w:highlight w:val="none"/>
        </w:rPr>
        <w:t>票</w:t>
      </w:r>
      <w:r>
        <w:rPr>
          <w:rFonts w:hint="eastAsia" w:ascii="宋体" w:hAnsi="宋体" w:cs="宋体"/>
          <w:sz w:val="24"/>
          <w:szCs w:val="24"/>
          <w:highlight w:val="none"/>
        </w:rPr>
        <w:t>数量共计为</w:t>
      </w:r>
      <w:r>
        <w:rPr>
          <w:rFonts w:hint="eastAsia" w:ascii="宋体" w:hAnsi="宋体" w:cs="宋体"/>
          <w:kern w:val="0"/>
          <w:sz w:val="24"/>
          <w:szCs w:val="24"/>
          <w:highlight w:val="none"/>
        </w:rPr>
        <w:t>230.28</w:t>
      </w:r>
      <w:r>
        <w:rPr>
          <w:rFonts w:hint="eastAsia" w:ascii="宋体" w:hAnsi="宋体" w:eastAsia="宋体" w:cs="宋体"/>
          <w:sz w:val="24"/>
          <w:szCs w:val="24"/>
          <w:highlight w:val="none"/>
        </w:rPr>
        <w:t>万股，</w:t>
      </w:r>
      <w:r>
        <w:rPr>
          <w:rFonts w:hint="eastAsia" w:ascii="宋体" w:hAnsi="宋体" w:cs="宋体"/>
          <w:sz w:val="24"/>
          <w:szCs w:val="24"/>
          <w:highlight w:val="none"/>
        </w:rPr>
        <w:t>占目前公司股本的</w:t>
      </w:r>
      <w:r>
        <w:rPr>
          <w:rFonts w:hint="eastAsia" w:ascii="宋体" w:hAnsi="宋体" w:eastAsia="宋体" w:cs="宋体"/>
          <w:sz w:val="24"/>
          <w:szCs w:val="24"/>
          <w:highlight w:val="none"/>
        </w:rPr>
        <w:t>0.6669</w:t>
      </w:r>
      <w:r>
        <w:rPr>
          <w:rFonts w:hint="eastAsia" w:ascii="宋体" w:hAnsi="宋体" w:cs="宋体"/>
          <w:sz w:val="24"/>
          <w:szCs w:val="24"/>
          <w:highlight w:val="none"/>
        </w:rPr>
        <w:t>%</w:t>
      </w:r>
      <w:r>
        <w:rPr>
          <w:rFonts w:hint="eastAsia" w:ascii="宋体" w:hAnsi="宋体" w:eastAsia="宋体" w:cs="宋体"/>
          <w:sz w:val="24"/>
          <w:szCs w:val="24"/>
          <w:highlight w:val="none"/>
        </w:rPr>
        <w:t>：</w:t>
      </w:r>
      <w:r>
        <w:rPr>
          <w:rFonts w:hint="eastAsia" w:ascii="宋体" w:hAnsi="宋体" w:cs="宋体"/>
          <w:sz w:val="24"/>
          <w:szCs w:val="24"/>
          <w:highlight w:val="none"/>
        </w:rPr>
        <w:t>其中首次授予</w:t>
      </w:r>
      <w:r>
        <w:rPr>
          <w:rFonts w:hint="eastAsia" w:ascii="宋体" w:hAnsi="宋体" w:eastAsia="宋体" w:cs="宋体"/>
          <w:sz w:val="24"/>
          <w:szCs w:val="24"/>
          <w:highlight w:val="none"/>
        </w:rPr>
        <w:t>限制性股票</w:t>
      </w:r>
      <w:r>
        <w:rPr>
          <w:rFonts w:hint="eastAsia" w:ascii="宋体" w:hAnsi="宋体" w:cs="宋体"/>
          <w:kern w:val="0"/>
          <w:sz w:val="24"/>
          <w:szCs w:val="24"/>
          <w:highlight w:val="none"/>
        </w:rPr>
        <w:t>212.08万</w:t>
      </w:r>
      <w:r>
        <w:rPr>
          <w:rFonts w:hint="eastAsia" w:ascii="宋体" w:hAnsi="宋体" w:cs="宋体"/>
          <w:sz w:val="24"/>
          <w:szCs w:val="24"/>
          <w:highlight w:val="none"/>
        </w:rPr>
        <w:t>股</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rPr>
        <w:t>预留部分限制性股票18.2万股</w:t>
      </w:r>
      <w:r>
        <w:rPr>
          <w:rFonts w:hint="eastAsia" w:ascii="宋体" w:hAnsi="宋体" w:cs="宋体"/>
          <w:sz w:val="24"/>
          <w:szCs w:val="24"/>
          <w:highlight w:val="none"/>
        </w:rPr>
        <w:t>。</w:t>
      </w:r>
    </w:p>
    <w:p>
      <w:pPr>
        <w:autoSpaceDE w:val="0"/>
        <w:autoSpaceDN w:val="0"/>
        <w:adjustRightInd w:val="0"/>
        <w:spacing w:before="156" w:beforeLines="50" w:after="156" w:afterLines="50" w:line="360" w:lineRule="auto"/>
        <w:ind w:left="420" w:leftChars="200"/>
        <w:jc w:val="left"/>
        <w:rPr>
          <w:rFonts w:ascii="宋体" w:hAnsi="宋体" w:cs="宋体"/>
          <w:b/>
          <w:bCs/>
          <w:sz w:val="24"/>
          <w:szCs w:val="24"/>
          <w:highlight w:val="none"/>
        </w:rPr>
      </w:pPr>
      <w:r>
        <w:rPr>
          <w:rFonts w:hint="eastAsia" w:ascii="宋体" w:hAnsi="宋体" w:cs="宋体"/>
          <w:b/>
          <w:bCs/>
          <w:sz w:val="24"/>
          <w:szCs w:val="24"/>
          <w:highlight w:val="none"/>
        </w:rPr>
        <w:t>（三）限制性股票回购注销的价格</w:t>
      </w:r>
    </w:p>
    <w:p>
      <w:pPr>
        <w:pStyle w:val="28"/>
        <w:ind w:firstLine="480"/>
        <w:rPr>
          <w:rFonts w:ascii="宋体" w:hAnsi="宋体" w:eastAsia="宋体"/>
          <w:color w:val="auto"/>
          <w:sz w:val="24"/>
          <w:szCs w:val="24"/>
          <w:highlight w:val="none"/>
          <w:lang w:val="zh-TW"/>
        </w:rPr>
      </w:pPr>
      <w:r>
        <w:rPr>
          <w:rFonts w:hint="eastAsia" w:ascii="宋体" w:hAnsi="宋体" w:cs="宋体"/>
          <w:sz w:val="24"/>
          <w:szCs w:val="24"/>
          <w:highlight w:val="none"/>
        </w:rPr>
        <w:t>根据《激励计划》第十四章</w:t>
      </w:r>
      <w:r>
        <w:rPr>
          <w:rFonts w:hint="eastAsia" w:ascii="宋体" w:hAnsi="宋体" w:eastAsia="宋体" w:cs="宋体"/>
          <w:sz w:val="24"/>
          <w:szCs w:val="24"/>
          <w:highlight w:val="none"/>
          <w:lang w:eastAsia="zh-CN"/>
        </w:rPr>
        <w:t>“</w:t>
      </w:r>
      <w:r>
        <w:rPr>
          <w:rFonts w:hint="eastAsia" w:ascii="宋体" w:hAnsi="宋体" w:cs="宋体"/>
          <w:sz w:val="24"/>
          <w:szCs w:val="24"/>
          <w:highlight w:val="none"/>
        </w:rPr>
        <w:t>限制性股票回购注销原则</w:t>
      </w:r>
      <w:r>
        <w:rPr>
          <w:rFonts w:hint="eastAsia" w:ascii="宋体" w:hAnsi="宋体" w:eastAsia="宋体" w:cs="宋体"/>
          <w:sz w:val="24"/>
          <w:szCs w:val="24"/>
          <w:highlight w:val="none"/>
          <w:lang w:eastAsia="zh-CN"/>
        </w:rPr>
        <w:t>”</w:t>
      </w:r>
      <w:r>
        <w:rPr>
          <w:rFonts w:hint="eastAsia" w:ascii="宋体" w:hAnsi="宋体" w:cs="宋体"/>
          <w:sz w:val="24"/>
          <w:szCs w:val="24"/>
          <w:highlight w:val="none"/>
        </w:rPr>
        <w:t>相关规定，</w:t>
      </w:r>
      <w:r>
        <w:rPr>
          <w:rFonts w:hint="eastAsia" w:ascii="宋体" w:hAnsi="宋体" w:eastAsia="宋体"/>
          <w:color w:val="auto"/>
          <w:sz w:val="24"/>
          <w:szCs w:val="24"/>
          <w:highlight w:val="none"/>
          <w:lang w:val="zh-TW" w:eastAsia="zh-TW"/>
        </w:rPr>
        <w:t>公司按本激励计划规定回购注销限制性股票的，回购价格为授予价格</w:t>
      </w:r>
      <w:r>
        <w:rPr>
          <w:rFonts w:hint="eastAsia" w:ascii="宋体" w:hAnsi="宋体" w:eastAsia="宋体"/>
          <w:color w:val="auto"/>
          <w:sz w:val="24"/>
          <w:szCs w:val="24"/>
          <w:highlight w:val="none"/>
          <w:lang w:val="zh-TW"/>
        </w:rPr>
        <w:t>。</w:t>
      </w:r>
      <w:r>
        <w:rPr>
          <w:rFonts w:hint="eastAsia" w:ascii="宋体" w:hAnsi="宋体" w:eastAsia="宋体"/>
          <w:color w:val="auto"/>
          <w:sz w:val="24"/>
          <w:szCs w:val="24"/>
          <w:highlight w:val="none"/>
          <w:lang w:val="zh-TW" w:eastAsia="zh-TW"/>
        </w:rPr>
        <w:t>激励对象获授的限制性股票完成股份登记后，若公司发生资本公积转增股本、派送股票红利、股份拆细、缩股、配股、派息等影响公司股本总量或公司股票价格事项的，公司应对尚未解锁的限制性股票的回购价格做相应的调整</w:t>
      </w:r>
      <w:r>
        <w:rPr>
          <w:rFonts w:hint="eastAsia" w:ascii="宋体" w:hAnsi="宋体" w:eastAsia="宋体"/>
          <w:color w:val="auto"/>
          <w:sz w:val="24"/>
          <w:szCs w:val="24"/>
          <w:highlight w:val="none"/>
          <w:lang w:val="zh-TW"/>
        </w:rPr>
        <w:t>。</w:t>
      </w:r>
    </w:p>
    <w:p>
      <w:pPr>
        <w:pStyle w:val="28"/>
        <w:ind w:firstLine="480"/>
        <w:rPr>
          <w:rFonts w:ascii="宋体" w:hAnsi="宋体" w:cs="宋体"/>
          <w:sz w:val="24"/>
          <w:szCs w:val="24"/>
          <w:highlight w:val="none"/>
        </w:rPr>
      </w:pPr>
      <w:r>
        <w:rPr>
          <w:rFonts w:hint="eastAsia" w:ascii="宋体" w:hAnsi="宋体" w:cs="宋体" w:eastAsiaTheme="minorEastAsia"/>
          <w:sz w:val="24"/>
          <w:szCs w:val="24"/>
          <w:highlight w:val="none"/>
        </w:rPr>
        <w:t>公司</w:t>
      </w:r>
      <w:r>
        <w:rPr>
          <w:rFonts w:ascii="宋体" w:hAnsi="宋体" w:cs="宋体"/>
          <w:sz w:val="24"/>
          <w:szCs w:val="24"/>
          <w:highlight w:val="none"/>
        </w:rPr>
        <w:t>2016年年度利润分配方案为：以截至公司201</w:t>
      </w:r>
      <w:r>
        <w:rPr>
          <w:rFonts w:hint="eastAsia" w:ascii="宋体" w:hAnsi="宋体" w:eastAsia="宋体" w:cs="宋体"/>
          <w:sz w:val="24"/>
          <w:szCs w:val="24"/>
          <w:highlight w:val="none"/>
        </w:rPr>
        <w:t>7</w:t>
      </w:r>
      <w:r>
        <w:rPr>
          <w:rFonts w:ascii="宋体" w:hAnsi="宋体" w:cs="宋体"/>
          <w:sz w:val="24"/>
          <w:szCs w:val="24"/>
          <w:highlight w:val="none"/>
        </w:rPr>
        <w:t>年</w:t>
      </w:r>
      <w:r>
        <w:rPr>
          <w:rFonts w:hint="eastAsia" w:ascii="宋体" w:hAnsi="宋体" w:eastAsia="宋体" w:cs="宋体"/>
          <w:sz w:val="24"/>
          <w:szCs w:val="24"/>
          <w:highlight w:val="none"/>
        </w:rPr>
        <w:t>6</w:t>
      </w:r>
      <w:r>
        <w:rPr>
          <w:rFonts w:ascii="宋体" w:hAnsi="宋体" w:cs="宋体"/>
          <w:sz w:val="24"/>
          <w:szCs w:val="24"/>
          <w:highlight w:val="none"/>
        </w:rPr>
        <w:t>月</w:t>
      </w:r>
      <w:r>
        <w:rPr>
          <w:rFonts w:hint="eastAsia" w:ascii="宋体" w:hAnsi="宋体" w:eastAsia="宋体" w:cs="宋体"/>
          <w:sz w:val="24"/>
          <w:szCs w:val="24"/>
          <w:highlight w:val="none"/>
        </w:rPr>
        <w:t>19</w:t>
      </w:r>
      <w:r>
        <w:rPr>
          <w:rFonts w:ascii="宋体" w:hAnsi="宋体" w:cs="宋体"/>
          <w:sz w:val="24"/>
          <w:szCs w:val="24"/>
          <w:highlight w:val="none"/>
        </w:rPr>
        <w:t>日</w:t>
      </w:r>
      <w:r>
        <w:rPr>
          <w:rFonts w:hint="eastAsia" w:ascii="宋体" w:hAnsi="宋体" w:eastAsia="宋体" w:cs="宋体"/>
          <w:sz w:val="24"/>
          <w:szCs w:val="24"/>
          <w:highlight w:val="none"/>
        </w:rPr>
        <w:t>（股权登记日）的</w:t>
      </w:r>
      <w:r>
        <w:rPr>
          <w:rFonts w:ascii="宋体" w:hAnsi="宋体" w:cs="宋体"/>
          <w:sz w:val="24"/>
          <w:szCs w:val="24"/>
          <w:highlight w:val="none"/>
        </w:rPr>
        <w:t>总股本</w:t>
      </w:r>
      <w:r>
        <w:rPr>
          <w:rFonts w:hint="eastAsia" w:ascii="宋体" w:hAnsi="宋体"/>
          <w:kern w:val="0"/>
          <w:sz w:val="24"/>
          <w:highlight w:val="none"/>
        </w:rPr>
        <w:t>348,015,000</w:t>
      </w:r>
      <w:r>
        <w:rPr>
          <w:rFonts w:ascii="宋体" w:hAnsi="宋体" w:cs="宋体"/>
          <w:sz w:val="24"/>
          <w:szCs w:val="24"/>
          <w:highlight w:val="none"/>
        </w:rPr>
        <w:t>股为基数向全体股东每10股派发现金股利0.</w:t>
      </w:r>
      <w:r>
        <w:rPr>
          <w:rFonts w:hint="eastAsia" w:ascii="宋体" w:hAnsi="宋体" w:cs="宋体" w:eastAsiaTheme="minorEastAsia"/>
          <w:sz w:val="24"/>
          <w:szCs w:val="24"/>
          <w:highlight w:val="none"/>
        </w:rPr>
        <w:t>599331</w:t>
      </w:r>
      <w:r>
        <w:rPr>
          <w:rFonts w:ascii="宋体" w:hAnsi="宋体" w:cs="宋体"/>
          <w:sz w:val="24"/>
          <w:szCs w:val="24"/>
          <w:highlight w:val="none"/>
        </w:rPr>
        <w:t>元人民币（含税），该分配方案已于2017年</w:t>
      </w:r>
      <w:r>
        <w:rPr>
          <w:rFonts w:hint="eastAsia" w:ascii="宋体" w:hAnsi="宋体" w:cs="宋体" w:eastAsiaTheme="minorEastAsia"/>
          <w:sz w:val="24"/>
          <w:szCs w:val="24"/>
          <w:highlight w:val="none"/>
        </w:rPr>
        <w:t>6月</w:t>
      </w:r>
      <w:r>
        <w:rPr>
          <w:rFonts w:ascii="宋体" w:hAnsi="宋体" w:cs="宋体"/>
          <w:sz w:val="24"/>
          <w:szCs w:val="24"/>
          <w:highlight w:val="none"/>
        </w:rPr>
        <w:t>实施完毕。</w:t>
      </w:r>
    </w:p>
    <w:p>
      <w:pPr>
        <w:pStyle w:val="28"/>
        <w:ind w:firstLine="480"/>
        <w:rPr>
          <w:rFonts w:ascii="宋体" w:hAnsi="宋体" w:cs="宋体" w:eastAsiaTheme="minorEastAsia"/>
          <w:sz w:val="24"/>
          <w:szCs w:val="24"/>
          <w:highlight w:val="none"/>
        </w:rPr>
      </w:pPr>
      <w:r>
        <w:rPr>
          <w:rFonts w:hint="eastAsia" w:ascii="宋体" w:hAnsi="宋体" w:cs="宋体" w:eastAsiaTheme="minorEastAsia"/>
          <w:sz w:val="24"/>
          <w:szCs w:val="24"/>
          <w:highlight w:val="none"/>
        </w:rPr>
        <w:t>公司</w:t>
      </w:r>
      <w:r>
        <w:rPr>
          <w:rFonts w:ascii="宋体" w:hAnsi="宋体" w:cs="宋体"/>
          <w:sz w:val="24"/>
          <w:szCs w:val="24"/>
          <w:highlight w:val="none"/>
        </w:rPr>
        <w:t>2017年年度利润分配方案为：以截至公司201</w:t>
      </w:r>
      <w:r>
        <w:rPr>
          <w:rFonts w:hint="eastAsia" w:ascii="宋体" w:hAnsi="宋体" w:eastAsia="宋体" w:cs="宋体"/>
          <w:sz w:val="24"/>
          <w:szCs w:val="24"/>
          <w:highlight w:val="none"/>
        </w:rPr>
        <w:t>8</w:t>
      </w:r>
      <w:r>
        <w:rPr>
          <w:rFonts w:ascii="宋体" w:hAnsi="宋体" w:cs="宋体"/>
          <w:sz w:val="24"/>
          <w:szCs w:val="24"/>
          <w:highlight w:val="none"/>
        </w:rPr>
        <w:t>年</w:t>
      </w:r>
      <w:r>
        <w:rPr>
          <w:rFonts w:hint="eastAsia" w:ascii="宋体" w:hAnsi="宋体" w:eastAsia="宋体" w:cs="宋体"/>
          <w:sz w:val="24"/>
          <w:szCs w:val="24"/>
          <w:highlight w:val="none"/>
        </w:rPr>
        <w:t>6</w:t>
      </w:r>
      <w:r>
        <w:rPr>
          <w:rFonts w:ascii="宋体" w:hAnsi="宋体" w:cs="宋体"/>
          <w:sz w:val="24"/>
          <w:szCs w:val="24"/>
          <w:highlight w:val="none"/>
        </w:rPr>
        <w:t>月</w:t>
      </w:r>
      <w:r>
        <w:rPr>
          <w:rFonts w:hint="eastAsia" w:ascii="宋体" w:hAnsi="宋体" w:eastAsia="宋体" w:cs="宋体"/>
          <w:sz w:val="24"/>
          <w:szCs w:val="24"/>
          <w:highlight w:val="none"/>
        </w:rPr>
        <w:t>28</w:t>
      </w:r>
      <w:r>
        <w:rPr>
          <w:rFonts w:ascii="宋体" w:hAnsi="宋体" w:cs="宋体"/>
          <w:sz w:val="24"/>
          <w:szCs w:val="24"/>
          <w:highlight w:val="none"/>
        </w:rPr>
        <w:t>日</w:t>
      </w:r>
      <w:r>
        <w:rPr>
          <w:rFonts w:hint="eastAsia" w:ascii="宋体" w:hAnsi="宋体" w:eastAsia="宋体" w:cs="宋体"/>
          <w:sz w:val="24"/>
          <w:szCs w:val="24"/>
          <w:highlight w:val="none"/>
        </w:rPr>
        <w:t>（股权登记日）的</w:t>
      </w:r>
      <w:r>
        <w:rPr>
          <w:rFonts w:ascii="宋体" w:hAnsi="宋体" w:cs="宋体"/>
          <w:sz w:val="24"/>
          <w:szCs w:val="24"/>
          <w:highlight w:val="none"/>
        </w:rPr>
        <w:t>总股本346,960,900股为基数，向全体股东每10股派发现金股利人民币1.25元（含税），</w:t>
      </w:r>
      <w:r>
        <w:rPr>
          <w:rFonts w:hint="eastAsia" w:ascii="宋体" w:hAnsi="宋体" w:cs="宋体" w:eastAsiaTheme="minorEastAsia"/>
          <w:sz w:val="24"/>
          <w:szCs w:val="24"/>
          <w:highlight w:val="none"/>
        </w:rPr>
        <w:t>该分配方案已于2018年6月实施完毕。</w:t>
      </w:r>
    </w:p>
    <w:p>
      <w:pPr>
        <w:pStyle w:val="28"/>
        <w:ind w:firstLine="480"/>
        <w:rPr>
          <w:rFonts w:ascii="宋体" w:hAnsi="宋体" w:cs="宋体" w:eastAsiaTheme="minorEastAsia"/>
          <w:sz w:val="24"/>
          <w:szCs w:val="24"/>
          <w:highlight w:val="none"/>
        </w:rPr>
      </w:pPr>
      <w:r>
        <w:rPr>
          <w:rFonts w:hint="eastAsia" w:ascii="宋体" w:hAnsi="宋体" w:cs="宋体" w:eastAsiaTheme="minorEastAsia"/>
          <w:sz w:val="24"/>
          <w:szCs w:val="24"/>
          <w:highlight w:val="none"/>
        </w:rPr>
        <w:t>公司</w:t>
      </w:r>
      <w:r>
        <w:rPr>
          <w:rFonts w:ascii="宋体" w:hAnsi="宋体" w:cs="宋体"/>
          <w:sz w:val="24"/>
          <w:szCs w:val="24"/>
          <w:highlight w:val="none"/>
        </w:rPr>
        <w:t>201</w:t>
      </w:r>
      <w:r>
        <w:rPr>
          <w:rFonts w:hint="eastAsia" w:ascii="宋体" w:hAnsi="宋体" w:eastAsia="宋体" w:cs="宋体"/>
          <w:sz w:val="24"/>
          <w:szCs w:val="24"/>
          <w:highlight w:val="none"/>
        </w:rPr>
        <w:t>8</w:t>
      </w:r>
      <w:r>
        <w:rPr>
          <w:rFonts w:ascii="宋体" w:hAnsi="宋体" w:cs="宋体"/>
          <w:sz w:val="24"/>
          <w:szCs w:val="24"/>
          <w:highlight w:val="none"/>
        </w:rPr>
        <w:t>年年度利润分配方案为：以截至公司201</w:t>
      </w:r>
      <w:r>
        <w:rPr>
          <w:rFonts w:hint="eastAsia" w:ascii="宋体" w:hAnsi="宋体" w:eastAsia="宋体" w:cs="宋体"/>
          <w:sz w:val="24"/>
          <w:szCs w:val="24"/>
          <w:highlight w:val="none"/>
        </w:rPr>
        <w:t>9</w:t>
      </w:r>
      <w:r>
        <w:rPr>
          <w:rFonts w:ascii="宋体" w:hAnsi="宋体" w:cs="宋体"/>
          <w:sz w:val="24"/>
          <w:szCs w:val="24"/>
          <w:highlight w:val="none"/>
        </w:rPr>
        <w:t>年</w:t>
      </w:r>
      <w:r>
        <w:rPr>
          <w:rFonts w:hint="eastAsia" w:ascii="宋体" w:hAnsi="宋体" w:eastAsia="宋体" w:cs="宋体"/>
          <w:sz w:val="24"/>
          <w:szCs w:val="24"/>
          <w:highlight w:val="none"/>
        </w:rPr>
        <w:t>6</w:t>
      </w:r>
      <w:r>
        <w:rPr>
          <w:rFonts w:ascii="宋体" w:hAnsi="宋体" w:cs="宋体"/>
          <w:sz w:val="24"/>
          <w:szCs w:val="24"/>
          <w:highlight w:val="none"/>
        </w:rPr>
        <w:t>月</w:t>
      </w:r>
      <w:r>
        <w:rPr>
          <w:rFonts w:hint="eastAsia" w:ascii="宋体" w:hAnsi="宋体" w:eastAsia="宋体" w:cs="宋体"/>
          <w:sz w:val="24"/>
          <w:szCs w:val="24"/>
          <w:highlight w:val="none"/>
        </w:rPr>
        <w:t>5</w:t>
      </w:r>
      <w:r>
        <w:rPr>
          <w:rFonts w:ascii="宋体" w:hAnsi="宋体" w:cs="宋体"/>
          <w:sz w:val="24"/>
          <w:szCs w:val="24"/>
          <w:highlight w:val="none"/>
        </w:rPr>
        <w:t>日</w:t>
      </w:r>
      <w:r>
        <w:rPr>
          <w:rFonts w:hint="eastAsia" w:ascii="宋体" w:hAnsi="宋体" w:eastAsia="宋体" w:cs="宋体"/>
          <w:sz w:val="24"/>
          <w:szCs w:val="24"/>
          <w:highlight w:val="none"/>
        </w:rPr>
        <w:t>（股权登记日）</w:t>
      </w:r>
      <w:r>
        <w:rPr>
          <w:rFonts w:ascii="宋体" w:hAnsi="宋体" w:cs="宋体"/>
          <w:sz w:val="24"/>
          <w:szCs w:val="24"/>
          <w:highlight w:val="none"/>
        </w:rPr>
        <w:t>的总股本346,</w:t>
      </w:r>
      <w:r>
        <w:rPr>
          <w:rFonts w:hint="eastAsia" w:ascii="宋体" w:hAnsi="宋体" w:eastAsia="宋体" w:cs="宋体"/>
          <w:sz w:val="24"/>
          <w:szCs w:val="24"/>
          <w:highlight w:val="none"/>
        </w:rPr>
        <w:t>138</w:t>
      </w:r>
      <w:r>
        <w:rPr>
          <w:rFonts w:ascii="宋体" w:hAnsi="宋体" w:cs="宋体"/>
          <w:sz w:val="24"/>
          <w:szCs w:val="24"/>
          <w:highlight w:val="none"/>
        </w:rPr>
        <w:t>,</w:t>
      </w:r>
      <w:r>
        <w:rPr>
          <w:rFonts w:hint="eastAsia" w:ascii="宋体" w:hAnsi="宋体" w:eastAsia="宋体" w:cs="宋体"/>
          <w:sz w:val="24"/>
          <w:szCs w:val="24"/>
          <w:highlight w:val="none"/>
        </w:rPr>
        <w:t>3</w:t>
      </w:r>
      <w:r>
        <w:rPr>
          <w:rFonts w:ascii="宋体" w:hAnsi="宋体" w:cs="宋体"/>
          <w:sz w:val="24"/>
          <w:szCs w:val="24"/>
          <w:highlight w:val="none"/>
        </w:rPr>
        <w:t>00股为基数，向全体股东每10股派发现金股利人民币</w:t>
      </w:r>
      <w:r>
        <w:rPr>
          <w:rFonts w:hint="eastAsia" w:ascii="宋体" w:hAnsi="宋体"/>
          <w:sz w:val="24"/>
          <w:highlight w:val="none"/>
        </w:rPr>
        <w:t>1.451085</w:t>
      </w:r>
      <w:r>
        <w:rPr>
          <w:rFonts w:ascii="宋体" w:hAnsi="宋体" w:cs="宋体"/>
          <w:sz w:val="24"/>
          <w:szCs w:val="24"/>
          <w:highlight w:val="none"/>
        </w:rPr>
        <w:t>元（含税），</w:t>
      </w:r>
      <w:r>
        <w:rPr>
          <w:rFonts w:hint="eastAsia" w:ascii="宋体" w:hAnsi="宋体" w:cs="宋体" w:eastAsiaTheme="minorEastAsia"/>
          <w:sz w:val="24"/>
          <w:szCs w:val="24"/>
          <w:highlight w:val="none"/>
        </w:rPr>
        <w:t>该分配方案已于2019年6月实施完毕。</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由派息引起的回购价格调整方法为：P＝</w:t>
      </w:r>
      <w:r>
        <w:rPr>
          <w:rFonts w:hint="eastAsia" w:ascii="宋体" w:hAnsi="宋体"/>
          <w:sz w:val="24"/>
          <w:szCs w:val="24"/>
          <w:highlight w:val="none"/>
        </w:rPr>
        <w:t>P</w:t>
      </w:r>
      <w:r>
        <w:rPr>
          <w:rFonts w:ascii="宋体" w:hAnsi="宋体"/>
          <w:sz w:val="24"/>
          <w:szCs w:val="24"/>
          <w:highlight w:val="none"/>
          <w:vertAlign w:val="subscript"/>
        </w:rPr>
        <w:t>0</w:t>
      </w:r>
      <w:r>
        <w:rPr>
          <w:rFonts w:ascii="宋体" w:hAnsi="宋体" w:cs="宋体"/>
          <w:sz w:val="24"/>
          <w:szCs w:val="24"/>
          <w:highlight w:val="none"/>
        </w:rPr>
        <w:t>-V</w:t>
      </w:r>
      <w:r>
        <w:rPr>
          <w:rFonts w:hint="eastAsia" w:ascii="宋体" w:hAnsi="宋体" w:cs="宋体"/>
          <w:sz w:val="24"/>
          <w:szCs w:val="24"/>
          <w:highlight w:val="none"/>
        </w:rPr>
        <w:t>（其中：</w:t>
      </w:r>
      <w:r>
        <w:rPr>
          <w:rFonts w:hint="eastAsia" w:ascii="宋体" w:hAnsi="宋体"/>
          <w:sz w:val="24"/>
          <w:szCs w:val="24"/>
          <w:highlight w:val="none"/>
        </w:rPr>
        <w:t>P</w:t>
      </w:r>
      <w:r>
        <w:rPr>
          <w:rFonts w:ascii="宋体" w:hAnsi="宋体"/>
          <w:sz w:val="24"/>
          <w:szCs w:val="24"/>
          <w:highlight w:val="none"/>
          <w:vertAlign w:val="subscript"/>
        </w:rPr>
        <w:t>0</w:t>
      </w:r>
      <w:r>
        <w:rPr>
          <w:rFonts w:hint="eastAsia" w:ascii="宋体" w:hAnsi="宋体" w:cs="宋体"/>
          <w:sz w:val="24"/>
          <w:szCs w:val="24"/>
          <w:highlight w:val="none"/>
        </w:rPr>
        <w:t>为调整前的授予价格；</w:t>
      </w:r>
      <w:r>
        <w:rPr>
          <w:rFonts w:ascii="宋体" w:hAnsi="宋体" w:cs="宋体"/>
          <w:sz w:val="24"/>
          <w:szCs w:val="24"/>
          <w:highlight w:val="none"/>
        </w:rPr>
        <w:t>V为每股的派息额；P为调整后的授予价格。经派息调整后，P仍须大于1。</w:t>
      </w:r>
      <w:r>
        <w:rPr>
          <w:rFonts w:hint="eastAsia" w:ascii="宋体" w:hAnsi="宋体" w:cs="宋体"/>
          <w:sz w:val="24"/>
          <w:szCs w:val="24"/>
          <w:highlight w:val="none"/>
        </w:rPr>
        <w:t>）</w:t>
      </w:r>
    </w:p>
    <w:p>
      <w:pPr>
        <w:autoSpaceDE w:val="0"/>
        <w:autoSpaceDN w:val="0"/>
        <w:adjustRightInd w:val="0"/>
        <w:spacing w:line="360" w:lineRule="auto"/>
        <w:ind w:left="420" w:leftChars="200"/>
        <w:jc w:val="left"/>
        <w:rPr>
          <w:rFonts w:ascii="宋体" w:hAnsi="宋体" w:cs="宋体"/>
          <w:sz w:val="24"/>
          <w:szCs w:val="24"/>
          <w:highlight w:val="none"/>
        </w:rPr>
      </w:pPr>
      <w:r>
        <w:rPr>
          <w:rFonts w:hint="eastAsia" w:ascii="宋体" w:hAnsi="宋体" w:cs="宋体"/>
          <w:sz w:val="24"/>
          <w:szCs w:val="24"/>
          <w:highlight w:val="none"/>
        </w:rPr>
        <w:t>调整后首次授予的限制性股票的回购价格为：</w:t>
      </w:r>
      <w:r>
        <w:rPr>
          <w:rFonts w:ascii="宋体" w:hAnsi="宋体" w:cs="宋体"/>
          <w:sz w:val="24"/>
          <w:szCs w:val="24"/>
          <w:highlight w:val="none"/>
        </w:rPr>
        <w:t>P=13.37-0.0599</w:t>
      </w:r>
      <w:r>
        <w:rPr>
          <w:rFonts w:hint="eastAsia" w:ascii="宋体" w:hAnsi="宋体" w:cs="宋体"/>
          <w:sz w:val="24"/>
          <w:szCs w:val="24"/>
          <w:highlight w:val="none"/>
        </w:rPr>
        <w:t>331-0.125-0.1451085</w:t>
      </w:r>
      <w:r>
        <w:rPr>
          <w:rFonts w:ascii="宋体" w:hAnsi="宋体" w:cs="宋体"/>
          <w:sz w:val="24"/>
          <w:szCs w:val="24"/>
          <w:highlight w:val="none"/>
        </w:rPr>
        <w:t>=13.</w:t>
      </w:r>
      <w:r>
        <w:rPr>
          <w:rFonts w:hint="eastAsia" w:ascii="宋体" w:hAnsi="宋体" w:cs="宋体"/>
          <w:sz w:val="24"/>
          <w:szCs w:val="24"/>
          <w:highlight w:val="none"/>
        </w:rPr>
        <w:t>04元</w:t>
      </w:r>
      <w:r>
        <w:rPr>
          <w:rFonts w:ascii="宋体" w:hAnsi="宋体" w:cs="宋体"/>
          <w:sz w:val="24"/>
          <w:szCs w:val="24"/>
          <w:highlight w:val="none"/>
        </w:rPr>
        <w:t>/股。</w:t>
      </w:r>
    </w:p>
    <w:p>
      <w:pPr>
        <w:autoSpaceDE w:val="0"/>
        <w:autoSpaceDN w:val="0"/>
        <w:adjustRightInd w:val="0"/>
        <w:spacing w:line="360" w:lineRule="auto"/>
        <w:ind w:left="420" w:leftChars="200"/>
        <w:jc w:val="left"/>
        <w:rPr>
          <w:rFonts w:ascii="宋体" w:hAnsi="宋体" w:cs="宋体"/>
          <w:sz w:val="24"/>
          <w:szCs w:val="24"/>
          <w:highlight w:val="none"/>
        </w:rPr>
      </w:pPr>
      <w:r>
        <w:rPr>
          <w:rFonts w:hint="eastAsia" w:ascii="宋体" w:hAnsi="宋体" w:cs="宋体"/>
          <w:sz w:val="24"/>
          <w:szCs w:val="24"/>
          <w:highlight w:val="none"/>
        </w:rPr>
        <w:t>调整后预留部分授予的限制性股票的回购价格为：</w:t>
      </w:r>
    </w:p>
    <w:p>
      <w:pPr>
        <w:autoSpaceDE w:val="0"/>
        <w:autoSpaceDN w:val="0"/>
        <w:adjustRightInd w:val="0"/>
        <w:spacing w:line="360" w:lineRule="auto"/>
        <w:ind w:left="420" w:leftChars="200"/>
        <w:jc w:val="left"/>
        <w:rPr>
          <w:rFonts w:ascii="宋体" w:hAnsi="宋体" w:cs="宋体"/>
          <w:sz w:val="24"/>
          <w:szCs w:val="24"/>
          <w:highlight w:val="none"/>
        </w:rPr>
      </w:pPr>
      <w:r>
        <w:rPr>
          <w:rFonts w:hint="eastAsia" w:ascii="宋体" w:hAnsi="宋体" w:cs="宋体"/>
          <w:sz w:val="24"/>
          <w:szCs w:val="24"/>
          <w:highlight w:val="none"/>
        </w:rPr>
        <w:t>P=13.76</w:t>
      </w:r>
      <w:r>
        <w:rPr>
          <w:rFonts w:ascii="宋体" w:hAnsi="宋体" w:cs="宋体"/>
          <w:sz w:val="24"/>
          <w:szCs w:val="24"/>
          <w:highlight w:val="none"/>
        </w:rPr>
        <w:t>-0.0599</w:t>
      </w:r>
      <w:r>
        <w:rPr>
          <w:rFonts w:hint="eastAsia" w:ascii="宋体" w:hAnsi="宋体" w:cs="宋体"/>
          <w:sz w:val="24"/>
          <w:szCs w:val="24"/>
          <w:highlight w:val="none"/>
        </w:rPr>
        <w:t>331-0.125-0.1451085=13.43元/股</w:t>
      </w:r>
      <w:r>
        <w:rPr>
          <w:rFonts w:ascii="宋体" w:hAnsi="宋体" w:cs="宋体"/>
          <w:sz w:val="24"/>
          <w:szCs w:val="24"/>
          <w:highlight w:val="none"/>
        </w:rPr>
        <w:t>。</w:t>
      </w:r>
    </w:p>
    <w:p>
      <w:pPr>
        <w:autoSpaceDE w:val="0"/>
        <w:autoSpaceDN w:val="0"/>
        <w:adjustRightInd w:val="0"/>
        <w:spacing w:before="156" w:beforeLines="50" w:after="156" w:afterLines="50" w:line="360" w:lineRule="auto"/>
        <w:ind w:left="420" w:leftChars="200"/>
        <w:jc w:val="left"/>
        <w:rPr>
          <w:rFonts w:ascii="宋体" w:hAnsi="宋体" w:cs="宋体"/>
          <w:b/>
          <w:bCs/>
          <w:sz w:val="24"/>
          <w:szCs w:val="24"/>
          <w:highlight w:val="none"/>
        </w:rPr>
      </w:pPr>
      <w:r>
        <w:rPr>
          <w:rFonts w:hint="eastAsia" w:ascii="宋体" w:hAnsi="宋体" w:cs="宋体"/>
          <w:b/>
          <w:bCs/>
          <w:sz w:val="24"/>
          <w:szCs w:val="24"/>
          <w:highlight w:val="none"/>
        </w:rPr>
        <w:t>（四）资金来源</w:t>
      </w:r>
    </w:p>
    <w:p>
      <w:pPr>
        <w:autoSpaceDE w:val="0"/>
        <w:autoSpaceDN w:val="0"/>
        <w:adjustRightInd w:val="0"/>
        <w:spacing w:line="360" w:lineRule="auto"/>
        <w:ind w:firstLine="360" w:firstLineChars="150"/>
        <w:jc w:val="left"/>
        <w:rPr>
          <w:rFonts w:ascii="宋体" w:hAnsi="宋体" w:cs="宋体"/>
          <w:sz w:val="24"/>
          <w:szCs w:val="24"/>
          <w:highlight w:val="none"/>
        </w:rPr>
      </w:pPr>
      <w:r>
        <w:rPr>
          <w:rFonts w:hint="eastAsia" w:ascii="宋体" w:hAnsi="宋体" w:cs="宋体"/>
          <w:sz w:val="24"/>
          <w:szCs w:val="24"/>
          <w:highlight w:val="none"/>
        </w:rPr>
        <w:t>本次回购资金来源为公司自有资金，回购总金额为30,099,492元，以实际支付日的最终数据为准。</w:t>
      </w:r>
    </w:p>
    <w:p>
      <w:pPr>
        <w:autoSpaceDE w:val="0"/>
        <w:autoSpaceDN w:val="0"/>
        <w:adjustRightInd w:val="0"/>
        <w:spacing w:line="360" w:lineRule="auto"/>
        <w:ind w:firstLine="360" w:firstLineChars="150"/>
        <w:jc w:val="left"/>
        <w:rPr>
          <w:rFonts w:ascii="宋体" w:hAnsi="宋体" w:cs="宋体"/>
          <w:sz w:val="24"/>
          <w:szCs w:val="24"/>
          <w:highlight w:val="none"/>
        </w:rPr>
      </w:pPr>
      <w:r>
        <w:rPr>
          <w:rFonts w:hint="eastAsia" w:ascii="宋体" w:hAnsi="宋体" w:cs="宋体"/>
          <w:sz w:val="24"/>
          <w:szCs w:val="24"/>
          <w:highlight w:val="none"/>
        </w:rPr>
        <w:t>本次回购注销完成后，公司股份数将由</w:t>
      </w:r>
      <w:r>
        <w:rPr>
          <w:rFonts w:ascii="宋体" w:hAnsi="宋体" w:cs="宋体"/>
          <w:sz w:val="24"/>
          <w:szCs w:val="24"/>
          <w:highlight w:val="none"/>
        </w:rPr>
        <w:t>34,</w:t>
      </w:r>
      <w:r>
        <w:rPr>
          <w:rFonts w:hint="eastAsia" w:ascii="宋体" w:hAnsi="宋体" w:cs="宋体"/>
          <w:sz w:val="24"/>
          <w:szCs w:val="24"/>
          <w:highlight w:val="none"/>
        </w:rPr>
        <w:t>530</w:t>
      </w:r>
      <w:r>
        <w:rPr>
          <w:rFonts w:ascii="宋体" w:hAnsi="宋体" w:cs="宋体"/>
          <w:sz w:val="24"/>
          <w:szCs w:val="24"/>
          <w:highlight w:val="none"/>
        </w:rPr>
        <w:t>.</w:t>
      </w:r>
      <w:r>
        <w:rPr>
          <w:rFonts w:hint="eastAsia" w:ascii="宋体" w:hAnsi="宋体" w:cs="宋体"/>
          <w:sz w:val="24"/>
          <w:szCs w:val="24"/>
          <w:highlight w:val="none"/>
        </w:rPr>
        <w:t>262万股变更为34,299.982万股。本次回购注销尚需经公司股东大会审议通过。</w:t>
      </w:r>
    </w:p>
    <w:p>
      <w:pPr>
        <w:pStyle w:val="10"/>
        <w:spacing w:line="360" w:lineRule="auto"/>
        <w:ind w:firstLine="482" w:firstLineChars="200"/>
        <w:jc w:val="left"/>
        <w:rPr>
          <w:rFonts w:ascii="Times New Roman" w:hAnsi="Times New Roman"/>
          <w:color w:val="000000"/>
          <w:sz w:val="24"/>
          <w:szCs w:val="24"/>
          <w:highlight w:val="none"/>
        </w:rPr>
      </w:pPr>
      <w:r>
        <w:rPr>
          <w:rFonts w:hint="eastAsia" w:ascii="Times New Roman" w:hAnsi="Times New Roman"/>
          <w:color w:val="000000"/>
          <w:sz w:val="24"/>
          <w:szCs w:val="24"/>
          <w:highlight w:val="none"/>
        </w:rPr>
        <w:t>三、本次回购注销后股本结构变动情况表</w:t>
      </w:r>
    </w:p>
    <w:tbl>
      <w:tblPr>
        <w:tblStyle w:val="13"/>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455"/>
        <w:gridCol w:w="1110"/>
        <w:gridCol w:w="1335"/>
        <w:gridCol w:w="138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vMerge w:val="restart"/>
            <w:tcBorders>
              <w:top w:val="single" w:color="auto" w:sz="4" w:space="0"/>
              <w:left w:val="single" w:color="auto" w:sz="4" w:space="0"/>
              <w:bottom w:val="single" w:color="auto" w:sz="4" w:space="0"/>
              <w:right w:val="single" w:color="auto" w:sz="4" w:space="0"/>
            </w:tcBorders>
            <w:shd w:val="clear" w:color="auto" w:fill="E0E0E0"/>
            <w:vAlign w:val="center"/>
          </w:tcPr>
          <w:p>
            <w:pPr>
              <w:adjustRightInd w:val="0"/>
              <w:spacing w:line="360" w:lineRule="auto"/>
              <w:jc w:val="center"/>
              <w:rPr>
                <w:b/>
                <w:bCs/>
                <w:highlight w:val="none"/>
              </w:rPr>
            </w:pPr>
            <w:r>
              <w:rPr>
                <w:rFonts w:hint="eastAsia" w:hAnsi="宋体" w:cs="宋体"/>
                <w:b/>
                <w:highlight w:val="none"/>
              </w:rPr>
              <w:t>类别</w:t>
            </w:r>
          </w:p>
        </w:tc>
        <w:tc>
          <w:tcPr>
            <w:tcW w:w="2565" w:type="dxa"/>
            <w:gridSpan w:val="2"/>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hAnsi="宋体" w:cs="宋体"/>
                <w:b/>
                <w:highlight w:val="none"/>
              </w:rPr>
              <w:t>本次变动前</w:t>
            </w:r>
          </w:p>
        </w:tc>
        <w:tc>
          <w:tcPr>
            <w:tcW w:w="1335" w:type="dxa"/>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rPr>
                <w:b/>
                <w:bCs/>
                <w:highlight w:val="none"/>
              </w:rPr>
            </w:pPr>
            <w:r>
              <w:rPr>
                <w:rFonts w:hint="eastAsia" w:hAnsi="宋体" w:cs="宋体"/>
                <w:b/>
                <w:highlight w:val="none"/>
              </w:rPr>
              <w:t>本次减少额</w:t>
            </w:r>
          </w:p>
        </w:tc>
        <w:tc>
          <w:tcPr>
            <w:tcW w:w="2530" w:type="dxa"/>
            <w:gridSpan w:val="2"/>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hAnsi="宋体" w:cs="宋体"/>
                <w:b/>
                <w:highlight w:val="none"/>
              </w:rPr>
              <w:t>变动变动后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vMerge w:val="continue"/>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rPr>
                <w:b/>
                <w:bCs/>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cs="宋体"/>
                <w:b/>
                <w:highlight w:val="none"/>
              </w:rPr>
              <w:t>数量（股）</w:t>
            </w:r>
          </w:p>
        </w:tc>
        <w:tc>
          <w:tcPr>
            <w:tcW w:w="1110" w:type="dxa"/>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cs="宋体"/>
                <w:b/>
                <w:highlight w:val="none"/>
              </w:rPr>
              <w:t>比例</w:t>
            </w:r>
          </w:p>
        </w:tc>
        <w:tc>
          <w:tcPr>
            <w:tcW w:w="1335" w:type="dxa"/>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cs="宋体"/>
                <w:b/>
                <w:highlight w:val="none"/>
              </w:rPr>
              <w:t>数量（股）</w:t>
            </w:r>
          </w:p>
        </w:tc>
        <w:tc>
          <w:tcPr>
            <w:tcW w:w="1380" w:type="dxa"/>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cs="宋体"/>
                <w:b/>
                <w:highlight w:val="none"/>
              </w:rPr>
              <w:t>数量（股）</w:t>
            </w:r>
          </w:p>
        </w:tc>
        <w:tc>
          <w:tcPr>
            <w:tcW w:w="1150" w:type="dxa"/>
            <w:tcBorders>
              <w:top w:val="single" w:color="auto" w:sz="4" w:space="0"/>
              <w:left w:val="single" w:color="auto" w:sz="4" w:space="0"/>
              <w:bottom w:val="single" w:color="auto" w:sz="4" w:space="0"/>
              <w:right w:val="single" w:color="auto" w:sz="4" w:space="0"/>
            </w:tcBorders>
            <w:shd w:val="clear" w:color="auto" w:fill="E0E0E0"/>
          </w:tcPr>
          <w:p>
            <w:pPr>
              <w:adjustRightInd w:val="0"/>
              <w:spacing w:line="360" w:lineRule="auto"/>
              <w:jc w:val="center"/>
              <w:rPr>
                <w:b/>
                <w:bCs/>
                <w:highlight w:val="none"/>
              </w:rPr>
            </w:pPr>
            <w:r>
              <w:rPr>
                <w:rFonts w:hint="eastAsia" w:cs="宋体"/>
                <w:b/>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cBorders>
          </w:tcPr>
          <w:p>
            <w:pPr>
              <w:adjustRightInd w:val="0"/>
              <w:spacing w:line="360" w:lineRule="auto"/>
              <w:jc w:val="left"/>
              <w:rPr>
                <w:b/>
                <w:bCs/>
                <w:highlight w:val="none"/>
              </w:rPr>
            </w:pPr>
            <w:r>
              <w:rPr>
                <w:rFonts w:hint="eastAsia" w:hAnsi="宋体" w:cs="宋体"/>
                <w:b/>
                <w:highlight w:val="none"/>
              </w:rPr>
              <w:t>一、有限售条件股份</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heme="minorEastAsia" w:hAnsiTheme="minorEastAsia" w:eastAsiaTheme="minorEastAsia"/>
                <w:highlight w:val="none"/>
              </w:rPr>
            </w:pPr>
            <w:r>
              <w:rPr>
                <w:rFonts w:hint="eastAsia" w:ascii="宋体" w:hAnsi="宋体" w:eastAsia="宋体" w:cs="宋体"/>
                <w:color w:val="000000"/>
                <w:kern w:val="0"/>
                <w:sz w:val="21"/>
                <w:szCs w:val="21"/>
                <w:highlight w:val="none"/>
                <w:lang w:val="en-US" w:eastAsia="zh-CN" w:bidi="ar"/>
              </w:rPr>
              <w:t>138,915,201</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40.23%</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2,302,800</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136,612,401</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cBorders>
          </w:tcPr>
          <w:p>
            <w:pPr>
              <w:adjustRightInd w:val="0"/>
              <w:spacing w:line="360" w:lineRule="auto"/>
              <w:ind w:right="420"/>
              <w:rPr>
                <w:b/>
                <w:bCs/>
                <w:sz w:val="18"/>
                <w:highlight w:val="none"/>
              </w:rPr>
            </w:pPr>
            <w:r>
              <w:rPr>
                <w:rFonts w:hint="eastAsia" w:cs="宋体"/>
                <w:b/>
                <w:highlight w:val="none"/>
              </w:rPr>
              <w:t>高管锁定股</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136,612,401</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39.56%</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136,612,401</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cBorders>
          </w:tcPr>
          <w:p>
            <w:pPr>
              <w:adjustRightInd w:val="0"/>
              <w:spacing w:line="360" w:lineRule="auto"/>
              <w:jc w:val="left"/>
              <w:rPr>
                <w:b/>
                <w:bCs/>
                <w:highlight w:val="none"/>
              </w:rPr>
            </w:pPr>
            <w:r>
              <w:rPr>
                <w:rFonts w:hint="eastAsia" w:hAnsi="宋体" w:cs="宋体"/>
                <w:b/>
                <w:highlight w:val="none"/>
              </w:rPr>
              <w:t>股权激励限售股</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2,302,800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0.67%</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2,302,800</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cBorders>
          </w:tcPr>
          <w:p>
            <w:pPr>
              <w:adjustRightInd w:val="0"/>
              <w:spacing w:line="360" w:lineRule="auto"/>
              <w:jc w:val="right"/>
              <w:rPr>
                <w:b/>
                <w:highlight w:val="none"/>
              </w:rPr>
            </w:pPr>
            <w:r>
              <w:rPr>
                <w:rFonts w:hint="eastAsia" w:cs="宋体"/>
                <w:b/>
                <w:highlight w:val="none"/>
              </w:rPr>
              <w:t>二、无限售条件流通股</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206,387,419</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59.77%</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206,387,419</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default"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cBorders>
          </w:tcPr>
          <w:p>
            <w:pPr>
              <w:adjustRightInd w:val="0"/>
              <w:spacing w:line="360" w:lineRule="auto"/>
              <w:jc w:val="left"/>
              <w:rPr>
                <w:b/>
                <w:bCs/>
                <w:highlight w:val="none"/>
              </w:rPr>
            </w:pPr>
            <w:r>
              <w:rPr>
                <w:rFonts w:hint="eastAsia" w:hAnsi="宋体" w:cs="宋体"/>
                <w:b/>
                <w:highlight w:val="none"/>
              </w:rPr>
              <w:t>三、股份总数</w:t>
            </w:r>
          </w:p>
        </w:tc>
        <w:tc>
          <w:tcPr>
            <w:tcW w:w="14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345,302,620</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100.00%</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2,302,800</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342,999,820</w:t>
            </w:r>
          </w:p>
        </w:tc>
        <w:tc>
          <w:tcPr>
            <w:tcW w:w="11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100%</w:t>
            </w:r>
          </w:p>
        </w:tc>
      </w:tr>
    </w:tbl>
    <w:p>
      <w:pPr>
        <w:pStyle w:val="10"/>
        <w:spacing w:line="240" w:lineRule="auto"/>
        <w:jc w:val="left"/>
        <w:rPr>
          <w:highlight w:val="none"/>
        </w:rPr>
      </w:pPr>
      <w:r>
        <w:rPr>
          <w:rFonts w:hint="eastAsia" w:ascii="Calibri" w:hAnsi="Calibri"/>
          <w:b w:val="0"/>
          <w:bCs w:val="0"/>
          <w:kern w:val="2"/>
          <w:sz w:val="21"/>
          <w:szCs w:val="22"/>
          <w:highlight w:val="none"/>
        </w:rPr>
        <w:t>注：以上股本的变动情况以回购事项完成后中国证券结算登记公司深圳分公司出具的股</w:t>
      </w:r>
      <w:r>
        <w:rPr>
          <w:rFonts w:hint="eastAsia" w:ascii="Calibri" w:hAnsi="Calibri"/>
          <w:b w:val="0"/>
          <w:bCs w:val="0"/>
          <w:kern w:val="2"/>
          <w:sz w:val="21"/>
          <w:szCs w:val="22"/>
          <w:highlight w:val="none"/>
          <w:lang w:eastAsia="zh-CN"/>
        </w:rPr>
        <w:t>权结构</w:t>
      </w:r>
      <w:r>
        <w:rPr>
          <w:rFonts w:hint="eastAsia" w:ascii="Calibri" w:hAnsi="Calibri"/>
          <w:b w:val="0"/>
          <w:bCs w:val="0"/>
          <w:kern w:val="2"/>
          <w:sz w:val="21"/>
          <w:szCs w:val="22"/>
          <w:highlight w:val="none"/>
        </w:rPr>
        <w:t>表为准。</w:t>
      </w:r>
      <w:r>
        <w:rPr>
          <w:rFonts w:hint="eastAsia"/>
          <w:highlight w:val="none"/>
        </w:rPr>
        <w:t xml:space="preserve">       </w:t>
      </w:r>
    </w:p>
    <w:p>
      <w:pPr>
        <w:pStyle w:val="10"/>
        <w:spacing w:line="360" w:lineRule="auto"/>
        <w:ind w:firstLine="482" w:firstLineChars="200"/>
        <w:jc w:val="left"/>
        <w:rPr>
          <w:rFonts w:ascii="Times New Roman" w:hAnsi="Times New Roman"/>
          <w:color w:val="000000"/>
          <w:sz w:val="24"/>
          <w:szCs w:val="24"/>
          <w:highlight w:val="none"/>
        </w:rPr>
      </w:pPr>
      <w:r>
        <w:rPr>
          <w:rFonts w:hint="eastAsia" w:ascii="Times New Roman" w:hAnsi="Times New Roman"/>
          <w:color w:val="000000"/>
          <w:sz w:val="24"/>
          <w:szCs w:val="24"/>
          <w:highlight w:val="none"/>
        </w:rPr>
        <w:t>四、终止实施限制性股票激励计划对公司的影响及后续安排</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根据《企业会计准则》的相关规定，本次终止激励计划后对于已计提的股份支付费用不予转回，对于原本应在剩余等待期内确认的股份支付费用加速确认</w:t>
      </w:r>
      <w:r>
        <w:rPr>
          <w:rFonts w:hint="eastAsia" w:ascii="宋体" w:hAnsi="宋体" w:cs="宋体"/>
          <w:sz w:val="24"/>
          <w:szCs w:val="24"/>
          <w:highlight w:val="none"/>
          <w:lang w:eastAsia="zh-CN"/>
        </w:rPr>
        <w:t>。</w:t>
      </w:r>
      <w:r>
        <w:rPr>
          <w:rFonts w:hint="eastAsia" w:ascii="宋体" w:hAnsi="宋体" w:cs="宋体"/>
          <w:sz w:val="24"/>
          <w:szCs w:val="24"/>
          <w:highlight w:val="none"/>
        </w:rPr>
        <w:t>公司本激励计划终止后对原本应在剩余等待期内确认的股份支付费用在2020年加速提取，</w:t>
      </w:r>
      <w:r>
        <w:rPr>
          <w:rFonts w:ascii="宋体" w:hAnsi="宋体" w:cs="宋体"/>
          <w:sz w:val="24"/>
          <w:szCs w:val="24"/>
          <w:highlight w:val="none"/>
        </w:rPr>
        <w:t>由于股份支付费用加速提取而对公司净利润产生的影响最终以会计师事务所审计结果为准。本激励计划的回购注销及终止实施不会对公司的财务状况及股东权益产生实质性的重大影响。</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本次终止限制性股票激励计划不会对公司的经营业绩产生重大影响，也不会影响公司管理团队的勤勉尽职。公司管理团队将继续认真履行工作职责，尽力为股东创造最大价值。</w:t>
      </w:r>
    </w:p>
    <w:p>
      <w:pPr>
        <w:autoSpaceDE w:val="0"/>
        <w:autoSpaceDN w:val="0"/>
        <w:adjustRightInd w:val="0"/>
        <w:spacing w:line="360" w:lineRule="auto"/>
        <w:ind w:firstLine="360" w:firstLineChars="150"/>
        <w:jc w:val="left"/>
        <w:rPr>
          <w:rFonts w:ascii="宋体" w:hAnsi="宋体" w:cs="宋体"/>
          <w:sz w:val="24"/>
          <w:szCs w:val="24"/>
          <w:highlight w:val="none"/>
        </w:rPr>
      </w:pPr>
      <w:r>
        <w:rPr>
          <w:rFonts w:ascii="宋体" w:hAnsi="宋体" w:cs="宋体"/>
          <w:sz w:val="24"/>
          <w:szCs w:val="24"/>
          <w:highlight w:val="none"/>
        </w:rPr>
        <w:t>本次股权激励计划终止实施后，公司将根据有关法律法规的规定，充分考虑行业、市场并结合公司的实际情况，通过优化薪酬体系、完善绩效考核制度、适时推出其他激励方案等方式充分调动公司管理层和员工的积极性，推动上市公司可持续健康发展。</w:t>
      </w:r>
    </w:p>
    <w:p>
      <w:pPr>
        <w:autoSpaceDE w:val="0"/>
        <w:autoSpaceDN w:val="0"/>
        <w:adjustRightInd w:val="0"/>
        <w:spacing w:line="360" w:lineRule="auto"/>
        <w:ind w:firstLine="360" w:firstLineChars="150"/>
        <w:jc w:val="left"/>
        <w:rPr>
          <w:rFonts w:ascii="宋体" w:hAnsi="宋体" w:cs="宋体"/>
          <w:sz w:val="24"/>
          <w:szCs w:val="24"/>
          <w:highlight w:val="none"/>
        </w:rPr>
      </w:pPr>
      <w:r>
        <w:rPr>
          <w:rFonts w:hint="eastAsia" w:ascii="宋体" w:hAnsi="宋体" w:cs="宋体"/>
          <w:sz w:val="24"/>
          <w:szCs w:val="24"/>
          <w:highlight w:val="none"/>
        </w:rPr>
        <w:t>根据《上市公司股权激励管理办法》的规定，公司本次终止实施限制性股票激励计划及回购注销相关限制性股票的议案尚需提交公司股东大会审议。公司承诺，自公司</w:t>
      </w:r>
      <w:r>
        <w:rPr>
          <w:rFonts w:hint="eastAsia" w:ascii="宋体" w:hAnsi="宋体" w:cs="宋体"/>
          <w:sz w:val="24"/>
          <w:szCs w:val="24"/>
          <w:highlight w:val="none"/>
          <w:lang w:eastAsia="zh-CN"/>
        </w:rPr>
        <w:t>该次</w:t>
      </w:r>
      <w:r>
        <w:rPr>
          <w:rFonts w:hint="eastAsia" w:ascii="宋体" w:hAnsi="宋体" w:cs="宋体"/>
          <w:sz w:val="24"/>
          <w:szCs w:val="24"/>
          <w:highlight w:val="none"/>
        </w:rPr>
        <w:t>股东大会决议公告之日起3个月内，不再审议和披露股权激励计划草案</w:t>
      </w:r>
      <w:r>
        <w:rPr>
          <w:rFonts w:hint="eastAsia" w:ascii="宋体" w:hAnsi="宋体" w:cs="宋体"/>
          <w:sz w:val="24"/>
          <w:szCs w:val="24"/>
          <w:highlight w:val="none"/>
          <w:lang w:eastAsia="zh-CN"/>
        </w:rPr>
        <w:t>。公司董事会将</w:t>
      </w:r>
      <w:r>
        <w:rPr>
          <w:rFonts w:hint="eastAsia" w:ascii="宋体" w:hAnsi="宋体" w:cs="宋体"/>
          <w:sz w:val="24"/>
          <w:szCs w:val="24"/>
          <w:highlight w:val="none"/>
        </w:rPr>
        <w:t>及时向中国结算深圳分公司申请办理已授予限制性股票回购注销手续</w:t>
      </w:r>
      <w:r>
        <w:rPr>
          <w:rFonts w:hint="eastAsia" w:ascii="宋体" w:hAnsi="宋体" w:cs="宋体"/>
          <w:sz w:val="24"/>
          <w:szCs w:val="24"/>
          <w:highlight w:val="none"/>
          <w:lang w:val="en-US" w:eastAsia="zh-CN"/>
        </w:rPr>
        <w:t>，就公司注册资本变更事项相应修改《公司章程》、办理公司注册资本变更登记等事宜，并及时履行相应的信息披露义务</w:t>
      </w:r>
      <w:r>
        <w:rPr>
          <w:rFonts w:hint="eastAsia" w:ascii="宋体" w:hAnsi="宋体" w:cs="宋体"/>
          <w:sz w:val="24"/>
          <w:szCs w:val="24"/>
          <w:highlight w:val="none"/>
        </w:rPr>
        <w:t>。</w:t>
      </w:r>
    </w:p>
    <w:p>
      <w:pPr>
        <w:pStyle w:val="10"/>
        <w:spacing w:line="360" w:lineRule="auto"/>
        <w:ind w:firstLine="482" w:firstLineChars="200"/>
        <w:jc w:val="left"/>
        <w:rPr>
          <w:rFonts w:ascii="Times New Roman" w:hAnsi="Times New Roman"/>
          <w:color w:val="000000"/>
          <w:sz w:val="24"/>
          <w:szCs w:val="24"/>
          <w:highlight w:val="none"/>
        </w:rPr>
      </w:pPr>
      <w:r>
        <w:rPr>
          <w:rFonts w:hint="eastAsia" w:ascii="Times New Roman" w:hAnsi="Times New Roman"/>
          <w:color w:val="000000"/>
          <w:sz w:val="24"/>
          <w:szCs w:val="24"/>
          <w:highlight w:val="none"/>
        </w:rPr>
        <w:t>五、独立董事意见</w:t>
      </w:r>
    </w:p>
    <w:p>
      <w:pPr>
        <w:spacing w:before="156" w:beforeLines="50" w:after="50"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公司本次</w:t>
      </w:r>
      <w:r>
        <w:rPr>
          <w:rFonts w:hint="eastAsia" w:ascii="宋体" w:hAnsi="宋体" w:cs="宋体"/>
          <w:color w:val="000000"/>
          <w:kern w:val="0"/>
          <w:sz w:val="24"/>
          <w:szCs w:val="24"/>
          <w:highlight w:val="none"/>
        </w:rPr>
        <w:t>终止实施限制性股票激励计划及回购注销相关限制性股票</w:t>
      </w:r>
      <w:r>
        <w:rPr>
          <w:rFonts w:hint="eastAsia" w:ascii="宋体" w:hAnsi="宋体" w:cs="宋体"/>
          <w:sz w:val="24"/>
          <w:szCs w:val="24"/>
          <w:highlight w:val="none"/>
        </w:rPr>
        <w:t>程序符合《上市公司股权激励管理办法》及公司《激励计划》的相关规定，并已履行必要、合规的决策程序，符合公司及全体股东的利益。本次回购注销限制性股份数量共计为</w:t>
      </w:r>
      <w:r>
        <w:rPr>
          <w:rFonts w:hint="eastAsia" w:ascii="宋体" w:hAnsi="宋体" w:cs="宋体"/>
          <w:color w:val="000000"/>
          <w:kern w:val="0"/>
          <w:sz w:val="24"/>
          <w:szCs w:val="24"/>
          <w:highlight w:val="none"/>
        </w:rPr>
        <w:t>230.28万</w:t>
      </w:r>
      <w:r>
        <w:rPr>
          <w:rFonts w:hint="eastAsia" w:ascii="宋体" w:hAnsi="宋体" w:cs="宋体"/>
          <w:sz w:val="24"/>
          <w:szCs w:val="24"/>
          <w:highlight w:val="none"/>
        </w:rPr>
        <w:t>股，占目前公司股本的0.6669%，</w:t>
      </w:r>
      <w:r>
        <w:rPr>
          <w:rFonts w:hint="eastAsia" w:ascii="宋体" w:hAnsi="宋体" w:cs="宋体"/>
          <w:color w:val="000000"/>
          <w:kern w:val="0"/>
          <w:sz w:val="24"/>
          <w:szCs w:val="24"/>
          <w:highlight w:val="none"/>
        </w:rPr>
        <w:t>其中首次授予的限制性股票212.08万股，回购价格为</w:t>
      </w: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04元</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股；预留部分授予的限制性股票18.2万股，回购价格为</w:t>
      </w:r>
      <w:r>
        <w:rPr>
          <w:rFonts w:ascii="宋体" w:hAnsi="宋体" w:cs="宋体"/>
          <w:color w:val="000000"/>
          <w:kern w:val="0"/>
          <w:sz w:val="24"/>
          <w:szCs w:val="24"/>
          <w:highlight w:val="none"/>
        </w:rPr>
        <w:t>1</w:t>
      </w:r>
      <w:r>
        <w:rPr>
          <w:rFonts w:hint="eastAsia" w:ascii="宋体" w:hAnsi="宋体" w:cs="宋体"/>
          <w:color w:val="000000"/>
          <w:kern w:val="0"/>
          <w:sz w:val="24"/>
          <w:szCs w:val="24"/>
          <w:highlight w:val="none"/>
        </w:rPr>
        <w:t>3</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43元</w:t>
      </w:r>
      <w:r>
        <w:rPr>
          <w:rFonts w:ascii="宋体" w:hAnsi="宋体" w:cs="宋体"/>
          <w:color w:val="000000"/>
          <w:kern w:val="0"/>
          <w:sz w:val="24"/>
          <w:szCs w:val="24"/>
          <w:highlight w:val="none"/>
        </w:rPr>
        <w:t>/</w:t>
      </w:r>
      <w:r>
        <w:rPr>
          <w:rFonts w:hint="eastAsia" w:ascii="宋体" w:hAnsi="宋体" w:cs="宋体"/>
          <w:color w:val="000000"/>
          <w:kern w:val="0"/>
          <w:sz w:val="24"/>
          <w:szCs w:val="24"/>
          <w:highlight w:val="none"/>
        </w:rPr>
        <w:t>股</w:t>
      </w:r>
      <w:r>
        <w:rPr>
          <w:rFonts w:hint="eastAsia" w:ascii="宋体" w:hAnsi="宋体"/>
          <w:sz w:val="24"/>
          <w:highlight w:val="none"/>
        </w:rPr>
        <w:t>。</w:t>
      </w:r>
    </w:p>
    <w:p>
      <w:pPr>
        <w:spacing w:before="156" w:beforeLines="50" w:after="50" w:line="360" w:lineRule="auto"/>
        <w:ind w:firstLine="480" w:firstLineChars="200"/>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公司独立董事一致认为：鉴于公司2019年度经营业绩未达标，并综合考虑近期市场环境因素和公司未来发展规划，公司终止实施本次限制性股票激励计划及回购注销相关限制性股票符合公司全体股东和激励对象的一致利益，不会影响管理层及核心骨干人员对公司的勤勉尽职义务；公司回购股份所需资金为自有资金，不会对公司日常经营活动产生重大影响。本次终止股权激励计划并回购注销相关限制性股票符合公司《激励计划》《上市公司股权激励管理办法》等有关法律、法规的规定，未侵犯公司及全体股东的权益。因此，我们一致同意公司终止实施限制性股票激励计划及回购注销相关限制性股票，并同意将该事项提交公司股东大会审议</w:t>
      </w:r>
      <w:r>
        <w:rPr>
          <w:rFonts w:hint="eastAsia" w:ascii="宋体" w:hAnsi="宋体" w:cs="宋体"/>
          <w:color w:val="000000"/>
          <w:kern w:val="0"/>
          <w:sz w:val="24"/>
          <w:szCs w:val="24"/>
          <w:highlight w:val="none"/>
          <w:lang w:eastAsia="zh-CN"/>
        </w:rPr>
        <w:t>并提请股东大会授权董事会</w:t>
      </w:r>
      <w:r>
        <w:rPr>
          <w:rFonts w:hint="eastAsia" w:ascii="宋体" w:hAnsi="宋体" w:cs="宋体"/>
          <w:color w:val="000000"/>
          <w:kern w:val="0"/>
          <w:sz w:val="24"/>
          <w:szCs w:val="24"/>
          <w:highlight w:val="none"/>
          <w:lang w:val="en-US" w:eastAsia="zh-CN"/>
        </w:rPr>
        <w:t>办理本次回购注销的相关手续及公司注册资本变更登记等事宜</w:t>
      </w:r>
      <w:r>
        <w:rPr>
          <w:rFonts w:hint="eastAsia" w:ascii="宋体" w:hAnsi="宋体" w:cs="宋体"/>
          <w:color w:val="000000"/>
          <w:kern w:val="0"/>
          <w:sz w:val="24"/>
          <w:szCs w:val="24"/>
          <w:highlight w:val="none"/>
        </w:rPr>
        <w:t>。</w:t>
      </w:r>
    </w:p>
    <w:p>
      <w:pPr>
        <w:pStyle w:val="10"/>
        <w:spacing w:line="360" w:lineRule="auto"/>
        <w:ind w:firstLine="482" w:firstLineChars="200"/>
        <w:jc w:val="left"/>
        <w:rPr>
          <w:rFonts w:ascii="Times New Roman" w:hAnsi="Times New Roman"/>
          <w:color w:val="000000"/>
          <w:sz w:val="24"/>
          <w:szCs w:val="24"/>
          <w:highlight w:val="none"/>
        </w:rPr>
      </w:pPr>
      <w:r>
        <w:rPr>
          <w:rFonts w:hint="eastAsia" w:ascii="Times New Roman" w:hAnsi="Times New Roman"/>
          <w:color w:val="000000"/>
          <w:sz w:val="24"/>
          <w:szCs w:val="24"/>
          <w:highlight w:val="none"/>
        </w:rPr>
        <w:t>六、监事会核查意见</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根据《上市公司股权激励管理办法》和公司《激励计划》等相关法律法规的规定，监事会对公司</w:t>
      </w:r>
      <w:r>
        <w:rPr>
          <w:rFonts w:hint="eastAsia" w:ascii="宋体" w:hAnsi="宋体" w:cs="宋体"/>
          <w:color w:val="000000"/>
          <w:kern w:val="0"/>
          <w:sz w:val="24"/>
          <w:szCs w:val="24"/>
          <w:highlight w:val="none"/>
        </w:rPr>
        <w:t>终止实施限制性股票激励计划及回购注销相关限制性股票</w:t>
      </w:r>
      <w:r>
        <w:rPr>
          <w:rFonts w:hint="eastAsia" w:ascii="宋体" w:hAnsi="宋体" w:cs="宋体"/>
          <w:sz w:val="24"/>
          <w:szCs w:val="24"/>
          <w:highlight w:val="none"/>
        </w:rPr>
        <w:t>的数量和涉及的激励对象名单进行了核实后认为：</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lang w:eastAsia="zh-CN"/>
        </w:rPr>
        <w:t>鉴于</w:t>
      </w:r>
      <w:r>
        <w:rPr>
          <w:rFonts w:hint="eastAsia" w:ascii="宋体" w:hAnsi="宋体" w:cs="宋体"/>
          <w:sz w:val="24"/>
          <w:szCs w:val="24"/>
          <w:highlight w:val="none"/>
        </w:rPr>
        <w:t>公司</w:t>
      </w:r>
      <w:r>
        <w:rPr>
          <w:rFonts w:ascii="宋体" w:hAnsi="宋体" w:cs="宋体"/>
          <w:sz w:val="24"/>
          <w:szCs w:val="24"/>
          <w:highlight w:val="none"/>
        </w:rPr>
        <w:t>201</w:t>
      </w:r>
      <w:r>
        <w:rPr>
          <w:rFonts w:hint="eastAsia" w:ascii="宋体" w:hAnsi="宋体" w:cs="宋体"/>
          <w:sz w:val="24"/>
          <w:szCs w:val="24"/>
          <w:highlight w:val="none"/>
          <w:lang w:val="en-US" w:eastAsia="zh-CN"/>
        </w:rPr>
        <w:t>9</w:t>
      </w:r>
      <w:r>
        <w:rPr>
          <w:rFonts w:hint="eastAsia" w:ascii="宋体" w:hAnsi="宋体" w:cs="宋体"/>
          <w:sz w:val="24"/>
          <w:szCs w:val="24"/>
          <w:highlight w:val="none"/>
        </w:rPr>
        <w:t>年度经营</w:t>
      </w:r>
      <w:r>
        <w:rPr>
          <w:rFonts w:hint="eastAsia" w:ascii="宋体" w:hAnsi="宋体" w:cs="宋体"/>
          <w:sz w:val="24"/>
          <w:szCs w:val="24"/>
          <w:highlight w:val="none"/>
          <w:lang w:eastAsia="zh-CN"/>
        </w:rPr>
        <w:t>业绩未</w:t>
      </w:r>
      <w:r>
        <w:rPr>
          <w:rFonts w:hint="eastAsia" w:ascii="宋体" w:hAnsi="宋体" w:cs="宋体"/>
          <w:sz w:val="24"/>
          <w:szCs w:val="24"/>
          <w:highlight w:val="none"/>
          <w:lang w:val="en-US" w:eastAsia="zh-CN"/>
        </w:rPr>
        <w:t>达到《激励计划》中的解锁条件</w:t>
      </w:r>
      <w:r>
        <w:rPr>
          <w:rFonts w:hint="eastAsia" w:ascii="宋体" w:hAnsi="宋体" w:cs="宋体"/>
          <w:sz w:val="24"/>
          <w:szCs w:val="24"/>
          <w:highlight w:val="none"/>
        </w:rPr>
        <w:t>，</w:t>
      </w:r>
      <w:r>
        <w:rPr>
          <w:rFonts w:hint="eastAsia" w:ascii="宋体" w:hAnsi="宋体" w:cs="宋体"/>
          <w:sz w:val="24"/>
          <w:szCs w:val="24"/>
          <w:highlight w:val="none"/>
          <w:lang w:eastAsia="zh-CN"/>
        </w:rPr>
        <w:t>综合考虑</w:t>
      </w:r>
      <w:r>
        <w:rPr>
          <w:rFonts w:hint="eastAsia" w:ascii="宋体" w:hAnsi="宋体" w:cs="宋体"/>
          <w:sz w:val="24"/>
          <w:szCs w:val="24"/>
          <w:highlight w:val="none"/>
          <w:lang w:val="en-US" w:eastAsia="zh-CN"/>
        </w:rPr>
        <w:t>近期市场环境因素和公司未来发展计划，</w:t>
      </w:r>
      <w:r>
        <w:rPr>
          <w:rFonts w:hint="default" w:ascii="宋体" w:hAnsi="宋体" w:cs="宋体"/>
          <w:sz w:val="24"/>
          <w:szCs w:val="24"/>
          <w:highlight w:val="none"/>
          <w:lang w:val="en-US" w:eastAsia="zh-CN"/>
        </w:rPr>
        <w:t>公司</w:t>
      </w:r>
      <w:r>
        <w:rPr>
          <w:rFonts w:hint="eastAsia" w:ascii="宋体" w:hAnsi="宋体" w:cs="宋体"/>
          <w:sz w:val="24"/>
          <w:szCs w:val="24"/>
          <w:highlight w:val="none"/>
          <w:lang w:val="en-US" w:eastAsia="zh-CN"/>
        </w:rPr>
        <w:t>经审慎研究后拟</w:t>
      </w:r>
      <w:r>
        <w:rPr>
          <w:rFonts w:hint="eastAsia" w:ascii="宋体" w:hAnsi="宋体" w:cs="宋体"/>
          <w:color w:val="000000"/>
          <w:kern w:val="0"/>
          <w:sz w:val="24"/>
          <w:szCs w:val="24"/>
          <w:highlight w:val="none"/>
        </w:rPr>
        <w:t>终止实施限制性股票激励计划及回购注销相关限制性股票</w:t>
      </w:r>
      <w:r>
        <w:rPr>
          <w:rFonts w:hint="eastAsia" w:ascii="宋体" w:hAnsi="宋体" w:cs="宋体"/>
          <w:sz w:val="24"/>
          <w:szCs w:val="24"/>
          <w:highlight w:val="none"/>
          <w:lang w:val="en-US" w:eastAsia="zh-CN"/>
        </w:rPr>
        <w:t>。该事项</w:t>
      </w:r>
      <w:r>
        <w:rPr>
          <w:rFonts w:hint="default" w:ascii="宋体" w:hAnsi="宋体" w:cs="宋体"/>
          <w:sz w:val="24"/>
          <w:szCs w:val="24"/>
          <w:highlight w:val="none"/>
          <w:lang w:val="en-US" w:eastAsia="zh-CN"/>
        </w:rPr>
        <w:t>符合《上市公司股权激励管理办法》及公司《激励计划》等的相关规定，程序合法合规</w:t>
      </w:r>
      <w:r>
        <w:rPr>
          <w:rFonts w:hint="eastAsia" w:ascii="宋体" w:hAnsi="宋体" w:cs="宋体"/>
          <w:sz w:val="24"/>
          <w:szCs w:val="24"/>
          <w:highlight w:val="none"/>
          <w:lang w:val="en-US" w:eastAsia="zh-CN"/>
        </w:rPr>
        <w:t>。同意公司</w:t>
      </w:r>
      <w:r>
        <w:rPr>
          <w:rFonts w:hint="eastAsia" w:ascii="宋体" w:hAnsi="宋体" w:cs="宋体"/>
          <w:color w:val="000000"/>
          <w:kern w:val="0"/>
          <w:sz w:val="24"/>
          <w:szCs w:val="24"/>
          <w:highlight w:val="none"/>
        </w:rPr>
        <w:t>终止实施限制性股票激励计划</w:t>
      </w:r>
      <w:r>
        <w:rPr>
          <w:rFonts w:hint="eastAsia" w:ascii="宋体" w:hAnsi="宋体" w:cs="宋体"/>
          <w:color w:val="000000"/>
          <w:kern w:val="0"/>
          <w:sz w:val="24"/>
          <w:szCs w:val="24"/>
          <w:highlight w:val="none"/>
          <w:lang w:eastAsia="zh-CN"/>
        </w:rPr>
        <w:t>，同意公司</w:t>
      </w:r>
      <w:r>
        <w:rPr>
          <w:rFonts w:hint="eastAsia" w:ascii="宋体" w:hAnsi="宋体" w:cs="宋体"/>
          <w:color w:val="000000"/>
          <w:kern w:val="0"/>
          <w:sz w:val="24"/>
          <w:szCs w:val="24"/>
          <w:highlight w:val="none"/>
        </w:rPr>
        <w:t>回购注销相关限制性股票</w:t>
      </w:r>
      <w:r>
        <w:rPr>
          <w:rFonts w:hint="eastAsia" w:ascii="宋体" w:hAnsi="宋体" w:cs="宋体"/>
          <w:color w:val="000000"/>
          <w:kern w:val="0"/>
          <w:sz w:val="24"/>
          <w:szCs w:val="24"/>
          <w:highlight w:val="none"/>
          <w:lang w:eastAsia="zh-CN"/>
        </w:rPr>
        <w:t>共计</w:t>
      </w:r>
      <w:r>
        <w:rPr>
          <w:rFonts w:hint="eastAsia" w:ascii="宋体" w:hAnsi="宋体" w:cs="宋体"/>
          <w:color w:val="000000"/>
          <w:kern w:val="0"/>
          <w:sz w:val="24"/>
          <w:szCs w:val="24"/>
          <w:highlight w:val="none"/>
          <w:lang w:val="en-US" w:eastAsia="zh-CN"/>
        </w:rPr>
        <w:t>230.28万</w:t>
      </w:r>
      <w:r>
        <w:rPr>
          <w:rFonts w:hint="eastAsia" w:ascii="宋体" w:hAnsi="宋体" w:cs="宋体"/>
          <w:sz w:val="24"/>
          <w:szCs w:val="24"/>
          <w:highlight w:val="none"/>
        </w:rPr>
        <w:t>股</w:t>
      </w:r>
      <w:r>
        <w:rPr>
          <w:rFonts w:hint="eastAsia" w:ascii="宋体" w:hAnsi="宋体" w:cs="宋体"/>
          <w:sz w:val="24"/>
          <w:szCs w:val="24"/>
          <w:highlight w:val="none"/>
          <w:lang w:eastAsia="zh-CN"/>
        </w:rPr>
        <w:t>，</w:t>
      </w:r>
      <w:r>
        <w:rPr>
          <w:rFonts w:hint="eastAsia" w:ascii="宋体" w:hAnsi="宋体" w:cs="宋体"/>
          <w:color w:val="000000"/>
          <w:kern w:val="0"/>
          <w:sz w:val="24"/>
          <w:szCs w:val="24"/>
          <w:highlight w:val="none"/>
          <w:lang w:val="en-US" w:eastAsia="zh-CN"/>
        </w:rPr>
        <w:t>其中首次授予的限制性股票212.08万股，回购价格为</w:t>
      </w:r>
      <w:r>
        <w:rPr>
          <w:rFonts w:hint="default"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lang w:val="en-US" w:eastAsia="zh-CN"/>
        </w:rPr>
        <w:t>3</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04元</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股；预留部分授予的限制性股票18.2万股，回购价格为</w:t>
      </w:r>
      <w:r>
        <w:rPr>
          <w:rFonts w:hint="default"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lang w:val="en-US" w:eastAsia="zh-CN"/>
        </w:rPr>
        <w:t>3</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43元</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股。</w:t>
      </w:r>
    </w:p>
    <w:p>
      <w:pPr>
        <w:pStyle w:val="10"/>
        <w:spacing w:line="360" w:lineRule="auto"/>
        <w:ind w:firstLine="482" w:firstLineChars="200"/>
        <w:jc w:val="left"/>
        <w:rPr>
          <w:rFonts w:ascii="Times New Roman" w:hAnsi="Times New Roman"/>
          <w:color w:val="000000"/>
          <w:sz w:val="24"/>
          <w:szCs w:val="24"/>
          <w:highlight w:val="none"/>
        </w:rPr>
      </w:pPr>
      <w:r>
        <w:rPr>
          <w:rFonts w:hint="eastAsia" w:ascii="Times New Roman" w:hAnsi="Times New Roman"/>
          <w:color w:val="000000"/>
          <w:sz w:val="24"/>
          <w:szCs w:val="24"/>
          <w:highlight w:val="none"/>
        </w:rPr>
        <w:t>七、法律意见书的结论意见</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sz w:val="24"/>
          <w:highlight w:val="none"/>
        </w:rPr>
        <w:t>上海锦天城（福州）律师事务</w:t>
      </w:r>
      <w:r>
        <w:rPr>
          <w:rFonts w:hint="eastAsia" w:ascii="宋体" w:hAnsi="宋体"/>
          <w:sz w:val="24"/>
          <w:highlight w:val="none"/>
          <w:lang w:eastAsia="zh-CN"/>
        </w:rPr>
        <w:t>所</w:t>
      </w:r>
      <w:r>
        <w:rPr>
          <w:rFonts w:hint="eastAsia" w:ascii="宋体" w:hAnsi="宋体" w:cs="宋体"/>
          <w:sz w:val="24"/>
          <w:szCs w:val="24"/>
          <w:highlight w:val="none"/>
        </w:rPr>
        <w:t>律师认为：</w:t>
      </w:r>
      <w:r>
        <w:rPr>
          <w:rFonts w:hint="eastAsia" w:ascii="宋体" w:hAnsi="宋体"/>
          <w:color w:val="000000"/>
          <w:sz w:val="24"/>
        </w:rPr>
        <w:t>公司本次部分回购注销、本次激励计划的实施及本次终止事项均已获得现阶段必要的批准和授权；本次回购注销的原因、</w:t>
      </w:r>
      <w:r>
        <w:rPr>
          <w:rFonts w:hint="eastAsia" w:ascii="宋体" w:hAnsi="宋体"/>
          <w:sz w:val="24"/>
        </w:rPr>
        <w:t>依据、数量和回购价格的调整及调整后的价格，以及本次终止的原因及所涉限制性股票回购的数量、价格</w:t>
      </w:r>
      <w:r>
        <w:rPr>
          <w:rFonts w:hint="eastAsia" w:ascii="宋体" w:hAnsi="宋体"/>
          <w:color w:val="000000"/>
          <w:sz w:val="24"/>
        </w:rPr>
        <w:t>均</w:t>
      </w:r>
      <w:r>
        <w:rPr>
          <w:rFonts w:hint="eastAsia" w:ascii="宋体" w:hAnsi="宋体"/>
          <w:sz w:val="24"/>
        </w:rPr>
        <w:t>符合《股权激励管理办法》</w:t>
      </w:r>
      <w:r>
        <w:rPr>
          <w:rFonts w:hint="eastAsia" w:ascii="宋体" w:hAnsi="宋体"/>
          <w:color w:val="000000"/>
          <w:sz w:val="24"/>
        </w:rPr>
        <w:t>和公司</w:t>
      </w:r>
      <w:r>
        <w:rPr>
          <w:rFonts w:hint="eastAsia" w:ascii="宋体" w:hAnsi="宋体"/>
          <w:color w:val="000000"/>
          <w:spacing w:val="6"/>
          <w:sz w:val="24"/>
        </w:rPr>
        <w:t>《限制性股票激励计划》</w:t>
      </w:r>
      <w:r>
        <w:rPr>
          <w:rFonts w:hint="eastAsia" w:ascii="宋体" w:hAnsi="宋体"/>
          <w:sz w:val="24"/>
        </w:rPr>
        <w:t>的相关规定，</w:t>
      </w:r>
      <w:r>
        <w:rPr>
          <w:rFonts w:hint="eastAsia" w:ascii="宋体" w:hAnsi="宋体"/>
          <w:bCs/>
          <w:kern w:val="0"/>
          <w:sz w:val="24"/>
        </w:rPr>
        <w:t>不存在侵犯公司及全体股东权益的情形</w:t>
      </w:r>
      <w:r>
        <w:rPr>
          <w:rFonts w:hint="eastAsia" w:ascii="宋体" w:hAnsi="宋体"/>
          <w:sz w:val="24"/>
        </w:rPr>
        <w:t>。本次</w:t>
      </w:r>
      <w:r>
        <w:rPr>
          <w:rFonts w:hint="eastAsia" w:ascii="宋体" w:hAnsi="宋体"/>
          <w:color w:val="000000"/>
          <w:sz w:val="24"/>
        </w:rPr>
        <w:t>回购注销、本次</w:t>
      </w:r>
      <w:r>
        <w:rPr>
          <w:rFonts w:hint="eastAsia" w:ascii="宋体" w:hAnsi="宋体"/>
          <w:sz w:val="24"/>
        </w:rPr>
        <w:t>终止事项尚需提交公司股东大会审议通过，并</w:t>
      </w:r>
      <w:r>
        <w:rPr>
          <w:rFonts w:hint="eastAsia" w:ascii="宋体" w:hAnsi="宋体"/>
          <w:color w:val="000000"/>
          <w:sz w:val="24"/>
        </w:rPr>
        <w:t>依法履行限制性股票回购注销、减少注册资本等相关程序及相应的信息披露义务</w:t>
      </w:r>
      <w:r>
        <w:rPr>
          <w:rFonts w:hint="eastAsia" w:ascii="宋体" w:hAnsi="宋体" w:cs="宋体"/>
          <w:sz w:val="24"/>
          <w:szCs w:val="24"/>
          <w:highlight w:val="none"/>
        </w:rPr>
        <w:t>。</w:t>
      </w:r>
    </w:p>
    <w:p>
      <w:pPr>
        <w:pStyle w:val="10"/>
        <w:spacing w:line="360" w:lineRule="auto"/>
        <w:ind w:firstLine="482" w:firstLineChars="200"/>
        <w:jc w:val="left"/>
        <w:rPr>
          <w:rFonts w:ascii="Times New Roman" w:hAnsi="Times New Roman"/>
          <w:b w:val="0"/>
          <w:color w:val="000000"/>
          <w:kern w:val="0"/>
          <w:sz w:val="24"/>
          <w:szCs w:val="24"/>
          <w:highlight w:val="none"/>
        </w:rPr>
      </w:pPr>
      <w:r>
        <w:rPr>
          <w:rFonts w:hint="eastAsia" w:ascii="Times New Roman" w:hAnsi="Times New Roman"/>
          <w:color w:val="000000"/>
          <w:sz w:val="24"/>
          <w:szCs w:val="24"/>
          <w:highlight w:val="none"/>
        </w:rPr>
        <w:t>八、备查文件</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1、第三届董事会第二十六次会议决议；</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2、第三届监事会第二十三次会议决议；</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3、独立董事关于第三届董事会第二十六次会议审议事项的独立意见；</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4、</w:t>
      </w:r>
      <w:r>
        <w:rPr>
          <w:rFonts w:hint="eastAsia" w:ascii="宋体" w:hAnsi="宋体"/>
          <w:sz w:val="24"/>
          <w:highlight w:val="none"/>
        </w:rPr>
        <w:t>上海锦天城（福州）律师事务所出具的法律意见书</w:t>
      </w:r>
      <w:r>
        <w:rPr>
          <w:rFonts w:hint="eastAsia" w:ascii="宋体" w:hAnsi="宋体" w:cs="宋体"/>
          <w:sz w:val="24"/>
          <w:szCs w:val="24"/>
          <w:highlight w:val="none"/>
        </w:rPr>
        <w:t>。</w:t>
      </w:r>
    </w:p>
    <w:p>
      <w:pPr>
        <w:rPr>
          <w:rFonts w:ascii="Times New Roman" w:hAnsi="Times New Roman"/>
          <w:sz w:val="24"/>
          <w:szCs w:val="24"/>
          <w:highlight w:val="none"/>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特此公告。</w:t>
      </w:r>
    </w:p>
    <w:p>
      <w:pPr>
        <w:spacing w:line="360" w:lineRule="auto"/>
        <w:ind w:firstLine="460" w:firstLineChars="200"/>
        <w:rPr>
          <w:rFonts w:ascii="宋体" w:hAnsi="宋体" w:cs="宋体"/>
          <w:sz w:val="23"/>
          <w:szCs w:val="23"/>
          <w:highlight w:val="none"/>
        </w:rPr>
      </w:pPr>
    </w:p>
    <w:p>
      <w:pPr>
        <w:spacing w:line="360" w:lineRule="auto"/>
        <w:ind w:firstLine="460" w:firstLineChars="200"/>
        <w:rPr>
          <w:rFonts w:ascii="宋体" w:hAnsi="宋体" w:cs="宋体"/>
          <w:sz w:val="23"/>
          <w:szCs w:val="23"/>
          <w:highlight w:val="none"/>
        </w:rPr>
      </w:pPr>
    </w:p>
    <w:p>
      <w:pPr>
        <w:autoSpaceDE w:val="0"/>
        <w:autoSpaceDN w:val="0"/>
        <w:adjustRightInd w:val="0"/>
        <w:spacing w:line="360" w:lineRule="auto"/>
        <w:ind w:firstLine="3960" w:firstLineChars="1650"/>
        <w:jc w:val="righ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美康生物科技股份有限公司</w:t>
      </w:r>
    </w:p>
    <w:p>
      <w:pPr>
        <w:autoSpaceDE w:val="0"/>
        <w:autoSpaceDN w:val="0"/>
        <w:adjustRightInd w:val="0"/>
        <w:spacing w:line="360" w:lineRule="auto"/>
        <w:ind w:firstLine="3960" w:firstLineChars="1650"/>
        <w:jc w:val="righ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董事会</w:t>
      </w:r>
    </w:p>
    <w:p>
      <w:pPr>
        <w:spacing w:line="360" w:lineRule="auto"/>
        <w:ind w:firstLine="5040" w:firstLineChars="2100"/>
        <w:jc w:val="right"/>
        <w:rPr>
          <w:rFonts w:ascii="宋体" w:hAnsi="宋体" w:cs="宋体"/>
          <w:sz w:val="24"/>
          <w:szCs w:val="24"/>
          <w:highlight w:val="none"/>
        </w:rPr>
      </w:pPr>
      <w:r>
        <w:rPr>
          <w:rFonts w:hint="eastAsia" w:ascii="宋体" w:hAnsi="宋体" w:cs="宋体"/>
          <w:color w:val="000000"/>
          <w:kern w:val="0"/>
          <w:sz w:val="24"/>
          <w:szCs w:val="24"/>
          <w:highlight w:val="none"/>
        </w:rPr>
        <w:t>2020年4月30日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
    <w:altName w:val="Times New Roman"/>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before="120" w:after="120" w:line="120" w:lineRule="auto"/>
      <w:ind w:left="5760" w:hanging="5760" w:hangingChars="2400"/>
    </w:pPr>
    <w:r>
      <w:rPr>
        <w:kern w:val="0"/>
        <w:sz w:val="24"/>
        <w:szCs w:val="24"/>
      </w:rPr>
      <w:drawing>
        <wp:inline distT="0" distB="0" distL="0" distR="0">
          <wp:extent cx="603885" cy="511810"/>
          <wp:effectExtent l="0" t="0" r="571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603885" cy="511810"/>
                  </a:xfrm>
                  <a:prstGeom prst="rect">
                    <a:avLst/>
                  </a:prstGeom>
                  <a:noFill/>
                  <a:ln w="9525">
                    <a:noFill/>
                    <a:miter lim="800000"/>
                    <a:headEnd/>
                    <a:tailEnd/>
                  </a:ln>
                </pic:spPr>
              </pic:pic>
            </a:graphicData>
          </a:graphic>
        </wp:inline>
      </w:drawing>
    </w:r>
    <w:r>
      <w:rPr>
        <w:rFonts w:hint="eastAsia"/>
        <w:kern w:val="0"/>
        <w:sz w:val="24"/>
        <w:szCs w:val="24"/>
      </w:rPr>
      <w:t xml:space="preserve">                                        </w:t>
    </w:r>
    <w:r>
      <w:rPr>
        <w:rFonts w:hint="eastAsia" w:ascii="宋体" w:hAnsi="宋体" w:cs="宋体"/>
        <w:kern w:val="0"/>
        <w:szCs w:val="21"/>
      </w:rPr>
      <w:t>美康生物科技股份有限公司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642C9"/>
    <w:multiLevelType w:val="singleLevel"/>
    <w:tmpl w:val="EB6642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A0E"/>
    <w:rsid w:val="0000205C"/>
    <w:rsid w:val="0000212D"/>
    <w:rsid w:val="00004FEA"/>
    <w:rsid w:val="00024902"/>
    <w:rsid w:val="00046A7D"/>
    <w:rsid w:val="00050BE2"/>
    <w:rsid w:val="00072B56"/>
    <w:rsid w:val="000774C4"/>
    <w:rsid w:val="00087CAB"/>
    <w:rsid w:val="00091E77"/>
    <w:rsid w:val="000A6CAC"/>
    <w:rsid w:val="000C27D0"/>
    <w:rsid w:val="000C7B3E"/>
    <w:rsid w:val="000D2D0A"/>
    <w:rsid w:val="000E0A96"/>
    <w:rsid w:val="000E1D35"/>
    <w:rsid w:val="000F13FB"/>
    <w:rsid w:val="000F7C74"/>
    <w:rsid w:val="001122C0"/>
    <w:rsid w:val="00117ACD"/>
    <w:rsid w:val="001239E2"/>
    <w:rsid w:val="00124D9E"/>
    <w:rsid w:val="0013084F"/>
    <w:rsid w:val="00135461"/>
    <w:rsid w:val="001402A8"/>
    <w:rsid w:val="001623D8"/>
    <w:rsid w:val="00172A27"/>
    <w:rsid w:val="001733A2"/>
    <w:rsid w:val="00186E97"/>
    <w:rsid w:val="00192B34"/>
    <w:rsid w:val="001A4139"/>
    <w:rsid w:val="001B65EA"/>
    <w:rsid w:val="001C7608"/>
    <w:rsid w:val="001D344A"/>
    <w:rsid w:val="001D4F80"/>
    <w:rsid w:val="001D6782"/>
    <w:rsid w:val="001D7265"/>
    <w:rsid w:val="001E328B"/>
    <w:rsid w:val="001F4EB2"/>
    <w:rsid w:val="001F7A18"/>
    <w:rsid w:val="0020050B"/>
    <w:rsid w:val="00200548"/>
    <w:rsid w:val="00201622"/>
    <w:rsid w:val="00203E5B"/>
    <w:rsid w:val="00213598"/>
    <w:rsid w:val="002148ED"/>
    <w:rsid w:val="00215BEF"/>
    <w:rsid w:val="0022083B"/>
    <w:rsid w:val="00222B82"/>
    <w:rsid w:val="00230A4C"/>
    <w:rsid w:val="00246BFF"/>
    <w:rsid w:val="00255337"/>
    <w:rsid w:val="00262D7A"/>
    <w:rsid w:val="00266461"/>
    <w:rsid w:val="00281C7B"/>
    <w:rsid w:val="00282705"/>
    <w:rsid w:val="002903B9"/>
    <w:rsid w:val="0029551E"/>
    <w:rsid w:val="002A3772"/>
    <w:rsid w:val="002A51EB"/>
    <w:rsid w:val="002A687C"/>
    <w:rsid w:val="002B0F82"/>
    <w:rsid w:val="002B336D"/>
    <w:rsid w:val="002B7579"/>
    <w:rsid w:val="002C7D01"/>
    <w:rsid w:val="002D3FB2"/>
    <w:rsid w:val="002E1278"/>
    <w:rsid w:val="002E6942"/>
    <w:rsid w:val="003127E5"/>
    <w:rsid w:val="00335191"/>
    <w:rsid w:val="0038190B"/>
    <w:rsid w:val="00397053"/>
    <w:rsid w:val="003A0B90"/>
    <w:rsid w:val="003A30A2"/>
    <w:rsid w:val="003A446F"/>
    <w:rsid w:val="003A7A45"/>
    <w:rsid w:val="003B0915"/>
    <w:rsid w:val="003B37C9"/>
    <w:rsid w:val="003B3B5E"/>
    <w:rsid w:val="003B4476"/>
    <w:rsid w:val="003C0C98"/>
    <w:rsid w:val="003C4784"/>
    <w:rsid w:val="003C6EF7"/>
    <w:rsid w:val="003D13BA"/>
    <w:rsid w:val="003F15A4"/>
    <w:rsid w:val="003F47E9"/>
    <w:rsid w:val="003F4C90"/>
    <w:rsid w:val="003F637C"/>
    <w:rsid w:val="00410467"/>
    <w:rsid w:val="00425BD4"/>
    <w:rsid w:val="004525D3"/>
    <w:rsid w:val="00455A5F"/>
    <w:rsid w:val="004566C8"/>
    <w:rsid w:val="00460BD5"/>
    <w:rsid w:val="00465F64"/>
    <w:rsid w:val="00466CB8"/>
    <w:rsid w:val="00473180"/>
    <w:rsid w:val="00482F69"/>
    <w:rsid w:val="004911CB"/>
    <w:rsid w:val="00494FCA"/>
    <w:rsid w:val="004963FF"/>
    <w:rsid w:val="004A08CA"/>
    <w:rsid w:val="004A0F42"/>
    <w:rsid w:val="004A29B4"/>
    <w:rsid w:val="004A5125"/>
    <w:rsid w:val="004B0ADA"/>
    <w:rsid w:val="004B45C6"/>
    <w:rsid w:val="004D3DB3"/>
    <w:rsid w:val="004D7B9C"/>
    <w:rsid w:val="004D7C6C"/>
    <w:rsid w:val="004E25EF"/>
    <w:rsid w:val="004E46B3"/>
    <w:rsid w:val="004E766D"/>
    <w:rsid w:val="00507687"/>
    <w:rsid w:val="00517B03"/>
    <w:rsid w:val="005370CA"/>
    <w:rsid w:val="00541E7C"/>
    <w:rsid w:val="00552CF2"/>
    <w:rsid w:val="00553384"/>
    <w:rsid w:val="00554EB1"/>
    <w:rsid w:val="0057439C"/>
    <w:rsid w:val="00581FDB"/>
    <w:rsid w:val="005857C3"/>
    <w:rsid w:val="00590925"/>
    <w:rsid w:val="005925DB"/>
    <w:rsid w:val="00593D89"/>
    <w:rsid w:val="00594350"/>
    <w:rsid w:val="00595CEC"/>
    <w:rsid w:val="005A12B7"/>
    <w:rsid w:val="005A6CB9"/>
    <w:rsid w:val="005C42FD"/>
    <w:rsid w:val="005C63C7"/>
    <w:rsid w:val="005C6FD1"/>
    <w:rsid w:val="005C7909"/>
    <w:rsid w:val="005D0C46"/>
    <w:rsid w:val="005D280F"/>
    <w:rsid w:val="005D361D"/>
    <w:rsid w:val="005D4690"/>
    <w:rsid w:val="005E410C"/>
    <w:rsid w:val="005F17F0"/>
    <w:rsid w:val="0062052B"/>
    <w:rsid w:val="006216F7"/>
    <w:rsid w:val="006323A2"/>
    <w:rsid w:val="00635663"/>
    <w:rsid w:val="00637C55"/>
    <w:rsid w:val="006408C3"/>
    <w:rsid w:val="00643B99"/>
    <w:rsid w:val="0065448C"/>
    <w:rsid w:val="006549D9"/>
    <w:rsid w:val="00661D53"/>
    <w:rsid w:val="0066260D"/>
    <w:rsid w:val="00662E65"/>
    <w:rsid w:val="006664EC"/>
    <w:rsid w:val="006814ED"/>
    <w:rsid w:val="00682C68"/>
    <w:rsid w:val="00687834"/>
    <w:rsid w:val="00687AEC"/>
    <w:rsid w:val="00690CFC"/>
    <w:rsid w:val="006A53EC"/>
    <w:rsid w:val="006A7EFA"/>
    <w:rsid w:val="006B388B"/>
    <w:rsid w:val="006B68CD"/>
    <w:rsid w:val="006B7115"/>
    <w:rsid w:val="006C295A"/>
    <w:rsid w:val="006D5B9C"/>
    <w:rsid w:val="006F4ED4"/>
    <w:rsid w:val="0070257B"/>
    <w:rsid w:val="00702DE4"/>
    <w:rsid w:val="00705A90"/>
    <w:rsid w:val="00705FB4"/>
    <w:rsid w:val="00711EF7"/>
    <w:rsid w:val="0072347A"/>
    <w:rsid w:val="00735FD1"/>
    <w:rsid w:val="007427ED"/>
    <w:rsid w:val="00754A3D"/>
    <w:rsid w:val="00757475"/>
    <w:rsid w:val="00764FC7"/>
    <w:rsid w:val="00770405"/>
    <w:rsid w:val="00786C48"/>
    <w:rsid w:val="00794792"/>
    <w:rsid w:val="007A3552"/>
    <w:rsid w:val="007A693E"/>
    <w:rsid w:val="007B09FA"/>
    <w:rsid w:val="007B290E"/>
    <w:rsid w:val="007B52E0"/>
    <w:rsid w:val="007C33CF"/>
    <w:rsid w:val="007C4C97"/>
    <w:rsid w:val="007D18E5"/>
    <w:rsid w:val="007E2F2E"/>
    <w:rsid w:val="007F4DEF"/>
    <w:rsid w:val="0080527E"/>
    <w:rsid w:val="00807A1B"/>
    <w:rsid w:val="00824491"/>
    <w:rsid w:val="0083707C"/>
    <w:rsid w:val="00844FA5"/>
    <w:rsid w:val="00845CAE"/>
    <w:rsid w:val="00853937"/>
    <w:rsid w:val="00856E83"/>
    <w:rsid w:val="00861DEC"/>
    <w:rsid w:val="00877D51"/>
    <w:rsid w:val="00890787"/>
    <w:rsid w:val="008942EB"/>
    <w:rsid w:val="00894ED8"/>
    <w:rsid w:val="0089577C"/>
    <w:rsid w:val="00897546"/>
    <w:rsid w:val="008A1109"/>
    <w:rsid w:val="008C2AF2"/>
    <w:rsid w:val="008E1B3A"/>
    <w:rsid w:val="008E7B63"/>
    <w:rsid w:val="008F274E"/>
    <w:rsid w:val="00907A54"/>
    <w:rsid w:val="00921568"/>
    <w:rsid w:val="00925AD5"/>
    <w:rsid w:val="0092645B"/>
    <w:rsid w:val="00926734"/>
    <w:rsid w:val="00934B5B"/>
    <w:rsid w:val="00934E2B"/>
    <w:rsid w:val="00936D3F"/>
    <w:rsid w:val="00941FFD"/>
    <w:rsid w:val="009438F7"/>
    <w:rsid w:val="00944A3B"/>
    <w:rsid w:val="00944BC8"/>
    <w:rsid w:val="00944C40"/>
    <w:rsid w:val="00946FF4"/>
    <w:rsid w:val="00954383"/>
    <w:rsid w:val="00962BA7"/>
    <w:rsid w:val="0096566B"/>
    <w:rsid w:val="00967CB5"/>
    <w:rsid w:val="00972604"/>
    <w:rsid w:val="00982E39"/>
    <w:rsid w:val="009836A6"/>
    <w:rsid w:val="0098653A"/>
    <w:rsid w:val="00991C03"/>
    <w:rsid w:val="00995C1A"/>
    <w:rsid w:val="0099725E"/>
    <w:rsid w:val="009A1BD4"/>
    <w:rsid w:val="009B2F6D"/>
    <w:rsid w:val="009B6CC6"/>
    <w:rsid w:val="009B70A3"/>
    <w:rsid w:val="009D43B6"/>
    <w:rsid w:val="009E2A46"/>
    <w:rsid w:val="009E402C"/>
    <w:rsid w:val="009F46CC"/>
    <w:rsid w:val="00A00CC8"/>
    <w:rsid w:val="00A04519"/>
    <w:rsid w:val="00A12F8E"/>
    <w:rsid w:val="00A16ACE"/>
    <w:rsid w:val="00A30F84"/>
    <w:rsid w:val="00A43010"/>
    <w:rsid w:val="00A463F6"/>
    <w:rsid w:val="00A53F0B"/>
    <w:rsid w:val="00A60B18"/>
    <w:rsid w:val="00A71B2B"/>
    <w:rsid w:val="00A728BE"/>
    <w:rsid w:val="00A8289D"/>
    <w:rsid w:val="00A85C0F"/>
    <w:rsid w:val="00A91D6D"/>
    <w:rsid w:val="00A95D3F"/>
    <w:rsid w:val="00AB550C"/>
    <w:rsid w:val="00AB62D0"/>
    <w:rsid w:val="00AC2442"/>
    <w:rsid w:val="00AD60E8"/>
    <w:rsid w:val="00AE0063"/>
    <w:rsid w:val="00AE48EC"/>
    <w:rsid w:val="00AE577D"/>
    <w:rsid w:val="00AF246A"/>
    <w:rsid w:val="00AF62D0"/>
    <w:rsid w:val="00B00104"/>
    <w:rsid w:val="00B04F87"/>
    <w:rsid w:val="00B05587"/>
    <w:rsid w:val="00B32887"/>
    <w:rsid w:val="00B401FF"/>
    <w:rsid w:val="00B43E0C"/>
    <w:rsid w:val="00B50D67"/>
    <w:rsid w:val="00B77589"/>
    <w:rsid w:val="00BA09A1"/>
    <w:rsid w:val="00BA510A"/>
    <w:rsid w:val="00BB083D"/>
    <w:rsid w:val="00BC1788"/>
    <w:rsid w:val="00BD68D3"/>
    <w:rsid w:val="00BE4928"/>
    <w:rsid w:val="00BF4824"/>
    <w:rsid w:val="00C0122D"/>
    <w:rsid w:val="00C15CEE"/>
    <w:rsid w:val="00C20467"/>
    <w:rsid w:val="00C36F51"/>
    <w:rsid w:val="00C41CEC"/>
    <w:rsid w:val="00C529C7"/>
    <w:rsid w:val="00C8028B"/>
    <w:rsid w:val="00C8235C"/>
    <w:rsid w:val="00CA0984"/>
    <w:rsid w:val="00CA4A49"/>
    <w:rsid w:val="00CB188B"/>
    <w:rsid w:val="00CB72F1"/>
    <w:rsid w:val="00CC0439"/>
    <w:rsid w:val="00CC1EDA"/>
    <w:rsid w:val="00CC28ED"/>
    <w:rsid w:val="00CF2C37"/>
    <w:rsid w:val="00CF5223"/>
    <w:rsid w:val="00D264CD"/>
    <w:rsid w:val="00D32008"/>
    <w:rsid w:val="00D320AD"/>
    <w:rsid w:val="00D33C57"/>
    <w:rsid w:val="00D430CD"/>
    <w:rsid w:val="00D45FBC"/>
    <w:rsid w:val="00D47709"/>
    <w:rsid w:val="00D50CA5"/>
    <w:rsid w:val="00D52547"/>
    <w:rsid w:val="00D526F2"/>
    <w:rsid w:val="00D6229D"/>
    <w:rsid w:val="00D64186"/>
    <w:rsid w:val="00D675CE"/>
    <w:rsid w:val="00D83795"/>
    <w:rsid w:val="00D86D45"/>
    <w:rsid w:val="00DB3F7A"/>
    <w:rsid w:val="00DD5F86"/>
    <w:rsid w:val="00DD617E"/>
    <w:rsid w:val="00DE2769"/>
    <w:rsid w:val="00DE4F6D"/>
    <w:rsid w:val="00E26408"/>
    <w:rsid w:val="00E32AB3"/>
    <w:rsid w:val="00E648D1"/>
    <w:rsid w:val="00E651B4"/>
    <w:rsid w:val="00E8365B"/>
    <w:rsid w:val="00E87135"/>
    <w:rsid w:val="00E97191"/>
    <w:rsid w:val="00EC4BFB"/>
    <w:rsid w:val="00EC640A"/>
    <w:rsid w:val="00ED0B70"/>
    <w:rsid w:val="00ED1B21"/>
    <w:rsid w:val="00EE0BD6"/>
    <w:rsid w:val="00EE2411"/>
    <w:rsid w:val="00F2389F"/>
    <w:rsid w:val="00F35530"/>
    <w:rsid w:val="00F36F1F"/>
    <w:rsid w:val="00F42A82"/>
    <w:rsid w:val="00F54C7D"/>
    <w:rsid w:val="00F62E93"/>
    <w:rsid w:val="00F767D3"/>
    <w:rsid w:val="00FA6E0C"/>
    <w:rsid w:val="00FB23FC"/>
    <w:rsid w:val="00FB39F6"/>
    <w:rsid w:val="00FB4245"/>
    <w:rsid w:val="00FC0AA3"/>
    <w:rsid w:val="00FD4238"/>
    <w:rsid w:val="00FF0D22"/>
    <w:rsid w:val="00FF6F46"/>
    <w:rsid w:val="01B33F62"/>
    <w:rsid w:val="02156DA7"/>
    <w:rsid w:val="025955E4"/>
    <w:rsid w:val="030C5887"/>
    <w:rsid w:val="03A60680"/>
    <w:rsid w:val="03AC39C7"/>
    <w:rsid w:val="05086052"/>
    <w:rsid w:val="06486D91"/>
    <w:rsid w:val="06B865C7"/>
    <w:rsid w:val="08964BA7"/>
    <w:rsid w:val="09014214"/>
    <w:rsid w:val="09C71B14"/>
    <w:rsid w:val="0AF660E4"/>
    <w:rsid w:val="0B972A56"/>
    <w:rsid w:val="0C91106A"/>
    <w:rsid w:val="0CC0627E"/>
    <w:rsid w:val="0CC323AE"/>
    <w:rsid w:val="0CC32977"/>
    <w:rsid w:val="10C52401"/>
    <w:rsid w:val="112719DF"/>
    <w:rsid w:val="126C052E"/>
    <w:rsid w:val="1298264D"/>
    <w:rsid w:val="1353431A"/>
    <w:rsid w:val="135B29D1"/>
    <w:rsid w:val="13842849"/>
    <w:rsid w:val="139576DF"/>
    <w:rsid w:val="13F52639"/>
    <w:rsid w:val="14540B36"/>
    <w:rsid w:val="1584400A"/>
    <w:rsid w:val="15BA3200"/>
    <w:rsid w:val="15FC18E3"/>
    <w:rsid w:val="16CE24BA"/>
    <w:rsid w:val="1809429F"/>
    <w:rsid w:val="188969B8"/>
    <w:rsid w:val="19DF1706"/>
    <w:rsid w:val="1BA27EC0"/>
    <w:rsid w:val="1C25782A"/>
    <w:rsid w:val="1C5D3BB4"/>
    <w:rsid w:val="1CD46E08"/>
    <w:rsid w:val="1D6E1EFA"/>
    <w:rsid w:val="1E023590"/>
    <w:rsid w:val="1EC17A6F"/>
    <w:rsid w:val="1FA95E63"/>
    <w:rsid w:val="210F044E"/>
    <w:rsid w:val="2134570A"/>
    <w:rsid w:val="21677B0B"/>
    <w:rsid w:val="21782806"/>
    <w:rsid w:val="227F2EDA"/>
    <w:rsid w:val="229F03E1"/>
    <w:rsid w:val="22A93E3D"/>
    <w:rsid w:val="23BA79F3"/>
    <w:rsid w:val="2434602C"/>
    <w:rsid w:val="243B40DC"/>
    <w:rsid w:val="25CC21D5"/>
    <w:rsid w:val="2692559D"/>
    <w:rsid w:val="26DE2F0A"/>
    <w:rsid w:val="26EC5EE4"/>
    <w:rsid w:val="277F165D"/>
    <w:rsid w:val="27A21E2A"/>
    <w:rsid w:val="28205EFA"/>
    <w:rsid w:val="28324467"/>
    <w:rsid w:val="2887645B"/>
    <w:rsid w:val="294D5969"/>
    <w:rsid w:val="2B050001"/>
    <w:rsid w:val="2C356D40"/>
    <w:rsid w:val="2CBB7A09"/>
    <w:rsid w:val="2CF41D2B"/>
    <w:rsid w:val="2F4149F4"/>
    <w:rsid w:val="30577EA4"/>
    <w:rsid w:val="30ED6B05"/>
    <w:rsid w:val="31745377"/>
    <w:rsid w:val="32B73754"/>
    <w:rsid w:val="33210CD4"/>
    <w:rsid w:val="339C2E6B"/>
    <w:rsid w:val="34067E54"/>
    <w:rsid w:val="35233B65"/>
    <w:rsid w:val="35622818"/>
    <w:rsid w:val="37AA3BE7"/>
    <w:rsid w:val="3A2B5C45"/>
    <w:rsid w:val="3C72684B"/>
    <w:rsid w:val="3C8D2C28"/>
    <w:rsid w:val="3D780983"/>
    <w:rsid w:val="3DCB73BD"/>
    <w:rsid w:val="3E1C4E5F"/>
    <w:rsid w:val="3EDC7E41"/>
    <w:rsid w:val="3EEB65B9"/>
    <w:rsid w:val="3F1261B6"/>
    <w:rsid w:val="4143248D"/>
    <w:rsid w:val="414C3AE3"/>
    <w:rsid w:val="417A0EE7"/>
    <w:rsid w:val="41AC1EC5"/>
    <w:rsid w:val="42D17133"/>
    <w:rsid w:val="44435502"/>
    <w:rsid w:val="4469109B"/>
    <w:rsid w:val="448E6E93"/>
    <w:rsid w:val="466778C7"/>
    <w:rsid w:val="46A56E00"/>
    <w:rsid w:val="473E0C18"/>
    <w:rsid w:val="48D40FC9"/>
    <w:rsid w:val="48D62FF0"/>
    <w:rsid w:val="4B0276F3"/>
    <w:rsid w:val="4B1B42D1"/>
    <w:rsid w:val="4BA54BDC"/>
    <w:rsid w:val="4C9264E4"/>
    <w:rsid w:val="4E011CA3"/>
    <w:rsid w:val="4EE0777C"/>
    <w:rsid w:val="4F833470"/>
    <w:rsid w:val="4FC53A88"/>
    <w:rsid w:val="4FD432C3"/>
    <w:rsid w:val="5191616D"/>
    <w:rsid w:val="52C37CC6"/>
    <w:rsid w:val="54B17DA5"/>
    <w:rsid w:val="5687159A"/>
    <w:rsid w:val="569A0563"/>
    <w:rsid w:val="57854F76"/>
    <w:rsid w:val="578D1032"/>
    <w:rsid w:val="57F72C18"/>
    <w:rsid w:val="58D816D9"/>
    <w:rsid w:val="58FD49F3"/>
    <w:rsid w:val="59FF12C1"/>
    <w:rsid w:val="5A7C0241"/>
    <w:rsid w:val="5BC83403"/>
    <w:rsid w:val="5D1E18E2"/>
    <w:rsid w:val="5D59409D"/>
    <w:rsid w:val="5D716254"/>
    <w:rsid w:val="5F7A0BDF"/>
    <w:rsid w:val="604C1D57"/>
    <w:rsid w:val="610377E8"/>
    <w:rsid w:val="6123101E"/>
    <w:rsid w:val="6149026B"/>
    <w:rsid w:val="61607565"/>
    <w:rsid w:val="61B130B6"/>
    <w:rsid w:val="620F5B93"/>
    <w:rsid w:val="6245388B"/>
    <w:rsid w:val="639D09AD"/>
    <w:rsid w:val="64CE35AC"/>
    <w:rsid w:val="64DD5407"/>
    <w:rsid w:val="64DD5998"/>
    <w:rsid w:val="663244E5"/>
    <w:rsid w:val="66AD791D"/>
    <w:rsid w:val="672D68EB"/>
    <w:rsid w:val="675B3471"/>
    <w:rsid w:val="677E5475"/>
    <w:rsid w:val="679231A8"/>
    <w:rsid w:val="68B4705F"/>
    <w:rsid w:val="68F057CD"/>
    <w:rsid w:val="698A203E"/>
    <w:rsid w:val="69AE017E"/>
    <w:rsid w:val="6A2375D1"/>
    <w:rsid w:val="6A4878D0"/>
    <w:rsid w:val="6BAF461B"/>
    <w:rsid w:val="6BB57ABB"/>
    <w:rsid w:val="6C0B0A4D"/>
    <w:rsid w:val="6C555F74"/>
    <w:rsid w:val="6D2F5F23"/>
    <w:rsid w:val="6DAF7652"/>
    <w:rsid w:val="6DDF6B0B"/>
    <w:rsid w:val="6E1734C1"/>
    <w:rsid w:val="6E835DFF"/>
    <w:rsid w:val="6EAF5D19"/>
    <w:rsid w:val="6FE221EB"/>
    <w:rsid w:val="70161100"/>
    <w:rsid w:val="70700900"/>
    <w:rsid w:val="71267CDF"/>
    <w:rsid w:val="714D131C"/>
    <w:rsid w:val="74061DBF"/>
    <w:rsid w:val="75BE0494"/>
    <w:rsid w:val="762447BB"/>
    <w:rsid w:val="76436ED5"/>
    <w:rsid w:val="76876F72"/>
    <w:rsid w:val="769D2684"/>
    <w:rsid w:val="76CD40A0"/>
    <w:rsid w:val="76D554CF"/>
    <w:rsid w:val="77304DB1"/>
    <w:rsid w:val="77445DA4"/>
    <w:rsid w:val="775E252F"/>
    <w:rsid w:val="77BE51A0"/>
    <w:rsid w:val="78643415"/>
    <w:rsid w:val="7BB329D4"/>
    <w:rsid w:val="7D58354C"/>
    <w:rsid w:val="7D74581E"/>
    <w:rsid w:val="7F7C5B74"/>
    <w:rsid w:val="7FC056E9"/>
    <w:rsid w:val="7FC772D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26"/>
    <w:unhideWhenUsed/>
    <w:qFormat/>
    <w:locked/>
    <w:uiPriority w:val="0"/>
    <w:pPr>
      <w:keepNext/>
      <w:keepLines/>
      <w:spacing w:before="280" w:after="290" w:line="376" w:lineRule="auto"/>
      <w:outlineLvl w:val="3"/>
    </w:pPr>
    <w:rPr>
      <w:rFonts w:ascii="Cambria" w:hAnsi="Cambria"/>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0"/>
    <w:semiHidden/>
    <w:unhideWhenUsed/>
    <w:qFormat/>
    <w:uiPriority w:val="99"/>
    <w:pPr>
      <w:jc w:val="left"/>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1"/>
    <w:qFormat/>
    <w:locked/>
    <w:uiPriority w:val="0"/>
    <w:pPr>
      <w:spacing w:before="240" w:after="60" w:line="312" w:lineRule="auto"/>
      <w:jc w:val="center"/>
      <w:outlineLvl w:val="1"/>
    </w:pPr>
    <w:rPr>
      <w:rFonts w:ascii="Cambria" w:hAnsi="Cambria"/>
      <w:b/>
      <w:bCs/>
      <w:kern w:val="28"/>
      <w:sz w:val="32"/>
      <w:szCs w:val="32"/>
    </w:rPr>
  </w:style>
  <w:style w:type="paragraph" w:styleId="11">
    <w:name w:val="Title"/>
    <w:basedOn w:val="1"/>
    <w:next w:val="1"/>
    <w:link w:val="25"/>
    <w:qFormat/>
    <w:locked/>
    <w:uiPriority w:val="0"/>
    <w:pPr>
      <w:spacing w:before="240" w:after="60"/>
      <w:jc w:val="center"/>
      <w:outlineLvl w:val="0"/>
    </w:pPr>
    <w:rPr>
      <w:rFonts w:ascii="Cambria" w:hAnsi="Cambria"/>
      <w:b/>
      <w:bCs/>
      <w:sz w:val="32"/>
      <w:szCs w:val="32"/>
    </w:rPr>
  </w:style>
  <w:style w:type="paragraph" w:styleId="12">
    <w:name w:val="annotation subject"/>
    <w:basedOn w:val="6"/>
    <w:next w:val="6"/>
    <w:link w:val="31"/>
    <w:semiHidden/>
    <w:unhideWhenUsed/>
    <w:qFormat/>
    <w:uiPriority w:val="99"/>
    <w:rPr>
      <w:b/>
      <w:bCs/>
    </w:rPr>
  </w:style>
  <w:style w:type="character" w:styleId="15">
    <w:name w:val="FollowedHyperlink"/>
    <w:basedOn w:val="14"/>
    <w:semiHidden/>
    <w:unhideWhenUsed/>
    <w:qFormat/>
    <w:uiPriority w:val="99"/>
    <w:rPr>
      <w:color w:val="0000FF"/>
      <w:u w:val="none"/>
    </w:rPr>
  </w:style>
  <w:style w:type="character" w:styleId="16">
    <w:name w:val="Hyperlink"/>
    <w:basedOn w:val="14"/>
    <w:semiHidden/>
    <w:unhideWhenUsed/>
    <w:qFormat/>
    <w:uiPriority w:val="99"/>
    <w:rPr>
      <w:color w:val="0000FF"/>
      <w:u w:val="none"/>
    </w:rPr>
  </w:style>
  <w:style w:type="character" w:styleId="17">
    <w:name w:val="annotation reference"/>
    <w:basedOn w:val="14"/>
    <w:semiHidden/>
    <w:unhideWhenUsed/>
    <w:qFormat/>
    <w:uiPriority w:val="99"/>
    <w:rPr>
      <w:sz w:val="21"/>
      <w:szCs w:val="21"/>
    </w:rPr>
  </w:style>
  <w:style w:type="character" w:customStyle="1" w:styleId="18">
    <w:name w:val="页眉 字符"/>
    <w:link w:val="9"/>
    <w:qFormat/>
    <w:locked/>
    <w:uiPriority w:val="99"/>
    <w:rPr>
      <w:rFonts w:cs="Times New Roman"/>
      <w:sz w:val="18"/>
      <w:szCs w:val="18"/>
    </w:rPr>
  </w:style>
  <w:style w:type="character" w:customStyle="1" w:styleId="19">
    <w:name w:val="页脚 字符"/>
    <w:link w:val="8"/>
    <w:qFormat/>
    <w:locked/>
    <w:uiPriority w:val="99"/>
    <w:rPr>
      <w:rFonts w:cs="Times New Roman"/>
      <w:sz w:val="18"/>
      <w:szCs w:val="18"/>
    </w:rPr>
  </w:style>
  <w:style w:type="paragraph" w:customStyle="1" w:styleId="20">
    <w:name w:val="Char"/>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21">
    <w:name w:val="副标题 字符"/>
    <w:link w:val="10"/>
    <w:qFormat/>
    <w:uiPriority w:val="0"/>
    <w:rPr>
      <w:rFonts w:ascii="Cambria" w:hAnsi="Cambria" w:cs="Times New Roman"/>
      <w:b/>
      <w:bCs/>
      <w:kern w:val="28"/>
      <w:sz w:val="32"/>
      <w:szCs w:val="32"/>
    </w:rPr>
  </w:style>
  <w:style w:type="character" w:customStyle="1" w:styleId="22">
    <w:name w:val="标题 2 字符"/>
    <w:link w:val="3"/>
    <w:qFormat/>
    <w:uiPriority w:val="0"/>
    <w:rPr>
      <w:rFonts w:ascii="Cambria" w:hAnsi="Cambria" w:eastAsia="宋体" w:cs="Times New Roman"/>
      <w:b/>
      <w:bCs/>
      <w:kern w:val="2"/>
      <w:sz w:val="32"/>
      <w:szCs w:val="32"/>
    </w:rPr>
  </w:style>
  <w:style w:type="character" w:customStyle="1" w:styleId="23">
    <w:name w:val="标题 3 字符"/>
    <w:link w:val="4"/>
    <w:qFormat/>
    <w:uiPriority w:val="0"/>
    <w:rPr>
      <w:rFonts w:ascii="Calibri" w:hAnsi="Calibri"/>
      <w:b/>
      <w:bCs/>
      <w:kern w:val="2"/>
      <w:sz w:val="32"/>
      <w:szCs w:val="32"/>
    </w:rPr>
  </w:style>
  <w:style w:type="character" w:customStyle="1" w:styleId="24">
    <w:name w:val="标题 1 字符"/>
    <w:link w:val="2"/>
    <w:qFormat/>
    <w:uiPriority w:val="0"/>
    <w:rPr>
      <w:rFonts w:ascii="Calibri" w:hAnsi="Calibri"/>
      <w:b/>
      <w:bCs/>
      <w:kern w:val="44"/>
      <w:sz w:val="44"/>
      <w:szCs w:val="44"/>
    </w:rPr>
  </w:style>
  <w:style w:type="character" w:customStyle="1" w:styleId="25">
    <w:name w:val="标题 字符"/>
    <w:link w:val="11"/>
    <w:qFormat/>
    <w:uiPriority w:val="0"/>
    <w:rPr>
      <w:rFonts w:ascii="Cambria" w:hAnsi="Cambria" w:cs="Times New Roman"/>
      <w:b/>
      <w:bCs/>
      <w:kern w:val="2"/>
      <w:sz w:val="32"/>
      <w:szCs w:val="32"/>
    </w:rPr>
  </w:style>
  <w:style w:type="character" w:customStyle="1" w:styleId="26">
    <w:name w:val="标题 4 字符"/>
    <w:link w:val="5"/>
    <w:qFormat/>
    <w:uiPriority w:val="0"/>
    <w:rPr>
      <w:rFonts w:ascii="Cambria" w:hAnsi="Cambria" w:eastAsia="宋体" w:cs="Times New Roman"/>
      <w:b/>
      <w:bCs/>
      <w:kern w:val="2"/>
      <w:sz w:val="28"/>
      <w:szCs w:val="28"/>
    </w:rPr>
  </w:style>
  <w:style w:type="character" w:customStyle="1" w:styleId="27">
    <w:name w:val="批注框文本 字符"/>
    <w:basedOn w:val="14"/>
    <w:link w:val="7"/>
    <w:semiHidden/>
    <w:qFormat/>
    <w:uiPriority w:val="99"/>
    <w:rPr>
      <w:rFonts w:ascii="Calibri" w:hAnsi="Calibri"/>
      <w:kern w:val="2"/>
      <w:sz w:val="18"/>
      <w:szCs w:val="18"/>
    </w:rPr>
  </w:style>
  <w:style w:type="paragraph" w:customStyle="1" w:styleId="28">
    <w:name w:val="正文 A"/>
    <w:qFormat/>
    <w:uiPriority w:val="99"/>
    <w:pPr>
      <w:widowControl w:val="0"/>
      <w:spacing w:line="360" w:lineRule="auto"/>
      <w:jc w:val="both"/>
    </w:pPr>
    <w:rPr>
      <w:rFonts w:ascii="Calibri" w:hAnsi="Calibri" w:eastAsia="Calibri" w:cs="Calibri"/>
      <w:color w:val="000000"/>
      <w:kern w:val="2"/>
      <w:sz w:val="21"/>
      <w:szCs w:val="21"/>
      <w:u w:color="000000"/>
      <w:lang w:val="en-US" w:eastAsia="zh-CN" w:bidi="ar-SA"/>
    </w:rPr>
  </w:style>
  <w:style w:type="character" w:customStyle="1" w:styleId="29">
    <w:name w:val="font71"/>
    <w:basedOn w:val="14"/>
    <w:qFormat/>
    <w:uiPriority w:val="0"/>
    <w:rPr>
      <w:rFonts w:hint="default" w:ascii="Times New Roman" w:hAnsi="Times New Roman" w:cs="Times New Roman"/>
      <w:color w:val="000000"/>
      <w:sz w:val="20"/>
      <w:szCs w:val="20"/>
      <w:u w:val="none"/>
      <w:vertAlign w:val="subscript"/>
    </w:rPr>
  </w:style>
  <w:style w:type="character" w:customStyle="1" w:styleId="30">
    <w:name w:val="批注文字 字符"/>
    <w:basedOn w:val="14"/>
    <w:link w:val="6"/>
    <w:semiHidden/>
    <w:qFormat/>
    <w:uiPriority w:val="99"/>
    <w:rPr>
      <w:rFonts w:ascii="Calibri" w:hAnsi="Calibri"/>
      <w:kern w:val="2"/>
      <w:sz w:val="21"/>
      <w:szCs w:val="22"/>
    </w:rPr>
  </w:style>
  <w:style w:type="character" w:customStyle="1" w:styleId="31">
    <w:name w:val="批注主题 字符"/>
    <w:basedOn w:val="30"/>
    <w:link w:val="12"/>
    <w:semiHidden/>
    <w:qFormat/>
    <w:uiPriority w:val="99"/>
    <w:rPr>
      <w:rFonts w:ascii="Calibri" w:hAnsi="Calibri"/>
      <w:b/>
      <w:bCs/>
      <w:kern w:val="2"/>
      <w:sz w:val="21"/>
      <w:szCs w:val="22"/>
    </w:rPr>
  </w:style>
  <w:style w:type="paragraph" w:customStyle="1" w:styleId="3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33">
    <w:name w:val="bpm_system_waiting"/>
    <w:basedOn w:val="14"/>
    <w:qFormat/>
    <w:uiPriority w:val="0"/>
    <w:rPr>
      <w:b/>
      <w:sz w:val="30"/>
      <w:szCs w:val="30"/>
    </w:rPr>
  </w:style>
  <w:style w:type="paragraph" w:customStyle="1" w:styleId="34">
    <w:name w:val="列出段落1"/>
    <w:basedOn w:val="1"/>
    <w:qFormat/>
    <w:uiPriority w:val="34"/>
    <w:pPr>
      <w:ind w:firstLine="420" w:firstLineChars="200"/>
    </w:pPr>
  </w:style>
  <w:style w:type="table" w:customStyle="1" w:styleId="35">
    <w:name w:val="Table Normal"/>
    <w:qFormat/>
    <w:uiPriority w:val="0"/>
    <w:tblPr>
      <w:tblCellMar>
        <w:top w:w="0" w:type="dxa"/>
        <w:left w:w="0" w:type="dxa"/>
        <w:bottom w:w="0" w:type="dxa"/>
        <w:right w:w="0" w:type="dxa"/>
      </w:tblCellMar>
    </w:tblPr>
  </w:style>
  <w:style w:type="paragraph" w:customStyle="1" w:styleId="36">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2140C-D24D-204E-BDC5-5AEFDD6B2F6F}">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13</Pages>
  <Words>1391</Words>
  <Characters>7930</Characters>
  <Lines>66</Lines>
  <Paragraphs>18</Paragraphs>
  <TotalTime>4</TotalTime>
  <ScaleCrop>false</ScaleCrop>
  <LinksUpToDate>false</LinksUpToDate>
  <CharactersWithSpaces>9303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2018-07-06T05:38:00Z</dcterms:created>
  <dc:creator>SkyUN.Org</dc:creator>
  <cp:lastModifiedBy>BIRth</cp:lastModifiedBy>
  <cp:lastPrinted>2020-04-30T07:31:00Z</cp:lastPrinted>
  <dcterms:modified xsi:type="dcterms:W3CDTF">2020-04-30T07:35:52Z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